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CDB3" w14:textId="3FB4E784" w:rsidR="00315376" w:rsidRPr="00F30B46" w:rsidRDefault="00315376" w:rsidP="00315376">
      <w:pPr>
        <w:rPr>
          <w:b/>
          <w:sz w:val="24"/>
          <w:szCs w:val="24"/>
          <w:u w:val="single"/>
        </w:rPr>
      </w:pPr>
      <w:r w:rsidRPr="00F30B46">
        <w:rPr>
          <w:b/>
          <w:sz w:val="24"/>
          <w:szCs w:val="24"/>
          <w:u w:val="single"/>
        </w:rPr>
        <w:t xml:space="preserve">Reconciliation subgroup meeting, </w:t>
      </w:r>
      <w:r>
        <w:rPr>
          <w:b/>
          <w:sz w:val="24"/>
          <w:szCs w:val="24"/>
          <w:u w:val="single"/>
        </w:rPr>
        <w:t>Thurs</w:t>
      </w:r>
      <w:r w:rsidRPr="00F30B46">
        <w:rPr>
          <w:b/>
          <w:sz w:val="24"/>
          <w:szCs w:val="24"/>
          <w:u w:val="single"/>
        </w:rPr>
        <w:t>day</w:t>
      </w:r>
      <w:r>
        <w:rPr>
          <w:b/>
          <w:sz w:val="24"/>
          <w:szCs w:val="24"/>
          <w:u w:val="single"/>
        </w:rPr>
        <w:t xml:space="preserve"> 1</w:t>
      </w:r>
      <w:r w:rsidRPr="00315376">
        <w:rPr>
          <w:b/>
          <w:sz w:val="24"/>
          <w:szCs w:val="24"/>
          <w:u w:val="single"/>
          <w:vertAlign w:val="superscript"/>
        </w:rPr>
        <w:t>st</w:t>
      </w:r>
      <w:r>
        <w:rPr>
          <w:b/>
          <w:sz w:val="24"/>
          <w:szCs w:val="24"/>
          <w:u w:val="single"/>
        </w:rPr>
        <w:t xml:space="preserve"> February 2024</w:t>
      </w:r>
      <w:r w:rsidRPr="00F30B46">
        <w:rPr>
          <w:b/>
          <w:sz w:val="24"/>
          <w:szCs w:val="24"/>
          <w:u w:val="single"/>
        </w:rPr>
        <w:t xml:space="preserve"> via Microsoft Teams </w:t>
      </w:r>
    </w:p>
    <w:p w14:paraId="0A7D16F6" w14:textId="77777777" w:rsidR="00315376" w:rsidRPr="00F30B46" w:rsidRDefault="00315376" w:rsidP="00315376">
      <w:pPr>
        <w:rPr>
          <w:b/>
          <w:sz w:val="24"/>
          <w:szCs w:val="24"/>
          <w:u w:val="single"/>
        </w:rPr>
      </w:pPr>
      <w:r w:rsidRPr="00F30B46">
        <w:rPr>
          <w:b/>
          <w:sz w:val="24"/>
          <w:szCs w:val="24"/>
          <w:u w:val="single"/>
        </w:rPr>
        <w:t>Attendees:</w:t>
      </w:r>
    </w:p>
    <w:p w14:paraId="7BE6810E" w14:textId="77777777" w:rsidR="00315376" w:rsidRPr="00F30B46" w:rsidRDefault="00315376" w:rsidP="00315376">
      <w:pPr>
        <w:rPr>
          <w:sz w:val="24"/>
          <w:szCs w:val="24"/>
        </w:rPr>
        <w:sectPr w:rsidR="00315376" w:rsidRPr="00F30B46" w:rsidSect="008C3A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4F1DDF0" w14:textId="614C2A89" w:rsidR="00315376" w:rsidRPr="00F30B46" w:rsidRDefault="00315376" w:rsidP="00315376">
      <w:pPr>
        <w:rPr>
          <w:sz w:val="24"/>
          <w:szCs w:val="24"/>
        </w:rPr>
      </w:pPr>
      <w:r>
        <w:rPr>
          <w:sz w:val="24"/>
          <w:szCs w:val="24"/>
        </w:rPr>
        <w:t>Leo Kellaway</w:t>
      </w:r>
      <w:r w:rsidRPr="00F30B46">
        <w:rPr>
          <w:sz w:val="24"/>
          <w:szCs w:val="24"/>
        </w:rPr>
        <w:t xml:space="preserve"> (Chair)</w:t>
      </w:r>
      <w:r w:rsidRPr="00F30B46">
        <w:rPr>
          <w:sz w:val="24"/>
          <w:szCs w:val="24"/>
        </w:rPr>
        <w:tab/>
      </w:r>
      <w:r w:rsidRPr="00F30B46">
        <w:rPr>
          <w:sz w:val="24"/>
          <w:szCs w:val="24"/>
        </w:rPr>
        <w:tab/>
        <w:t xml:space="preserve">Mike Earp </w:t>
      </w:r>
      <w:r w:rsidRPr="00F30B46">
        <w:rPr>
          <w:sz w:val="24"/>
          <w:szCs w:val="24"/>
        </w:rPr>
        <w:tab/>
      </w:r>
      <w:r w:rsidRPr="00F30B46">
        <w:rPr>
          <w:sz w:val="24"/>
          <w:szCs w:val="24"/>
        </w:rPr>
        <w:tab/>
      </w:r>
      <w:r w:rsidRPr="00F30B46">
        <w:rPr>
          <w:sz w:val="24"/>
          <w:szCs w:val="24"/>
        </w:rPr>
        <w:tab/>
        <w:t>Jacqui Akinlosotu</w:t>
      </w:r>
      <w:r w:rsidRPr="00F30B46">
        <w:rPr>
          <w:sz w:val="24"/>
          <w:szCs w:val="24"/>
        </w:rPr>
        <w:tab/>
      </w:r>
      <w:r w:rsidRPr="00F30B46">
        <w:rPr>
          <w:sz w:val="24"/>
          <w:szCs w:val="24"/>
        </w:rPr>
        <w:tab/>
      </w:r>
    </w:p>
    <w:p w14:paraId="5DDC10BC" w14:textId="3EBA402D" w:rsidR="00315376" w:rsidRDefault="00315376" w:rsidP="00315376">
      <w:pPr>
        <w:rPr>
          <w:sz w:val="24"/>
          <w:szCs w:val="24"/>
        </w:rPr>
      </w:pPr>
      <w:r>
        <w:rPr>
          <w:sz w:val="24"/>
          <w:szCs w:val="24"/>
        </w:rPr>
        <w:t>Aurelie Delannoy</w:t>
      </w:r>
      <w:r w:rsidRPr="00F30B46">
        <w:rPr>
          <w:sz w:val="24"/>
          <w:szCs w:val="24"/>
        </w:rPr>
        <w:tab/>
      </w:r>
      <w:r w:rsidRPr="00F30B46">
        <w:rPr>
          <w:sz w:val="24"/>
          <w:szCs w:val="24"/>
        </w:rPr>
        <w:tab/>
      </w:r>
      <w:r>
        <w:rPr>
          <w:sz w:val="24"/>
          <w:szCs w:val="24"/>
        </w:rPr>
        <w:t>Pat Foster</w:t>
      </w:r>
      <w:r>
        <w:rPr>
          <w:sz w:val="24"/>
          <w:szCs w:val="24"/>
        </w:rPr>
        <w:tab/>
      </w:r>
      <w:r>
        <w:rPr>
          <w:sz w:val="24"/>
          <w:szCs w:val="24"/>
        </w:rPr>
        <w:tab/>
      </w:r>
      <w:r>
        <w:rPr>
          <w:sz w:val="24"/>
          <w:szCs w:val="24"/>
        </w:rPr>
        <w:tab/>
      </w:r>
      <w:r w:rsidRPr="00F30B46">
        <w:rPr>
          <w:sz w:val="24"/>
          <w:szCs w:val="24"/>
        </w:rPr>
        <w:t>Hedi Zaghouani</w:t>
      </w:r>
      <w:r>
        <w:rPr>
          <w:sz w:val="24"/>
          <w:szCs w:val="24"/>
        </w:rPr>
        <w:tab/>
      </w:r>
      <w:r>
        <w:rPr>
          <w:sz w:val="24"/>
          <w:szCs w:val="24"/>
        </w:rPr>
        <w:tab/>
        <w:t xml:space="preserve"> </w:t>
      </w:r>
    </w:p>
    <w:p w14:paraId="5E7AE040" w14:textId="551864F2" w:rsidR="00315376" w:rsidRDefault="00315376" w:rsidP="00315376">
      <w:pPr>
        <w:rPr>
          <w:sz w:val="24"/>
          <w:szCs w:val="24"/>
        </w:rPr>
      </w:pPr>
      <w:r w:rsidRPr="00F30B46">
        <w:rPr>
          <w:sz w:val="24"/>
          <w:szCs w:val="24"/>
        </w:rPr>
        <w:t>Mike Nash</w:t>
      </w:r>
    </w:p>
    <w:p w14:paraId="2AF9DCEE" w14:textId="2473FB03" w:rsidR="00315376" w:rsidRDefault="00315376" w:rsidP="00315376">
      <w:pPr>
        <w:rPr>
          <w:b/>
          <w:bCs/>
          <w:sz w:val="24"/>
          <w:szCs w:val="24"/>
          <w:u w:val="single"/>
        </w:rPr>
      </w:pPr>
      <w:r>
        <w:rPr>
          <w:b/>
          <w:bCs/>
          <w:sz w:val="24"/>
          <w:szCs w:val="24"/>
          <w:u w:val="single"/>
        </w:rPr>
        <w:t>UK EITI Reconciliation 2023 timetable</w:t>
      </w:r>
    </w:p>
    <w:p w14:paraId="7C4BDC4E" w14:textId="775F0807" w:rsidR="00586A91" w:rsidRPr="00586A91" w:rsidRDefault="00586A91" w:rsidP="00586A91">
      <w:pPr>
        <w:pStyle w:val="ListParagraph"/>
        <w:numPr>
          <w:ilvl w:val="0"/>
          <w:numId w:val="4"/>
        </w:numPr>
        <w:rPr>
          <w:sz w:val="24"/>
          <w:szCs w:val="24"/>
        </w:rPr>
      </w:pPr>
      <w:r w:rsidRPr="00586A91">
        <w:rPr>
          <w:sz w:val="24"/>
          <w:szCs w:val="24"/>
        </w:rPr>
        <w:t>The draft timetable</w:t>
      </w:r>
      <w:r w:rsidR="0035039C">
        <w:rPr>
          <w:sz w:val="24"/>
          <w:szCs w:val="24"/>
        </w:rPr>
        <w:t xml:space="preserve"> was agreed by the subgroup with the plan to publish the payments data in late June/early July 2024, dependent on the agreed reporting Terms of Reference that will be agreed by the EITI Board in March 2024.</w:t>
      </w:r>
    </w:p>
    <w:p w14:paraId="40E77FF2" w14:textId="210FF18E" w:rsidR="00315376" w:rsidRDefault="003071FB" w:rsidP="00315376">
      <w:pPr>
        <w:rPr>
          <w:b/>
          <w:bCs/>
          <w:sz w:val="24"/>
          <w:szCs w:val="24"/>
          <w:u w:val="single"/>
        </w:rPr>
      </w:pPr>
      <w:r>
        <w:rPr>
          <w:b/>
          <w:bCs/>
          <w:sz w:val="24"/>
          <w:szCs w:val="24"/>
          <w:u w:val="single"/>
        </w:rPr>
        <w:t>New provisions of the 2023 EITI Standard</w:t>
      </w:r>
    </w:p>
    <w:p w14:paraId="3E37618A" w14:textId="2DDE24FC" w:rsidR="003071FB" w:rsidRPr="00586A91" w:rsidRDefault="003071FB" w:rsidP="003071FB">
      <w:pPr>
        <w:pStyle w:val="ListParagraph"/>
        <w:numPr>
          <w:ilvl w:val="0"/>
          <w:numId w:val="3"/>
        </w:numPr>
        <w:rPr>
          <w:b/>
          <w:bCs/>
          <w:sz w:val="24"/>
          <w:szCs w:val="24"/>
          <w:u w:val="single"/>
        </w:rPr>
      </w:pPr>
      <w:r w:rsidRPr="003071FB">
        <w:rPr>
          <w:sz w:val="24"/>
          <w:szCs w:val="24"/>
        </w:rPr>
        <w:t>The subgroup discussed in detail the new provisions</w:t>
      </w:r>
      <w:r w:rsidR="0035039C">
        <w:rPr>
          <w:sz w:val="24"/>
          <w:szCs w:val="24"/>
        </w:rPr>
        <w:t xml:space="preserve"> around reporting from</w:t>
      </w:r>
      <w:r w:rsidRPr="003071FB">
        <w:rPr>
          <w:sz w:val="24"/>
          <w:szCs w:val="24"/>
        </w:rPr>
        <w:t xml:space="preserve"> the 2023 EITI Standard. </w:t>
      </w:r>
      <w:r w:rsidRPr="00586A91">
        <w:rPr>
          <w:b/>
          <w:bCs/>
          <w:sz w:val="24"/>
          <w:szCs w:val="24"/>
          <w:u w:val="single"/>
        </w:rPr>
        <w:t>The agreed actions are included in Annex A below.</w:t>
      </w:r>
    </w:p>
    <w:p w14:paraId="0F05D25A" w14:textId="353860C1" w:rsidR="003071FB" w:rsidRDefault="003071FB" w:rsidP="00315376">
      <w:pPr>
        <w:rPr>
          <w:b/>
          <w:bCs/>
          <w:sz w:val="24"/>
          <w:szCs w:val="24"/>
          <w:u w:val="single"/>
        </w:rPr>
      </w:pPr>
      <w:r>
        <w:rPr>
          <w:b/>
          <w:bCs/>
          <w:sz w:val="24"/>
          <w:szCs w:val="24"/>
          <w:u w:val="single"/>
        </w:rPr>
        <w:t>Scope</w:t>
      </w:r>
    </w:p>
    <w:p w14:paraId="66AEA5F1" w14:textId="4381EF54" w:rsidR="003071FB" w:rsidRPr="003071FB" w:rsidRDefault="003071FB" w:rsidP="003071FB">
      <w:pPr>
        <w:pStyle w:val="ListParagraph"/>
        <w:numPr>
          <w:ilvl w:val="0"/>
          <w:numId w:val="3"/>
        </w:numPr>
        <w:rPr>
          <w:sz w:val="24"/>
          <w:szCs w:val="24"/>
        </w:rPr>
      </w:pPr>
      <w:r w:rsidRPr="003071FB">
        <w:rPr>
          <w:sz w:val="24"/>
          <w:szCs w:val="24"/>
        </w:rPr>
        <w:t>It was agreed that</w:t>
      </w:r>
      <w:r>
        <w:rPr>
          <w:sz w:val="24"/>
          <w:szCs w:val="24"/>
        </w:rPr>
        <w:t xml:space="preserve"> the current scope </w:t>
      </w:r>
      <w:r w:rsidR="00586A91">
        <w:rPr>
          <w:sz w:val="24"/>
          <w:szCs w:val="24"/>
        </w:rPr>
        <w:t>adequately covers the relevant</w:t>
      </w:r>
      <w:r>
        <w:rPr>
          <w:sz w:val="24"/>
          <w:szCs w:val="24"/>
        </w:rPr>
        <w:t xml:space="preserve"> taxes and</w:t>
      </w:r>
      <w:r w:rsidRPr="003071FB">
        <w:rPr>
          <w:sz w:val="24"/>
          <w:szCs w:val="24"/>
        </w:rPr>
        <w:t xml:space="preserve"> there </w:t>
      </w:r>
      <w:r>
        <w:rPr>
          <w:sz w:val="24"/>
          <w:szCs w:val="24"/>
        </w:rPr>
        <w:t>were</w:t>
      </w:r>
      <w:r w:rsidRPr="003071FB">
        <w:rPr>
          <w:sz w:val="24"/>
          <w:szCs w:val="24"/>
        </w:rPr>
        <w:t xml:space="preserve"> no </w:t>
      </w:r>
      <w:r>
        <w:rPr>
          <w:sz w:val="24"/>
          <w:szCs w:val="24"/>
        </w:rPr>
        <w:t xml:space="preserve">additional new </w:t>
      </w:r>
      <w:r w:rsidRPr="003071FB">
        <w:rPr>
          <w:sz w:val="24"/>
          <w:szCs w:val="24"/>
        </w:rPr>
        <w:t xml:space="preserve">taxes </w:t>
      </w:r>
      <w:r w:rsidR="00586A91">
        <w:rPr>
          <w:sz w:val="24"/>
          <w:szCs w:val="24"/>
        </w:rPr>
        <w:t>that need to be added</w:t>
      </w:r>
      <w:r>
        <w:rPr>
          <w:sz w:val="24"/>
          <w:szCs w:val="24"/>
        </w:rPr>
        <w:t>.</w:t>
      </w:r>
      <w:r w:rsidRPr="003071FB">
        <w:rPr>
          <w:sz w:val="24"/>
          <w:szCs w:val="24"/>
        </w:rPr>
        <w:t xml:space="preserve"> </w:t>
      </w:r>
    </w:p>
    <w:p w14:paraId="32D9892B" w14:textId="2EEA5EC8" w:rsidR="003071FB" w:rsidRDefault="003071FB" w:rsidP="00315376">
      <w:pPr>
        <w:rPr>
          <w:b/>
          <w:bCs/>
          <w:sz w:val="24"/>
          <w:szCs w:val="24"/>
          <w:u w:val="single"/>
        </w:rPr>
      </w:pPr>
      <w:r>
        <w:rPr>
          <w:b/>
          <w:bCs/>
          <w:sz w:val="24"/>
          <w:szCs w:val="24"/>
          <w:u w:val="single"/>
        </w:rPr>
        <w:t>Guidance and templates</w:t>
      </w:r>
    </w:p>
    <w:p w14:paraId="32FC59CA" w14:textId="2226DA23" w:rsidR="003071FB" w:rsidRPr="0035039C" w:rsidRDefault="003071FB" w:rsidP="003071FB">
      <w:pPr>
        <w:pStyle w:val="ListParagraph"/>
        <w:numPr>
          <w:ilvl w:val="0"/>
          <w:numId w:val="3"/>
        </w:numPr>
        <w:rPr>
          <w:b/>
          <w:bCs/>
          <w:sz w:val="24"/>
          <w:szCs w:val="24"/>
        </w:rPr>
      </w:pPr>
      <w:r>
        <w:rPr>
          <w:sz w:val="24"/>
          <w:szCs w:val="24"/>
        </w:rPr>
        <w:t>It was agreed that BDO and the UK Secretariat would meet separately to update both the guidance and templates in time for the next meeting.</w:t>
      </w:r>
      <w:r w:rsidR="0035039C">
        <w:rPr>
          <w:sz w:val="24"/>
          <w:szCs w:val="24"/>
        </w:rPr>
        <w:t xml:space="preserve"> </w:t>
      </w:r>
      <w:r w:rsidR="0035039C" w:rsidRPr="0035039C">
        <w:rPr>
          <w:b/>
          <w:bCs/>
          <w:sz w:val="24"/>
          <w:szCs w:val="24"/>
        </w:rPr>
        <w:t>(Action: UK Secretariat and BDO to meet to discuss updates).</w:t>
      </w:r>
    </w:p>
    <w:p w14:paraId="257C9A77" w14:textId="77FB39D7" w:rsidR="003071FB" w:rsidRDefault="003071FB" w:rsidP="003071FB">
      <w:pPr>
        <w:rPr>
          <w:b/>
          <w:bCs/>
          <w:sz w:val="24"/>
          <w:szCs w:val="24"/>
          <w:u w:val="single"/>
        </w:rPr>
      </w:pPr>
      <w:r w:rsidRPr="003071FB">
        <w:rPr>
          <w:b/>
          <w:bCs/>
          <w:sz w:val="24"/>
          <w:szCs w:val="24"/>
          <w:u w:val="single"/>
        </w:rPr>
        <w:t>AOB</w:t>
      </w:r>
    </w:p>
    <w:p w14:paraId="5F01F91D" w14:textId="5CE4BC21" w:rsidR="003071FB" w:rsidRPr="00586A91" w:rsidRDefault="003071FB" w:rsidP="003071FB">
      <w:pPr>
        <w:pStyle w:val="ListParagraph"/>
        <w:numPr>
          <w:ilvl w:val="0"/>
          <w:numId w:val="3"/>
        </w:numPr>
        <w:rPr>
          <w:sz w:val="24"/>
          <w:szCs w:val="24"/>
        </w:rPr>
      </w:pPr>
      <w:r w:rsidRPr="00586A91">
        <w:rPr>
          <w:sz w:val="24"/>
          <w:szCs w:val="24"/>
        </w:rPr>
        <w:t xml:space="preserve">The next meeting to be arranged for two weeks’ time. </w:t>
      </w:r>
      <w:r w:rsidRPr="00586A91">
        <w:rPr>
          <w:b/>
          <w:bCs/>
          <w:sz w:val="24"/>
          <w:szCs w:val="24"/>
        </w:rPr>
        <w:t xml:space="preserve">(Action: UK Secretariat </w:t>
      </w:r>
      <w:r w:rsidR="0035039C">
        <w:rPr>
          <w:b/>
          <w:bCs/>
          <w:sz w:val="24"/>
          <w:szCs w:val="24"/>
        </w:rPr>
        <w:t>have arranged the next meeting</w:t>
      </w:r>
      <w:r w:rsidRPr="00586A91">
        <w:rPr>
          <w:b/>
          <w:bCs/>
          <w:sz w:val="24"/>
          <w:szCs w:val="24"/>
        </w:rPr>
        <w:t xml:space="preserve"> for 15</w:t>
      </w:r>
      <w:r w:rsidRPr="00586A91">
        <w:rPr>
          <w:b/>
          <w:bCs/>
          <w:sz w:val="24"/>
          <w:szCs w:val="24"/>
          <w:vertAlign w:val="superscript"/>
        </w:rPr>
        <w:t>th</w:t>
      </w:r>
      <w:r w:rsidRPr="00586A91">
        <w:rPr>
          <w:b/>
          <w:bCs/>
          <w:sz w:val="24"/>
          <w:szCs w:val="24"/>
        </w:rPr>
        <w:t xml:space="preserve"> February 2024).</w:t>
      </w:r>
    </w:p>
    <w:p w14:paraId="523BFEA4" w14:textId="355BBA47" w:rsidR="003071FB" w:rsidRDefault="003071FB" w:rsidP="003071FB">
      <w:pPr>
        <w:rPr>
          <w:b/>
          <w:bCs/>
          <w:sz w:val="24"/>
          <w:szCs w:val="24"/>
          <w:u w:val="single"/>
        </w:rPr>
      </w:pPr>
      <w:r w:rsidRPr="003071FB">
        <w:rPr>
          <w:b/>
          <w:bCs/>
          <w:sz w:val="24"/>
          <w:szCs w:val="24"/>
          <w:u w:val="single"/>
        </w:rPr>
        <w:t>Annex A</w:t>
      </w:r>
    </w:p>
    <w:p w14:paraId="657ACA3E" w14:textId="77777777" w:rsidR="003071FB" w:rsidRDefault="003071FB" w:rsidP="003071FB">
      <w:pPr>
        <w:autoSpaceDE w:val="0"/>
        <w:autoSpaceDN w:val="0"/>
        <w:adjustRightInd w:val="0"/>
        <w:spacing w:after="120"/>
        <w:rPr>
          <w:rFonts w:ascii="Arial" w:hAnsi="Arial" w:cs="Arial"/>
          <w:b/>
          <w:bCs/>
          <w:sz w:val="32"/>
          <w:szCs w:val="32"/>
        </w:rPr>
      </w:pPr>
      <w:r>
        <w:rPr>
          <w:rFonts w:ascii="Arial" w:hAnsi="Arial" w:cs="Arial"/>
          <w:b/>
          <w:bCs/>
          <w:sz w:val="32"/>
          <w:szCs w:val="32"/>
        </w:rPr>
        <w:t>List of agreed actions</w:t>
      </w:r>
    </w:p>
    <w:tbl>
      <w:tblPr>
        <w:tblStyle w:val="TableGrid"/>
        <w:tblW w:w="0" w:type="auto"/>
        <w:tblLook w:val="04A0" w:firstRow="1" w:lastRow="0" w:firstColumn="1" w:lastColumn="0" w:noHBand="0" w:noVBand="1"/>
      </w:tblPr>
      <w:tblGrid>
        <w:gridCol w:w="418"/>
        <w:gridCol w:w="1570"/>
        <w:gridCol w:w="1211"/>
        <w:gridCol w:w="2815"/>
        <w:gridCol w:w="806"/>
        <w:gridCol w:w="2196"/>
      </w:tblGrid>
      <w:tr w:rsidR="003071FB" w:rsidRPr="004B345A" w14:paraId="3F2FDEE7" w14:textId="77777777" w:rsidTr="00542A73">
        <w:trPr>
          <w:trHeight w:val="340"/>
          <w:tblHeader/>
        </w:trPr>
        <w:tc>
          <w:tcPr>
            <w:tcW w:w="0" w:type="auto"/>
            <w:shd w:val="clear" w:color="auto" w:fill="C00000"/>
            <w:vAlign w:val="center"/>
          </w:tcPr>
          <w:p w14:paraId="32AD94D3"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N°</w:t>
            </w:r>
          </w:p>
        </w:tc>
        <w:tc>
          <w:tcPr>
            <w:tcW w:w="0" w:type="auto"/>
            <w:shd w:val="clear" w:color="auto" w:fill="C00000"/>
            <w:vAlign w:val="center"/>
          </w:tcPr>
          <w:p w14:paraId="4833367F"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 xml:space="preserve">Requirement Ref </w:t>
            </w:r>
          </w:p>
        </w:tc>
        <w:tc>
          <w:tcPr>
            <w:tcW w:w="0" w:type="auto"/>
            <w:shd w:val="clear" w:color="auto" w:fill="C00000"/>
            <w:vAlign w:val="center"/>
          </w:tcPr>
          <w:p w14:paraId="6FBE89CA"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Type of requirement</w:t>
            </w:r>
          </w:p>
        </w:tc>
        <w:tc>
          <w:tcPr>
            <w:tcW w:w="0" w:type="auto"/>
            <w:shd w:val="clear" w:color="auto" w:fill="C00000"/>
            <w:vAlign w:val="center"/>
          </w:tcPr>
          <w:p w14:paraId="7BB8FA8C"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Description</w:t>
            </w:r>
          </w:p>
        </w:tc>
        <w:tc>
          <w:tcPr>
            <w:tcW w:w="0" w:type="auto"/>
            <w:shd w:val="clear" w:color="auto" w:fill="C00000"/>
            <w:vAlign w:val="center"/>
          </w:tcPr>
          <w:p w14:paraId="0270C9EB"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Type of text</w:t>
            </w:r>
          </w:p>
        </w:tc>
        <w:tc>
          <w:tcPr>
            <w:tcW w:w="0" w:type="auto"/>
            <w:shd w:val="clear" w:color="auto" w:fill="C00000"/>
            <w:vAlign w:val="center"/>
          </w:tcPr>
          <w:p w14:paraId="3BFEF5FE"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Agreed actions</w:t>
            </w:r>
          </w:p>
        </w:tc>
      </w:tr>
      <w:tr w:rsidR="003071FB" w:rsidRPr="004B345A" w14:paraId="1B489BC4" w14:textId="77777777" w:rsidTr="00542A73">
        <w:tc>
          <w:tcPr>
            <w:tcW w:w="0" w:type="auto"/>
            <w:gridSpan w:val="6"/>
            <w:shd w:val="clear" w:color="auto" w:fill="D9D9D9" w:themeFill="background1" w:themeFillShade="D9"/>
            <w:vAlign w:val="center"/>
          </w:tcPr>
          <w:p w14:paraId="2A87154B"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 xml:space="preserve">Information that could be collected from in-scope </w:t>
            </w:r>
            <w:r>
              <w:rPr>
                <w:rFonts w:asciiTheme="minorBidi" w:hAnsiTheme="minorBidi" w:cstheme="minorBidi"/>
                <w:b/>
                <w:bCs/>
                <w:sz w:val="18"/>
                <w:szCs w:val="18"/>
              </w:rPr>
              <w:t xml:space="preserve">companies </w:t>
            </w:r>
            <w:r w:rsidRPr="004B345A">
              <w:rPr>
                <w:rFonts w:asciiTheme="minorBidi" w:hAnsiTheme="minorBidi" w:cstheme="minorBidi"/>
                <w:b/>
                <w:bCs/>
                <w:sz w:val="18"/>
                <w:szCs w:val="18"/>
              </w:rPr>
              <w:t>through the reporting process</w:t>
            </w:r>
          </w:p>
        </w:tc>
      </w:tr>
      <w:tr w:rsidR="003071FB" w:rsidRPr="004B345A" w14:paraId="4390BC47" w14:textId="77777777" w:rsidTr="00542A73">
        <w:tc>
          <w:tcPr>
            <w:tcW w:w="0" w:type="auto"/>
            <w:vAlign w:val="center"/>
          </w:tcPr>
          <w:p w14:paraId="4B8C668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w:t>
            </w:r>
          </w:p>
        </w:tc>
        <w:tc>
          <w:tcPr>
            <w:tcW w:w="0" w:type="auto"/>
            <w:shd w:val="clear" w:color="auto" w:fill="auto"/>
            <w:vAlign w:val="center"/>
          </w:tcPr>
          <w:p w14:paraId="6446F97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1.2.b Company engagement</w:t>
            </w:r>
          </w:p>
        </w:tc>
        <w:tc>
          <w:tcPr>
            <w:tcW w:w="0" w:type="auto"/>
            <w:shd w:val="clear" w:color="auto" w:fill="auto"/>
            <w:vAlign w:val="center"/>
          </w:tcPr>
          <w:p w14:paraId="11DD9763"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Expected</w:t>
            </w:r>
          </w:p>
        </w:tc>
        <w:tc>
          <w:tcPr>
            <w:tcW w:w="0" w:type="auto"/>
            <w:vAlign w:val="center"/>
          </w:tcPr>
          <w:p w14:paraId="7D05712D"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Reporting companies are </w:t>
            </w:r>
            <w:r w:rsidRPr="004B345A">
              <w:rPr>
                <w:rFonts w:asciiTheme="minorBidi" w:hAnsiTheme="minorBidi" w:cstheme="minorBidi"/>
                <w:b/>
                <w:bCs/>
                <w:color w:val="00B0F0"/>
                <w:sz w:val="18"/>
                <w:szCs w:val="18"/>
              </w:rPr>
              <w:t>expected</w:t>
            </w:r>
            <w:r w:rsidRPr="004B345A">
              <w:rPr>
                <w:rFonts w:asciiTheme="minorBidi" w:hAnsiTheme="minorBidi" w:cstheme="minorBidi"/>
                <w:sz w:val="18"/>
                <w:szCs w:val="18"/>
              </w:rPr>
              <w:t xml:space="preserve"> to publish an anti-corruption policy setting out how the company manages corruption risk, including their use of BO data. </w:t>
            </w:r>
          </w:p>
        </w:tc>
        <w:tc>
          <w:tcPr>
            <w:tcW w:w="0" w:type="auto"/>
            <w:vAlign w:val="center"/>
          </w:tcPr>
          <w:p w14:paraId="54D3BEB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5A492802"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Insert a</w:t>
            </w:r>
            <w:r w:rsidRPr="004B345A">
              <w:rPr>
                <w:rFonts w:asciiTheme="minorBidi" w:hAnsiTheme="minorBidi" w:cstheme="minorBidi"/>
                <w:sz w:val="18"/>
                <w:szCs w:val="18"/>
              </w:rPr>
              <w:t xml:space="preserve"> new tab </w:t>
            </w:r>
            <w:r>
              <w:rPr>
                <w:rFonts w:asciiTheme="minorBidi" w:hAnsiTheme="minorBidi" w:cstheme="minorBidi"/>
                <w:sz w:val="18"/>
                <w:szCs w:val="18"/>
              </w:rPr>
              <w:t>in</w:t>
            </w:r>
            <w:r w:rsidRPr="004B345A">
              <w:rPr>
                <w:rFonts w:asciiTheme="minorBidi" w:hAnsiTheme="minorBidi" w:cstheme="minorBidi"/>
                <w:sz w:val="18"/>
                <w:szCs w:val="18"/>
              </w:rPr>
              <w:t xml:space="preserve"> the reporting templates to collect this information.</w:t>
            </w:r>
          </w:p>
        </w:tc>
      </w:tr>
      <w:tr w:rsidR="003071FB" w:rsidRPr="004B345A" w14:paraId="3464BB1A" w14:textId="77777777" w:rsidTr="00542A73">
        <w:tc>
          <w:tcPr>
            <w:tcW w:w="0" w:type="auto"/>
            <w:vAlign w:val="center"/>
          </w:tcPr>
          <w:p w14:paraId="2293CAAF"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2</w:t>
            </w:r>
          </w:p>
        </w:tc>
        <w:tc>
          <w:tcPr>
            <w:tcW w:w="0" w:type="auto"/>
            <w:shd w:val="clear" w:color="auto" w:fill="auto"/>
            <w:vAlign w:val="center"/>
          </w:tcPr>
          <w:p w14:paraId="1AD35BB7"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2.5.f Beneficial ownership</w:t>
            </w:r>
          </w:p>
        </w:tc>
        <w:tc>
          <w:tcPr>
            <w:tcW w:w="0" w:type="auto"/>
            <w:shd w:val="clear" w:color="auto" w:fill="auto"/>
            <w:vAlign w:val="center"/>
          </w:tcPr>
          <w:p w14:paraId="3972418A" w14:textId="77777777" w:rsidR="003071FB" w:rsidRPr="004B345A" w:rsidRDefault="003071FB" w:rsidP="00542A73">
            <w:pPr>
              <w:autoSpaceDE w:val="0"/>
              <w:autoSpaceDN w:val="0"/>
              <w:adjustRightInd w:val="0"/>
              <w:spacing w:before="40" w:after="40"/>
              <w:rPr>
                <w:rFonts w:asciiTheme="minorBidi" w:hAnsiTheme="minorBidi" w:cstheme="minorBidi"/>
                <w:color w:val="000000" w:themeColor="text1"/>
                <w:sz w:val="18"/>
                <w:szCs w:val="18"/>
              </w:rPr>
            </w:pPr>
            <w:r w:rsidRPr="004B345A">
              <w:rPr>
                <w:rFonts w:asciiTheme="minorBidi" w:hAnsiTheme="minorBidi" w:cstheme="minorBidi"/>
                <w:color w:val="000000" w:themeColor="text1"/>
                <w:sz w:val="18"/>
                <w:szCs w:val="18"/>
              </w:rPr>
              <w:t>Encouraged</w:t>
            </w:r>
          </w:p>
        </w:tc>
        <w:tc>
          <w:tcPr>
            <w:tcW w:w="0" w:type="auto"/>
            <w:vAlign w:val="center"/>
          </w:tcPr>
          <w:p w14:paraId="6F491E9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Implementing countries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adopt an ownership threshold of 10% or lower for BO reporting.</w:t>
            </w:r>
          </w:p>
        </w:tc>
        <w:tc>
          <w:tcPr>
            <w:tcW w:w="0" w:type="auto"/>
            <w:vAlign w:val="center"/>
          </w:tcPr>
          <w:p w14:paraId="6327E11F"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0BF440C0" w14:textId="77777777" w:rsidR="003071FB" w:rsidRPr="00257908" w:rsidRDefault="003071FB" w:rsidP="00542A73">
            <w:pPr>
              <w:autoSpaceDE w:val="0"/>
              <w:autoSpaceDN w:val="0"/>
              <w:adjustRightInd w:val="0"/>
              <w:spacing w:before="40" w:after="40"/>
              <w:rPr>
                <w:rFonts w:asciiTheme="minorBidi" w:hAnsiTheme="minorBidi" w:cstheme="minorBidi"/>
                <w:sz w:val="18"/>
                <w:szCs w:val="18"/>
              </w:rPr>
            </w:pPr>
            <w:r w:rsidRPr="00257908">
              <w:rPr>
                <w:rFonts w:asciiTheme="minorBidi" w:hAnsiTheme="minorBidi" w:cstheme="minorBidi"/>
                <w:sz w:val="18"/>
                <w:szCs w:val="18"/>
              </w:rPr>
              <w:t>Reduce the materiality threshold from 25% to 10% and update the BO form and guidance accordingly.</w:t>
            </w:r>
          </w:p>
        </w:tc>
      </w:tr>
      <w:tr w:rsidR="003071FB" w:rsidRPr="004B345A" w14:paraId="7A307871" w14:textId="77777777" w:rsidTr="00542A73">
        <w:tc>
          <w:tcPr>
            <w:tcW w:w="0" w:type="auto"/>
            <w:vAlign w:val="center"/>
          </w:tcPr>
          <w:p w14:paraId="176A9483"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3</w:t>
            </w:r>
          </w:p>
        </w:tc>
        <w:tc>
          <w:tcPr>
            <w:tcW w:w="0" w:type="auto"/>
            <w:shd w:val="clear" w:color="auto" w:fill="auto"/>
            <w:vAlign w:val="center"/>
          </w:tcPr>
          <w:p w14:paraId="6ED024AD"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2.5.f Beneficial ownership</w:t>
            </w:r>
          </w:p>
        </w:tc>
        <w:tc>
          <w:tcPr>
            <w:tcW w:w="0" w:type="auto"/>
            <w:shd w:val="clear" w:color="auto" w:fill="auto"/>
            <w:vAlign w:val="center"/>
          </w:tcPr>
          <w:p w14:paraId="421BFECD" w14:textId="77777777" w:rsidR="003071FB" w:rsidRPr="004B345A" w:rsidRDefault="003071FB" w:rsidP="00542A73">
            <w:pPr>
              <w:autoSpaceDE w:val="0"/>
              <w:autoSpaceDN w:val="0"/>
              <w:adjustRightInd w:val="0"/>
              <w:spacing w:before="40" w:after="40"/>
              <w:rPr>
                <w:rFonts w:asciiTheme="minorBidi" w:hAnsiTheme="minorBidi" w:cstheme="minorBidi"/>
                <w:color w:val="000000" w:themeColor="text1"/>
                <w:sz w:val="18"/>
                <w:szCs w:val="18"/>
              </w:rPr>
            </w:pPr>
            <w:r w:rsidRPr="004B345A">
              <w:rPr>
                <w:rFonts w:asciiTheme="minorBidi" w:hAnsiTheme="minorBidi" w:cstheme="minorBidi"/>
                <w:color w:val="000000" w:themeColor="text1"/>
                <w:sz w:val="18"/>
                <w:szCs w:val="18"/>
              </w:rPr>
              <w:t>Mandatory</w:t>
            </w:r>
          </w:p>
        </w:tc>
        <w:tc>
          <w:tcPr>
            <w:tcW w:w="0" w:type="auto"/>
            <w:vAlign w:val="center"/>
          </w:tcPr>
          <w:p w14:paraId="470AE559"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The definition must also specify reporting obligations for PEPs. ICs are </w:t>
            </w:r>
            <w:r w:rsidRPr="004B345A">
              <w:rPr>
                <w:rFonts w:asciiTheme="minorBidi" w:hAnsiTheme="minorBidi" w:cstheme="minorBidi"/>
                <w:b/>
                <w:bCs/>
                <w:color w:val="FF0000"/>
                <w:sz w:val="18"/>
                <w:szCs w:val="18"/>
              </w:rPr>
              <w:t>required</w:t>
            </w:r>
            <w:r w:rsidRPr="004B345A">
              <w:rPr>
                <w:rFonts w:asciiTheme="minorBidi" w:hAnsiTheme="minorBidi" w:cstheme="minorBidi"/>
                <w:sz w:val="18"/>
                <w:szCs w:val="18"/>
              </w:rPr>
              <w:t xml:space="preserve"> to request full disclosure of PEP’s BO </w:t>
            </w:r>
            <w:r w:rsidRPr="004B345A">
              <w:rPr>
                <w:rFonts w:asciiTheme="minorBidi" w:hAnsiTheme="minorBidi" w:cstheme="minorBidi"/>
                <w:sz w:val="18"/>
                <w:szCs w:val="18"/>
                <w:u w:val="single"/>
              </w:rPr>
              <w:t>regardless</w:t>
            </w:r>
            <w:r w:rsidRPr="004B345A">
              <w:rPr>
                <w:rFonts w:asciiTheme="minorBidi" w:hAnsiTheme="minorBidi" w:cstheme="minorBidi"/>
                <w:sz w:val="18"/>
                <w:szCs w:val="18"/>
              </w:rPr>
              <w:t xml:space="preserve"> of their level of ownership.</w:t>
            </w:r>
          </w:p>
        </w:tc>
        <w:tc>
          <w:tcPr>
            <w:tcW w:w="0" w:type="auto"/>
            <w:vAlign w:val="center"/>
          </w:tcPr>
          <w:p w14:paraId="080D703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Refined</w:t>
            </w:r>
          </w:p>
        </w:tc>
        <w:tc>
          <w:tcPr>
            <w:tcW w:w="0" w:type="auto"/>
            <w:vAlign w:val="center"/>
          </w:tcPr>
          <w:p w14:paraId="06976CAA" w14:textId="77777777" w:rsidR="003071FB" w:rsidRPr="00257908" w:rsidRDefault="003071FB" w:rsidP="00542A73">
            <w:pPr>
              <w:autoSpaceDE w:val="0"/>
              <w:autoSpaceDN w:val="0"/>
              <w:adjustRightInd w:val="0"/>
              <w:spacing w:before="40" w:after="40"/>
              <w:rPr>
                <w:rFonts w:asciiTheme="minorBidi" w:hAnsiTheme="minorBidi" w:cstheme="minorBidi"/>
                <w:sz w:val="18"/>
                <w:szCs w:val="18"/>
              </w:rPr>
            </w:pPr>
            <w:r w:rsidRPr="00257908">
              <w:rPr>
                <w:rFonts w:asciiTheme="minorBidi" w:hAnsiTheme="minorBidi" w:cstheme="minorBidi"/>
                <w:sz w:val="18"/>
                <w:szCs w:val="18"/>
              </w:rPr>
              <w:t>Reduce the materiality threshold from 5% to 0% and update the BO form and guidance accordingly.</w:t>
            </w:r>
          </w:p>
        </w:tc>
      </w:tr>
      <w:tr w:rsidR="003071FB" w:rsidRPr="004B345A" w14:paraId="583C755D" w14:textId="77777777" w:rsidTr="00542A73">
        <w:tc>
          <w:tcPr>
            <w:tcW w:w="0" w:type="auto"/>
            <w:vAlign w:val="center"/>
          </w:tcPr>
          <w:p w14:paraId="30897A3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4</w:t>
            </w:r>
          </w:p>
        </w:tc>
        <w:tc>
          <w:tcPr>
            <w:tcW w:w="0" w:type="auto"/>
            <w:shd w:val="clear" w:color="auto" w:fill="auto"/>
            <w:vAlign w:val="center"/>
          </w:tcPr>
          <w:p w14:paraId="252270DD"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2.5.g Beneficial ownership</w:t>
            </w:r>
          </w:p>
        </w:tc>
        <w:tc>
          <w:tcPr>
            <w:tcW w:w="0" w:type="auto"/>
            <w:shd w:val="clear" w:color="auto" w:fill="auto"/>
            <w:vAlign w:val="center"/>
          </w:tcPr>
          <w:p w14:paraId="3550A2CE"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71828E7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their ownership structure, including the full chain of legal entities leading to the beneficial owner.</w:t>
            </w:r>
          </w:p>
        </w:tc>
        <w:tc>
          <w:tcPr>
            <w:tcW w:w="0" w:type="auto"/>
            <w:vAlign w:val="center"/>
          </w:tcPr>
          <w:p w14:paraId="38A0CFC3"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0C4F45FB"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Insert a</w:t>
            </w:r>
            <w:r w:rsidRPr="004B345A">
              <w:rPr>
                <w:rFonts w:asciiTheme="minorBidi" w:hAnsiTheme="minorBidi" w:cstheme="minorBidi"/>
                <w:sz w:val="18"/>
                <w:szCs w:val="18"/>
              </w:rPr>
              <w:t xml:space="preserve"> new tab </w:t>
            </w:r>
            <w:r>
              <w:rPr>
                <w:rFonts w:asciiTheme="minorBidi" w:hAnsiTheme="minorBidi" w:cstheme="minorBidi"/>
                <w:sz w:val="18"/>
                <w:szCs w:val="18"/>
              </w:rPr>
              <w:t>in</w:t>
            </w:r>
            <w:r w:rsidRPr="004B345A">
              <w:rPr>
                <w:rFonts w:asciiTheme="minorBidi" w:hAnsiTheme="minorBidi" w:cstheme="minorBidi"/>
                <w:sz w:val="18"/>
                <w:szCs w:val="18"/>
              </w:rPr>
              <w:t xml:space="preserve"> the reporting templates to collect this information.</w:t>
            </w:r>
          </w:p>
        </w:tc>
      </w:tr>
      <w:tr w:rsidR="003071FB" w:rsidRPr="004B345A" w14:paraId="06686D3B" w14:textId="77777777" w:rsidTr="00542A73">
        <w:tc>
          <w:tcPr>
            <w:tcW w:w="0" w:type="auto"/>
            <w:vAlign w:val="center"/>
          </w:tcPr>
          <w:p w14:paraId="226F600E"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5</w:t>
            </w:r>
          </w:p>
        </w:tc>
        <w:tc>
          <w:tcPr>
            <w:tcW w:w="0" w:type="auto"/>
            <w:shd w:val="clear" w:color="auto" w:fill="auto"/>
            <w:vAlign w:val="center"/>
          </w:tcPr>
          <w:p w14:paraId="25C4C8D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4.1.e Comprehensive disclosure of taxes and revenues</w:t>
            </w:r>
          </w:p>
        </w:tc>
        <w:tc>
          <w:tcPr>
            <w:tcW w:w="0" w:type="auto"/>
            <w:shd w:val="clear" w:color="auto" w:fill="auto"/>
            <w:vAlign w:val="center"/>
          </w:tcPr>
          <w:p w14:paraId="0958913B" w14:textId="77777777" w:rsidR="003071FB" w:rsidRPr="004B345A" w:rsidRDefault="003071FB" w:rsidP="00542A73">
            <w:pPr>
              <w:autoSpaceDE w:val="0"/>
              <w:autoSpaceDN w:val="0"/>
              <w:adjustRightInd w:val="0"/>
              <w:spacing w:before="40" w:after="40"/>
              <w:rPr>
                <w:rFonts w:asciiTheme="minorBidi" w:hAnsiTheme="minorBidi" w:cstheme="minorBidi"/>
                <w:color w:val="000000" w:themeColor="text1"/>
                <w:sz w:val="18"/>
                <w:szCs w:val="18"/>
              </w:rPr>
            </w:pPr>
            <w:r w:rsidRPr="004B345A">
              <w:rPr>
                <w:rFonts w:asciiTheme="minorBidi" w:hAnsiTheme="minorBidi" w:cstheme="minorBidi"/>
                <w:color w:val="000000" w:themeColor="text1"/>
                <w:sz w:val="18"/>
                <w:szCs w:val="18"/>
              </w:rPr>
              <w:t>Expected</w:t>
            </w:r>
          </w:p>
        </w:tc>
        <w:tc>
          <w:tcPr>
            <w:tcW w:w="0" w:type="auto"/>
            <w:vAlign w:val="center"/>
          </w:tcPr>
          <w:p w14:paraId="25C84AB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are </w:t>
            </w:r>
            <w:r w:rsidRPr="004B345A">
              <w:rPr>
                <w:rFonts w:asciiTheme="minorBidi" w:hAnsiTheme="minorBidi" w:cstheme="minorBidi"/>
                <w:b/>
                <w:bCs/>
                <w:color w:val="00B0F0"/>
                <w:sz w:val="18"/>
                <w:szCs w:val="18"/>
              </w:rPr>
              <w:t>expected</w:t>
            </w:r>
            <w:r w:rsidRPr="004B345A">
              <w:rPr>
                <w:rFonts w:asciiTheme="minorBidi" w:hAnsiTheme="minorBidi" w:cstheme="minorBidi"/>
                <w:sz w:val="18"/>
                <w:szCs w:val="18"/>
              </w:rPr>
              <w:t xml:space="preserve"> to publicly disclose their audited FS, or the main items (i.e. balance sheet, profit/loss statement, cash flows and effective tax rates) where FS are not available at country level.</w:t>
            </w:r>
          </w:p>
        </w:tc>
        <w:tc>
          <w:tcPr>
            <w:tcW w:w="0" w:type="auto"/>
            <w:vAlign w:val="center"/>
          </w:tcPr>
          <w:p w14:paraId="0FE736D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Refined</w:t>
            </w:r>
          </w:p>
        </w:tc>
        <w:tc>
          <w:tcPr>
            <w:tcW w:w="0" w:type="auto"/>
            <w:vAlign w:val="center"/>
          </w:tcPr>
          <w:p w14:paraId="34304A5F" w14:textId="77777777" w:rsidR="003071FB"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Insert a</w:t>
            </w:r>
            <w:r w:rsidRPr="004B345A">
              <w:rPr>
                <w:rFonts w:asciiTheme="minorBidi" w:hAnsiTheme="minorBidi" w:cstheme="minorBidi"/>
                <w:sz w:val="18"/>
                <w:szCs w:val="18"/>
              </w:rPr>
              <w:t xml:space="preserve"> new tab </w:t>
            </w:r>
            <w:r>
              <w:rPr>
                <w:rFonts w:asciiTheme="minorBidi" w:hAnsiTheme="minorBidi" w:cstheme="minorBidi"/>
                <w:sz w:val="18"/>
                <w:szCs w:val="18"/>
              </w:rPr>
              <w:t>in</w:t>
            </w:r>
            <w:r w:rsidRPr="004B345A">
              <w:rPr>
                <w:rFonts w:asciiTheme="minorBidi" w:hAnsiTheme="minorBidi" w:cstheme="minorBidi"/>
                <w:sz w:val="18"/>
                <w:szCs w:val="18"/>
              </w:rPr>
              <w:t xml:space="preserve"> the reporting templates to collect this information.</w:t>
            </w:r>
          </w:p>
          <w:p w14:paraId="3BA1FE0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 xml:space="preserve">Add a </w:t>
            </w:r>
            <w:r w:rsidRPr="004B345A">
              <w:rPr>
                <w:rFonts w:asciiTheme="minorBidi" w:hAnsiTheme="minorBidi" w:cstheme="minorBidi"/>
                <w:sz w:val="18"/>
                <w:szCs w:val="18"/>
              </w:rPr>
              <w:t xml:space="preserve">note </w:t>
            </w:r>
            <w:r>
              <w:rPr>
                <w:rFonts w:asciiTheme="minorBidi" w:hAnsiTheme="minorBidi" w:cstheme="minorBidi"/>
                <w:sz w:val="18"/>
                <w:szCs w:val="18"/>
              </w:rPr>
              <w:t>in the Payments Report</w:t>
            </w:r>
            <w:r w:rsidRPr="004B345A">
              <w:rPr>
                <w:rFonts w:asciiTheme="minorBidi" w:hAnsiTheme="minorBidi" w:cstheme="minorBidi"/>
                <w:sz w:val="18"/>
                <w:szCs w:val="18"/>
              </w:rPr>
              <w:t xml:space="preserve"> to mention 1) that the reporting period may not correspond to the calendar year (i.e. EITI reporting period) and 2) to direct readers to the Companies House web page to view the latest FS.</w:t>
            </w:r>
          </w:p>
          <w:p w14:paraId="509BDC8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BDO should perf</w:t>
            </w:r>
            <w:r>
              <w:rPr>
                <w:rFonts w:asciiTheme="minorBidi" w:hAnsiTheme="minorBidi" w:cstheme="minorBidi"/>
                <w:sz w:val="18"/>
                <w:szCs w:val="18"/>
              </w:rPr>
              <w:t>orm</w:t>
            </w:r>
            <w:r w:rsidRPr="004B345A">
              <w:rPr>
                <w:rFonts w:asciiTheme="minorBidi" w:hAnsiTheme="minorBidi" w:cstheme="minorBidi"/>
                <w:sz w:val="18"/>
                <w:szCs w:val="18"/>
              </w:rPr>
              <w:t xml:space="preserve"> further checks </w:t>
            </w:r>
            <w:r>
              <w:rPr>
                <w:rFonts w:asciiTheme="minorBidi" w:hAnsiTheme="minorBidi" w:cstheme="minorBidi"/>
                <w:sz w:val="18"/>
                <w:szCs w:val="18"/>
              </w:rPr>
              <w:t>regarding</w:t>
            </w:r>
            <w:r w:rsidRPr="004B345A">
              <w:rPr>
                <w:rFonts w:asciiTheme="minorBidi" w:hAnsiTheme="minorBidi" w:cstheme="minorBidi"/>
                <w:sz w:val="18"/>
                <w:szCs w:val="18"/>
              </w:rPr>
              <w:t xml:space="preserve"> all available information from companies established outside the UK.</w:t>
            </w:r>
          </w:p>
        </w:tc>
      </w:tr>
      <w:tr w:rsidR="003071FB" w:rsidRPr="004B345A" w14:paraId="1CE99420" w14:textId="77777777" w:rsidTr="00542A73">
        <w:tc>
          <w:tcPr>
            <w:tcW w:w="0" w:type="auto"/>
            <w:vAlign w:val="center"/>
          </w:tcPr>
          <w:p w14:paraId="6F3334C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6</w:t>
            </w:r>
          </w:p>
        </w:tc>
        <w:tc>
          <w:tcPr>
            <w:tcW w:w="0" w:type="auto"/>
            <w:shd w:val="clear" w:color="auto" w:fill="auto"/>
            <w:vAlign w:val="center"/>
          </w:tcPr>
          <w:p w14:paraId="1A7C363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6.4.b Environmental and social impact of extractive activities</w:t>
            </w:r>
          </w:p>
        </w:tc>
        <w:tc>
          <w:tcPr>
            <w:tcW w:w="0" w:type="auto"/>
            <w:shd w:val="clear" w:color="auto" w:fill="auto"/>
            <w:vAlign w:val="center"/>
          </w:tcPr>
          <w:p w14:paraId="2A38D54B" w14:textId="77777777" w:rsidR="003071FB" w:rsidRPr="004B345A" w:rsidRDefault="003071FB" w:rsidP="00542A73">
            <w:pPr>
              <w:autoSpaceDE w:val="0"/>
              <w:autoSpaceDN w:val="0"/>
              <w:adjustRightInd w:val="0"/>
              <w:spacing w:before="40" w:after="40"/>
              <w:rPr>
                <w:rFonts w:asciiTheme="minorBidi" w:hAnsiTheme="minorBidi" w:cstheme="minorBidi"/>
                <w:color w:val="000000" w:themeColor="text1"/>
                <w:sz w:val="18"/>
                <w:szCs w:val="18"/>
              </w:rPr>
            </w:pPr>
            <w:r w:rsidRPr="004B345A">
              <w:rPr>
                <w:rFonts w:asciiTheme="minorBidi" w:hAnsiTheme="minorBidi" w:cstheme="minorBidi"/>
                <w:color w:val="000000" w:themeColor="text1"/>
                <w:sz w:val="18"/>
                <w:szCs w:val="18"/>
              </w:rPr>
              <w:t>Mandatory</w:t>
            </w:r>
          </w:p>
        </w:tc>
        <w:tc>
          <w:tcPr>
            <w:tcW w:w="0" w:type="auto"/>
            <w:vAlign w:val="center"/>
          </w:tcPr>
          <w:p w14:paraId="615B54A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ICs and reporting companies are </w:t>
            </w:r>
            <w:r w:rsidRPr="004B345A">
              <w:rPr>
                <w:rFonts w:asciiTheme="minorBidi" w:hAnsiTheme="minorBidi" w:cstheme="minorBidi"/>
                <w:b/>
                <w:bCs/>
                <w:color w:val="FF0000"/>
                <w:sz w:val="18"/>
                <w:szCs w:val="18"/>
              </w:rPr>
              <w:t>required</w:t>
            </w:r>
            <w:r w:rsidRPr="004B345A">
              <w:rPr>
                <w:rFonts w:asciiTheme="minorBidi" w:hAnsiTheme="minorBidi" w:cstheme="minorBidi"/>
                <w:sz w:val="18"/>
                <w:szCs w:val="18"/>
              </w:rPr>
              <w:t xml:space="preserve"> to ensure that public environmental, social and gender impact assessments, monitoring reports, permits, and licenses that are mandated by law or contract, are publicly accessible in practice.</w:t>
            </w:r>
          </w:p>
        </w:tc>
        <w:tc>
          <w:tcPr>
            <w:tcW w:w="0" w:type="auto"/>
            <w:vAlign w:val="center"/>
          </w:tcPr>
          <w:p w14:paraId="07CB12D7"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149E6DDE"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Insert a</w:t>
            </w:r>
            <w:r w:rsidRPr="004B345A">
              <w:rPr>
                <w:rFonts w:asciiTheme="minorBidi" w:hAnsiTheme="minorBidi" w:cstheme="minorBidi"/>
                <w:sz w:val="18"/>
                <w:szCs w:val="18"/>
              </w:rPr>
              <w:t xml:space="preserve"> new tab </w:t>
            </w:r>
            <w:r>
              <w:rPr>
                <w:rFonts w:asciiTheme="minorBidi" w:hAnsiTheme="minorBidi" w:cstheme="minorBidi"/>
                <w:sz w:val="18"/>
                <w:szCs w:val="18"/>
              </w:rPr>
              <w:t>in</w:t>
            </w:r>
            <w:r w:rsidRPr="004B345A">
              <w:rPr>
                <w:rFonts w:asciiTheme="minorBidi" w:hAnsiTheme="minorBidi" w:cstheme="minorBidi"/>
                <w:sz w:val="18"/>
                <w:szCs w:val="18"/>
              </w:rPr>
              <w:t xml:space="preserve"> the reporting templates to collect this information.</w:t>
            </w:r>
          </w:p>
        </w:tc>
      </w:tr>
      <w:tr w:rsidR="003071FB" w:rsidRPr="004B345A" w14:paraId="390FA60A" w14:textId="77777777" w:rsidTr="00542A73">
        <w:tc>
          <w:tcPr>
            <w:tcW w:w="0" w:type="auto"/>
            <w:vAlign w:val="center"/>
          </w:tcPr>
          <w:p w14:paraId="47E4452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7</w:t>
            </w:r>
          </w:p>
        </w:tc>
        <w:tc>
          <w:tcPr>
            <w:tcW w:w="0" w:type="auto"/>
            <w:shd w:val="clear" w:color="auto" w:fill="auto"/>
            <w:vAlign w:val="center"/>
          </w:tcPr>
          <w:p w14:paraId="1B3CAAA1"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6.4.c Environmental and social impact of extractive activities</w:t>
            </w:r>
          </w:p>
        </w:tc>
        <w:tc>
          <w:tcPr>
            <w:tcW w:w="0" w:type="auto"/>
            <w:shd w:val="clear" w:color="auto" w:fill="auto"/>
            <w:vAlign w:val="center"/>
          </w:tcPr>
          <w:p w14:paraId="016A9957"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7189509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further information about their social, gender and environmental management and impact.</w:t>
            </w:r>
          </w:p>
        </w:tc>
        <w:tc>
          <w:tcPr>
            <w:tcW w:w="0" w:type="auto"/>
            <w:vAlign w:val="center"/>
          </w:tcPr>
          <w:p w14:paraId="3BE543E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656A4616"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Same as above.</w:t>
            </w:r>
          </w:p>
        </w:tc>
      </w:tr>
      <w:tr w:rsidR="003071FB" w:rsidRPr="004B345A" w14:paraId="1E372D32" w14:textId="77777777" w:rsidTr="00542A73">
        <w:tc>
          <w:tcPr>
            <w:tcW w:w="0" w:type="auto"/>
            <w:vAlign w:val="center"/>
          </w:tcPr>
          <w:p w14:paraId="2861A4A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8</w:t>
            </w:r>
          </w:p>
        </w:tc>
        <w:tc>
          <w:tcPr>
            <w:tcW w:w="0" w:type="auto"/>
            <w:shd w:val="clear" w:color="auto" w:fill="auto"/>
            <w:vAlign w:val="center"/>
          </w:tcPr>
          <w:p w14:paraId="44F5638B"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6.3.a Contribution of the extractive sector to the economy</w:t>
            </w:r>
          </w:p>
        </w:tc>
        <w:tc>
          <w:tcPr>
            <w:tcW w:w="0" w:type="auto"/>
            <w:shd w:val="clear" w:color="auto" w:fill="auto"/>
            <w:vAlign w:val="center"/>
          </w:tcPr>
          <w:p w14:paraId="14F8A809"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22532143"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the gender pay gap.</w:t>
            </w:r>
          </w:p>
        </w:tc>
        <w:tc>
          <w:tcPr>
            <w:tcW w:w="0" w:type="auto"/>
            <w:vAlign w:val="center"/>
          </w:tcPr>
          <w:p w14:paraId="6A2FBF75"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44D0ED9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Same as above.</w:t>
            </w:r>
          </w:p>
        </w:tc>
      </w:tr>
      <w:tr w:rsidR="003071FB" w:rsidRPr="004B345A" w14:paraId="7B0A1334" w14:textId="77777777" w:rsidTr="00542A73">
        <w:tc>
          <w:tcPr>
            <w:tcW w:w="0" w:type="auto"/>
            <w:gridSpan w:val="6"/>
            <w:shd w:val="clear" w:color="auto" w:fill="D9D9D9" w:themeFill="background1" w:themeFillShade="D9"/>
            <w:vAlign w:val="center"/>
          </w:tcPr>
          <w:p w14:paraId="45CD9641"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b/>
                <w:bCs/>
                <w:sz w:val="18"/>
                <w:szCs w:val="18"/>
              </w:rPr>
              <w:t>Information that could be collected from NSTA for oil and gas sector</w:t>
            </w:r>
          </w:p>
        </w:tc>
      </w:tr>
      <w:tr w:rsidR="003071FB" w:rsidRPr="004B345A" w14:paraId="77ED3471" w14:textId="77777777" w:rsidTr="00542A73">
        <w:tc>
          <w:tcPr>
            <w:tcW w:w="0" w:type="auto"/>
            <w:vAlign w:val="center"/>
          </w:tcPr>
          <w:p w14:paraId="4C8F98B1"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9</w:t>
            </w:r>
          </w:p>
        </w:tc>
        <w:tc>
          <w:tcPr>
            <w:tcW w:w="0" w:type="auto"/>
            <w:shd w:val="clear" w:color="auto" w:fill="auto"/>
            <w:vAlign w:val="center"/>
          </w:tcPr>
          <w:p w14:paraId="3BE1A03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3.1.b Exploration activities</w:t>
            </w:r>
          </w:p>
        </w:tc>
        <w:tc>
          <w:tcPr>
            <w:tcW w:w="0" w:type="auto"/>
            <w:shd w:val="clear" w:color="auto" w:fill="auto"/>
            <w:vAlign w:val="center"/>
          </w:tcPr>
          <w:p w14:paraId="59CCE0C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23D84155"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ICs and 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data on proven economic oil, gas or mineral reserves, where available.</w:t>
            </w:r>
          </w:p>
        </w:tc>
        <w:tc>
          <w:tcPr>
            <w:tcW w:w="0" w:type="auto"/>
            <w:vAlign w:val="center"/>
          </w:tcPr>
          <w:p w14:paraId="3A4F2A3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0A12DBF2" w14:textId="77777777" w:rsidR="003071FB"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NSTA to provide this i</w:t>
            </w:r>
            <w:r w:rsidRPr="004B345A">
              <w:rPr>
                <w:rFonts w:asciiTheme="minorBidi" w:hAnsiTheme="minorBidi" w:cstheme="minorBidi"/>
                <w:sz w:val="18"/>
                <w:szCs w:val="18"/>
              </w:rPr>
              <w:t>nformation</w:t>
            </w:r>
            <w:r>
              <w:rPr>
                <w:rFonts w:asciiTheme="minorBidi" w:hAnsiTheme="minorBidi" w:cstheme="minorBidi"/>
                <w:sz w:val="18"/>
                <w:szCs w:val="18"/>
              </w:rPr>
              <w:t>.</w:t>
            </w:r>
          </w:p>
          <w:p w14:paraId="108C783B"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 xml:space="preserve">DESNZ to update the </w:t>
            </w:r>
            <w:r w:rsidRPr="004B345A">
              <w:rPr>
                <w:rFonts w:asciiTheme="minorBidi" w:hAnsiTheme="minorBidi" w:cstheme="minorBidi"/>
                <w:sz w:val="18"/>
                <w:szCs w:val="18"/>
              </w:rPr>
              <w:t xml:space="preserve">UK EITI </w:t>
            </w:r>
            <w:r>
              <w:rPr>
                <w:rFonts w:asciiTheme="minorBidi" w:hAnsiTheme="minorBidi" w:cstheme="minorBidi"/>
                <w:sz w:val="18"/>
                <w:szCs w:val="18"/>
              </w:rPr>
              <w:t>w</w:t>
            </w:r>
            <w:r w:rsidRPr="004B345A">
              <w:rPr>
                <w:rFonts w:asciiTheme="minorBidi" w:hAnsiTheme="minorBidi" w:cstheme="minorBidi"/>
                <w:sz w:val="18"/>
                <w:szCs w:val="18"/>
              </w:rPr>
              <w:t>ebsite</w:t>
            </w:r>
            <w:r>
              <w:rPr>
                <w:rFonts w:asciiTheme="minorBidi" w:hAnsiTheme="minorBidi" w:cstheme="minorBidi"/>
                <w:sz w:val="18"/>
                <w:szCs w:val="18"/>
              </w:rPr>
              <w:t>.</w:t>
            </w:r>
          </w:p>
        </w:tc>
      </w:tr>
      <w:tr w:rsidR="003071FB" w:rsidRPr="004B345A" w14:paraId="1BCF0C64" w14:textId="77777777" w:rsidTr="00542A73">
        <w:tc>
          <w:tcPr>
            <w:tcW w:w="0" w:type="auto"/>
            <w:vAlign w:val="center"/>
          </w:tcPr>
          <w:p w14:paraId="6201B80D"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10</w:t>
            </w:r>
          </w:p>
        </w:tc>
        <w:tc>
          <w:tcPr>
            <w:tcW w:w="0" w:type="auto"/>
            <w:shd w:val="clear" w:color="auto" w:fill="auto"/>
            <w:vAlign w:val="center"/>
          </w:tcPr>
          <w:p w14:paraId="76FEC53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3.2.d Production data</w:t>
            </w:r>
          </w:p>
        </w:tc>
        <w:tc>
          <w:tcPr>
            <w:tcW w:w="0" w:type="auto"/>
            <w:shd w:val="clear" w:color="auto" w:fill="auto"/>
            <w:vAlign w:val="center"/>
          </w:tcPr>
          <w:p w14:paraId="26E1419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2A9E6A6B"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realised sales volumes and values by project.</w:t>
            </w:r>
          </w:p>
        </w:tc>
        <w:tc>
          <w:tcPr>
            <w:tcW w:w="0" w:type="auto"/>
            <w:vAlign w:val="center"/>
          </w:tcPr>
          <w:p w14:paraId="1A654A9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3AEA38ED" w14:textId="77777777" w:rsidR="003071FB"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NSTA to provide this i</w:t>
            </w:r>
            <w:r w:rsidRPr="004B345A">
              <w:rPr>
                <w:rFonts w:asciiTheme="minorBidi" w:hAnsiTheme="minorBidi" w:cstheme="minorBidi"/>
                <w:sz w:val="18"/>
                <w:szCs w:val="18"/>
              </w:rPr>
              <w:t>nformation</w:t>
            </w:r>
            <w:r>
              <w:rPr>
                <w:rFonts w:asciiTheme="minorBidi" w:hAnsiTheme="minorBidi" w:cstheme="minorBidi"/>
                <w:sz w:val="18"/>
                <w:szCs w:val="18"/>
              </w:rPr>
              <w:t>.</w:t>
            </w:r>
          </w:p>
          <w:p w14:paraId="4696A1EE"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 xml:space="preserve">DESNZ to update the </w:t>
            </w:r>
            <w:r w:rsidRPr="004B345A">
              <w:rPr>
                <w:rFonts w:asciiTheme="minorBidi" w:hAnsiTheme="minorBidi" w:cstheme="minorBidi"/>
                <w:sz w:val="18"/>
                <w:szCs w:val="18"/>
              </w:rPr>
              <w:t xml:space="preserve">UK EITI </w:t>
            </w:r>
            <w:r>
              <w:rPr>
                <w:rFonts w:asciiTheme="minorBidi" w:hAnsiTheme="minorBidi" w:cstheme="minorBidi"/>
                <w:sz w:val="18"/>
                <w:szCs w:val="18"/>
              </w:rPr>
              <w:t>w</w:t>
            </w:r>
            <w:r w:rsidRPr="004B345A">
              <w:rPr>
                <w:rFonts w:asciiTheme="minorBidi" w:hAnsiTheme="minorBidi" w:cstheme="minorBidi"/>
                <w:sz w:val="18"/>
                <w:szCs w:val="18"/>
              </w:rPr>
              <w:t>ebsite</w:t>
            </w:r>
            <w:r>
              <w:rPr>
                <w:rFonts w:asciiTheme="minorBidi" w:hAnsiTheme="minorBidi" w:cstheme="minorBidi"/>
                <w:sz w:val="18"/>
                <w:szCs w:val="18"/>
              </w:rPr>
              <w:t>.</w:t>
            </w:r>
          </w:p>
        </w:tc>
      </w:tr>
      <w:tr w:rsidR="003071FB" w:rsidRPr="004B345A" w14:paraId="277A14BA" w14:textId="77777777" w:rsidTr="00542A73">
        <w:tc>
          <w:tcPr>
            <w:tcW w:w="0" w:type="auto"/>
            <w:vAlign w:val="center"/>
          </w:tcPr>
          <w:p w14:paraId="711B258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11</w:t>
            </w:r>
          </w:p>
        </w:tc>
        <w:tc>
          <w:tcPr>
            <w:tcW w:w="0" w:type="auto"/>
            <w:shd w:val="clear" w:color="auto" w:fill="auto"/>
            <w:vAlign w:val="center"/>
          </w:tcPr>
          <w:p w14:paraId="397AA326"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3.4.a Greenhouse gas emissions</w:t>
            </w:r>
          </w:p>
        </w:tc>
        <w:tc>
          <w:tcPr>
            <w:tcW w:w="0" w:type="auto"/>
            <w:shd w:val="clear" w:color="auto" w:fill="auto"/>
            <w:vAlign w:val="center"/>
          </w:tcPr>
          <w:p w14:paraId="30D1C831"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7AF9BC0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GHG emissions in alignment with existing leading disclosure standards. Where feasible, the MSG is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request disaggregated disclosures.</w:t>
            </w:r>
          </w:p>
        </w:tc>
        <w:tc>
          <w:tcPr>
            <w:tcW w:w="0" w:type="auto"/>
            <w:vAlign w:val="center"/>
          </w:tcPr>
          <w:p w14:paraId="59AFCD55"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48651FE7" w14:textId="77777777" w:rsidR="003071FB"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NSTA to provide this i</w:t>
            </w:r>
            <w:r w:rsidRPr="004B345A">
              <w:rPr>
                <w:rFonts w:asciiTheme="minorBidi" w:hAnsiTheme="minorBidi" w:cstheme="minorBidi"/>
                <w:sz w:val="18"/>
                <w:szCs w:val="18"/>
              </w:rPr>
              <w:t>nformation</w:t>
            </w:r>
            <w:r>
              <w:rPr>
                <w:rFonts w:asciiTheme="minorBidi" w:hAnsiTheme="minorBidi" w:cstheme="minorBidi"/>
                <w:sz w:val="18"/>
                <w:szCs w:val="18"/>
              </w:rPr>
              <w:t>.</w:t>
            </w:r>
          </w:p>
          <w:p w14:paraId="6A85BB9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 xml:space="preserve">DESNZ to update the </w:t>
            </w:r>
            <w:r w:rsidRPr="004B345A">
              <w:rPr>
                <w:rFonts w:asciiTheme="minorBidi" w:hAnsiTheme="minorBidi" w:cstheme="minorBidi"/>
                <w:sz w:val="18"/>
                <w:szCs w:val="18"/>
              </w:rPr>
              <w:t xml:space="preserve">UK EITI </w:t>
            </w:r>
            <w:r>
              <w:rPr>
                <w:rFonts w:asciiTheme="minorBidi" w:hAnsiTheme="minorBidi" w:cstheme="minorBidi"/>
                <w:sz w:val="18"/>
                <w:szCs w:val="18"/>
              </w:rPr>
              <w:t>w</w:t>
            </w:r>
            <w:r w:rsidRPr="004B345A">
              <w:rPr>
                <w:rFonts w:asciiTheme="minorBidi" w:hAnsiTheme="minorBidi" w:cstheme="minorBidi"/>
                <w:sz w:val="18"/>
                <w:szCs w:val="18"/>
              </w:rPr>
              <w:t>ebsite</w:t>
            </w:r>
            <w:r w:rsidRPr="003238A9">
              <w:rPr>
                <w:rFonts w:asciiTheme="minorBidi" w:hAnsiTheme="minorBidi" w:cstheme="minorBidi"/>
                <w:sz w:val="18"/>
                <w:szCs w:val="18"/>
              </w:rPr>
              <w:t>.</w:t>
            </w:r>
          </w:p>
        </w:tc>
      </w:tr>
      <w:tr w:rsidR="003071FB" w:rsidRPr="004B345A" w14:paraId="0EDEE39F" w14:textId="77777777" w:rsidTr="00542A73">
        <w:tc>
          <w:tcPr>
            <w:tcW w:w="0" w:type="auto"/>
            <w:gridSpan w:val="6"/>
            <w:shd w:val="clear" w:color="auto" w:fill="D9D9D9" w:themeFill="background1" w:themeFillShade="D9"/>
            <w:vAlign w:val="center"/>
          </w:tcPr>
          <w:p w14:paraId="1179F5FF"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b/>
                <w:bCs/>
                <w:sz w:val="18"/>
                <w:szCs w:val="18"/>
              </w:rPr>
              <w:t>Information that needs further insights from the EITI IS</w:t>
            </w:r>
          </w:p>
        </w:tc>
      </w:tr>
      <w:tr w:rsidR="003071FB" w:rsidRPr="004B345A" w14:paraId="3E27DD7A" w14:textId="77777777" w:rsidTr="00542A73">
        <w:tc>
          <w:tcPr>
            <w:tcW w:w="0" w:type="auto"/>
            <w:vAlign w:val="center"/>
          </w:tcPr>
          <w:p w14:paraId="17CF162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12</w:t>
            </w:r>
          </w:p>
        </w:tc>
        <w:tc>
          <w:tcPr>
            <w:tcW w:w="0" w:type="auto"/>
            <w:shd w:val="clear" w:color="auto" w:fill="auto"/>
            <w:vAlign w:val="center"/>
          </w:tcPr>
          <w:p w14:paraId="7E913293"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1.2.b Company engagement</w:t>
            </w:r>
          </w:p>
        </w:tc>
        <w:tc>
          <w:tcPr>
            <w:tcW w:w="0" w:type="auto"/>
            <w:shd w:val="clear" w:color="auto" w:fill="auto"/>
            <w:vAlign w:val="center"/>
          </w:tcPr>
          <w:p w14:paraId="234E26E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Expected</w:t>
            </w:r>
          </w:p>
        </w:tc>
        <w:tc>
          <w:tcPr>
            <w:tcW w:w="0" w:type="auto"/>
            <w:vAlign w:val="center"/>
          </w:tcPr>
          <w:p w14:paraId="0836CB7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In addition, companies on the MSG are </w:t>
            </w:r>
            <w:r w:rsidRPr="004B345A">
              <w:rPr>
                <w:rFonts w:asciiTheme="minorBidi" w:hAnsiTheme="minorBidi" w:cstheme="minorBidi"/>
                <w:b/>
                <w:bCs/>
                <w:color w:val="00B0F0"/>
                <w:sz w:val="18"/>
                <w:szCs w:val="18"/>
              </w:rPr>
              <w:t xml:space="preserve">expected </w:t>
            </w:r>
            <w:r w:rsidRPr="004B345A">
              <w:rPr>
                <w:rFonts w:asciiTheme="minorBidi" w:hAnsiTheme="minorBidi" w:cstheme="minorBidi"/>
                <w:sz w:val="18"/>
                <w:szCs w:val="18"/>
              </w:rPr>
              <w:t>to engage in rigorous due diligence processes.</w:t>
            </w:r>
          </w:p>
        </w:tc>
        <w:tc>
          <w:tcPr>
            <w:tcW w:w="0" w:type="auto"/>
            <w:vAlign w:val="center"/>
          </w:tcPr>
          <w:p w14:paraId="3928C835"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6C957EA1"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BDO to contact the EITI IS to understand further the DD process.</w:t>
            </w:r>
          </w:p>
        </w:tc>
      </w:tr>
      <w:tr w:rsidR="003071FB" w:rsidRPr="004B345A" w14:paraId="645EA362" w14:textId="77777777" w:rsidTr="00542A73">
        <w:tc>
          <w:tcPr>
            <w:tcW w:w="0" w:type="auto"/>
            <w:vAlign w:val="center"/>
          </w:tcPr>
          <w:p w14:paraId="1A6855E2"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Pr>
                <w:rFonts w:asciiTheme="minorBidi" w:hAnsiTheme="minorBidi" w:cstheme="minorBidi"/>
                <w:sz w:val="18"/>
                <w:szCs w:val="18"/>
              </w:rPr>
              <w:t>13</w:t>
            </w:r>
          </w:p>
        </w:tc>
        <w:tc>
          <w:tcPr>
            <w:tcW w:w="0" w:type="auto"/>
            <w:shd w:val="clear" w:color="auto" w:fill="auto"/>
            <w:vAlign w:val="center"/>
          </w:tcPr>
          <w:p w14:paraId="2FB37A4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1.2.b Company engagement</w:t>
            </w:r>
          </w:p>
        </w:tc>
        <w:tc>
          <w:tcPr>
            <w:tcW w:w="0" w:type="auto"/>
            <w:shd w:val="clear" w:color="auto" w:fill="auto"/>
            <w:vAlign w:val="center"/>
          </w:tcPr>
          <w:p w14:paraId="13677C1F"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041161D2"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Other reporting companies are also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engage in rigorous due diligence processes.</w:t>
            </w:r>
          </w:p>
        </w:tc>
        <w:tc>
          <w:tcPr>
            <w:tcW w:w="0" w:type="auto"/>
            <w:vAlign w:val="center"/>
          </w:tcPr>
          <w:p w14:paraId="29E25D61"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6C250C8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Same as above</w:t>
            </w:r>
            <w:r>
              <w:rPr>
                <w:rFonts w:asciiTheme="minorBidi" w:hAnsiTheme="minorBidi" w:cstheme="minorBidi"/>
                <w:sz w:val="18"/>
                <w:szCs w:val="18"/>
              </w:rPr>
              <w:t>.</w:t>
            </w:r>
          </w:p>
        </w:tc>
      </w:tr>
      <w:tr w:rsidR="003071FB" w:rsidRPr="004B345A" w14:paraId="5555B27F" w14:textId="77777777" w:rsidTr="00542A73">
        <w:tc>
          <w:tcPr>
            <w:tcW w:w="0" w:type="auto"/>
            <w:gridSpan w:val="6"/>
            <w:shd w:val="clear" w:color="auto" w:fill="D9D9D9" w:themeFill="background1" w:themeFillShade="D9"/>
            <w:vAlign w:val="center"/>
          </w:tcPr>
          <w:p w14:paraId="1DAEC8AF" w14:textId="77777777" w:rsidR="003071FB" w:rsidRPr="004B345A" w:rsidRDefault="003071FB" w:rsidP="00542A73">
            <w:pPr>
              <w:autoSpaceDE w:val="0"/>
              <w:autoSpaceDN w:val="0"/>
              <w:adjustRightInd w:val="0"/>
              <w:spacing w:before="40" w:after="40"/>
              <w:rPr>
                <w:rFonts w:asciiTheme="minorBidi" w:hAnsiTheme="minorBidi" w:cstheme="minorBidi"/>
                <w:b/>
                <w:bCs/>
                <w:sz w:val="18"/>
                <w:szCs w:val="18"/>
              </w:rPr>
            </w:pPr>
            <w:r w:rsidRPr="004B345A">
              <w:rPr>
                <w:rFonts w:asciiTheme="minorBidi" w:hAnsiTheme="minorBidi" w:cstheme="minorBidi"/>
                <w:b/>
                <w:bCs/>
                <w:sz w:val="18"/>
                <w:szCs w:val="18"/>
              </w:rPr>
              <w:t>Information that needs further discussion to avoid either increasing burden on companies or disclosing commercial sensitive information</w:t>
            </w:r>
          </w:p>
        </w:tc>
      </w:tr>
      <w:tr w:rsidR="003071FB" w:rsidRPr="004B345A" w14:paraId="28B08EA5" w14:textId="77777777" w:rsidTr="00542A73">
        <w:tc>
          <w:tcPr>
            <w:tcW w:w="0" w:type="auto"/>
            <w:vAlign w:val="center"/>
          </w:tcPr>
          <w:p w14:paraId="53AD9292"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w:t>
            </w:r>
            <w:r>
              <w:rPr>
                <w:rFonts w:asciiTheme="minorBidi" w:hAnsiTheme="minorBidi" w:cstheme="minorBidi"/>
                <w:sz w:val="18"/>
                <w:szCs w:val="18"/>
              </w:rPr>
              <w:t>4</w:t>
            </w:r>
          </w:p>
        </w:tc>
        <w:tc>
          <w:tcPr>
            <w:tcW w:w="0" w:type="auto"/>
            <w:shd w:val="clear" w:color="auto" w:fill="auto"/>
            <w:vAlign w:val="center"/>
          </w:tcPr>
          <w:p w14:paraId="44DCBC1D"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4.1.e Comprehensive disclosure of taxes and revenues</w:t>
            </w:r>
          </w:p>
        </w:tc>
        <w:tc>
          <w:tcPr>
            <w:tcW w:w="0" w:type="auto"/>
            <w:shd w:val="clear" w:color="auto" w:fill="auto"/>
            <w:vAlign w:val="center"/>
          </w:tcPr>
          <w:p w14:paraId="63296C8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4735D95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Companies are</w:t>
            </w:r>
            <w:r w:rsidRPr="004B345A">
              <w:rPr>
                <w:rFonts w:asciiTheme="minorBidi" w:hAnsiTheme="minorBidi" w:cstheme="minorBidi"/>
                <w:b/>
                <w:bCs/>
                <w:color w:val="00B050"/>
                <w:sz w:val="18"/>
                <w:szCs w:val="18"/>
              </w:rPr>
              <w:t xml:space="preserve"> encouraged</w:t>
            </w:r>
            <w:r w:rsidRPr="004B345A">
              <w:rPr>
                <w:rFonts w:asciiTheme="minorBidi" w:hAnsiTheme="minorBidi" w:cstheme="minorBidi"/>
                <w:sz w:val="18"/>
                <w:szCs w:val="18"/>
              </w:rPr>
              <w:t xml:space="preserve"> to disclose tax deductions and incentives in the period under review.</w:t>
            </w:r>
          </w:p>
        </w:tc>
        <w:tc>
          <w:tcPr>
            <w:tcW w:w="0" w:type="auto"/>
            <w:vAlign w:val="center"/>
          </w:tcPr>
          <w:p w14:paraId="77DF3445"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48E52337"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This is commercial</w:t>
            </w:r>
            <w:r>
              <w:rPr>
                <w:rFonts w:asciiTheme="minorBidi" w:hAnsiTheme="minorBidi" w:cstheme="minorBidi"/>
                <w:sz w:val="18"/>
                <w:szCs w:val="18"/>
              </w:rPr>
              <w:t>ly</w:t>
            </w:r>
            <w:r w:rsidRPr="004B345A">
              <w:rPr>
                <w:rFonts w:asciiTheme="minorBidi" w:hAnsiTheme="minorBidi" w:cstheme="minorBidi"/>
                <w:sz w:val="18"/>
                <w:szCs w:val="18"/>
              </w:rPr>
              <w:t xml:space="preserve"> sensitive information. </w:t>
            </w:r>
          </w:p>
          <w:p w14:paraId="1984E16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Some companies are also members of other tax transparency initiatives. EITI should not be confused with them. </w:t>
            </w:r>
          </w:p>
          <w:p w14:paraId="19C7FFE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Better to wait for further guidance from the EITI IS before further discussing this new encouragement. </w:t>
            </w:r>
          </w:p>
        </w:tc>
      </w:tr>
      <w:tr w:rsidR="003071FB" w:rsidRPr="004B345A" w14:paraId="7E38171D" w14:textId="77777777" w:rsidTr="00542A73">
        <w:tc>
          <w:tcPr>
            <w:tcW w:w="0" w:type="auto"/>
            <w:vAlign w:val="center"/>
          </w:tcPr>
          <w:p w14:paraId="185D07FE"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w:t>
            </w:r>
            <w:r>
              <w:rPr>
                <w:rFonts w:asciiTheme="minorBidi" w:hAnsiTheme="minorBidi" w:cstheme="minorBidi"/>
                <w:sz w:val="18"/>
                <w:szCs w:val="18"/>
              </w:rPr>
              <w:t>5</w:t>
            </w:r>
          </w:p>
        </w:tc>
        <w:tc>
          <w:tcPr>
            <w:tcW w:w="0" w:type="auto"/>
            <w:shd w:val="clear" w:color="auto" w:fill="auto"/>
            <w:vAlign w:val="center"/>
          </w:tcPr>
          <w:p w14:paraId="440849A7"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4.10.c Project costs</w:t>
            </w:r>
          </w:p>
        </w:tc>
        <w:tc>
          <w:tcPr>
            <w:tcW w:w="0" w:type="auto"/>
            <w:shd w:val="clear" w:color="auto" w:fill="auto"/>
            <w:vAlign w:val="center"/>
          </w:tcPr>
          <w:p w14:paraId="0CFE7638"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190A011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Companies and ICs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declared costs disaggregated by project, and by costs related to operating and capital expenditures. Operating expenditures declared in the reporting year may include amortisation or depreciation of costs incurred in prior years. Companies and ICs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costs incurred since the commencement of the project.</w:t>
            </w:r>
          </w:p>
        </w:tc>
        <w:tc>
          <w:tcPr>
            <w:tcW w:w="0" w:type="auto"/>
            <w:vAlign w:val="center"/>
          </w:tcPr>
          <w:p w14:paraId="2FD77790"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7812A45A"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Same as above.</w:t>
            </w:r>
          </w:p>
        </w:tc>
      </w:tr>
      <w:tr w:rsidR="003071FB" w:rsidRPr="004B345A" w14:paraId="4ED8104B" w14:textId="77777777" w:rsidTr="00542A73">
        <w:tc>
          <w:tcPr>
            <w:tcW w:w="0" w:type="auto"/>
            <w:vAlign w:val="center"/>
          </w:tcPr>
          <w:p w14:paraId="48DBAEA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1</w:t>
            </w:r>
            <w:r>
              <w:rPr>
                <w:rFonts w:asciiTheme="minorBidi" w:hAnsiTheme="minorBidi" w:cstheme="minorBidi"/>
                <w:sz w:val="18"/>
                <w:szCs w:val="18"/>
              </w:rPr>
              <w:t>6</w:t>
            </w:r>
          </w:p>
        </w:tc>
        <w:tc>
          <w:tcPr>
            <w:tcW w:w="0" w:type="auto"/>
            <w:shd w:val="clear" w:color="auto" w:fill="auto"/>
            <w:vAlign w:val="center"/>
          </w:tcPr>
          <w:p w14:paraId="2EC7B43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5.3.c Additional information on revenue management and expenditures</w:t>
            </w:r>
          </w:p>
        </w:tc>
        <w:tc>
          <w:tcPr>
            <w:tcW w:w="0" w:type="auto"/>
            <w:shd w:val="clear" w:color="auto" w:fill="auto"/>
            <w:vAlign w:val="center"/>
          </w:tcPr>
          <w:p w14:paraId="3E58F493"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Encouraged</w:t>
            </w:r>
          </w:p>
        </w:tc>
        <w:tc>
          <w:tcPr>
            <w:tcW w:w="0" w:type="auto"/>
            <w:vAlign w:val="center"/>
          </w:tcPr>
          <w:p w14:paraId="75AB8264"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 xml:space="preserve">When requested by the MSG, oil, gas and mining companies are </w:t>
            </w:r>
            <w:r w:rsidRPr="004B345A">
              <w:rPr>
                <w:rFonts w:asciiTheme="minorBidi" w:hAnsiTheme="minorBidi" w:cstheme="minorBidi"/>
                <w:b/>
                <w:bCs/>
                <w:color w:val="00B050"/>
                <w:sz w:val="18"/>
                <w:szCs w:val="18"/>
              </w:rPr>
              <w:t>encouraged</w:t>
            </w:r>
            <w:r w:rsidRPr="004B345A">
              <w:rPr>
                <w:rFonts w:asciiTheme="minorBidi" w:hAnsiTheme="minorBidi" w:cstheme="minorBidi"/>
                <w:sz w:val="18"/>
                <w:szCs w:val="18"/>
              </w:rPr>
              <w:t xml:space="preserve"> to disclose projected project production levels, and estimated timelines related to cost recovery.</w:t>
            </w:r>
          </w:p>
        </w:tc>
        <w:tc>
          <w:tcPr>
            <w:tcW w:w="0" w:type="auto"/>
            <w:vAlign w:val="center"/>
          </w:tcPr>
          <w:p w14:paraId="4FB6321C"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New</w:t>
            </w:r>
          </w:p>
        </w:tc>
        <w:tc>
          <w:tcPr>
            <w:tcW w:w="0" w:type="auto"/>
            <w:vAlign w:val="center"/>
          </w:tcPr>
          <w:p w14:paraId="1BAD38B6"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Same as above.</w:t>
            </w:r>
          </w:p>
          <w:p w14:paraId="5F655E1B" w14:textId="77777777" w:rsidR="003071FB" w:rsidRPr="004B345A" w:rsidRDefault="003071FB" w:rsidP="00542A73">
            <w:pPr>
              <w:autoSpaceDE w:val="0"/>
              <w:autoSpaceDN w:val="0"/>
              <w:adjustRightInd w:val="0"/>
              <w:spacing w:before="40" w:after="40"/>
              <w:rPr>
                <w:rFonts w:asciiTheme="minorBidi" w:hAnsiTheme="minorBidi" w:cstheme="minorBidi"/>
                <w:sz w:val="18"/>
                <w:szCs w:val="18"/>
              </w:rPr>
            </w:pPr>
            <w:r w:rsidRPr="004B345A">
              <w:rPr>
                <w:rFonts w:asciiTheme="minorBidi" w:hAnsiTheme="minorBidi" w:cstheme="minorBidi"/>
                <w:sz w:val="18"/>
                <w:szCs w:val="18"/>
              </w:rPr>
              <w:t>BDO to contact the EITI IS to understand further the wording for each provision.</w:t>
            </w:r>
          </w:p>
        </w:tc>
      </w:tr>
    </w:tbl>
    <w:p w14:paraId="4EC1377E" w14:textId="77777777" w:rsidR="003071FB" w:rsidRPr="003071FB" w:rsidRDefault="003071FB" w:rsidP="003071FB">
      <w:pPr>
        <w:rPr>
          <w:b/>
          <w:bCs/>
          <w:sz w:val="24"/>
          <w:szCs w:val="24"/>
          <w:u w:val="single"/>
        </w:rPr>
      </w:pPr>
    </w:p>
    <w:p w14:paraId="338C6E22" w14:textId="7042FBB7" w:rsidR="00315376" w:rsidRPr="00D57DC7" w:rsidRDefault="00315376" w:rsidP="00315376">
      <w:pPr>
        <w:pStyle w:val="ListParagraph"/>
        <w:rPr>
          <w:b/>
          <w:bCs/>
          <w:i/>
          <w:iCs/>
          <w:sz w:val="24"/>
          <w:szCs w:val="24"/>
          <w:u w:val="single"/>
        </w:rPr>
      </w:pPr>
    </w:p>
    <w:p w14:paraId="5C3774FA" w14:textId="77777777" w:rsidR="00A17413" w:rsidRDefault="00A17413"/>
    <w:sectPr w:rsidR="00A174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763F" w14:textId="77777777" w:rsidR="008C3A8E" w:rsidRDefault="008C3A8E" w:rsidP="003071FB">
      <w:pPr>
        <w:spacing w:after="0" w:line="240" w:lineRule="auto"/>
      </w:pPr>
      <w:r>
        <w:separator/>
      </w:r>
    </w:p>
  </w:endnote>
  <w:endnote w:type="continuationSeparator" w:id="0">
    <w:p w14:paraId="651C10F7" w14:textId="77777777" w:rsidR="008C3A8E" w:rsidRDefault="008C3A8E" w:rsidP="003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47EF" w14:textId="77777777" w:rsidR="00E70850" w:rsidRDefault="00E70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2EF2" w14:textId="77777777" w:rsidR="00E70850" w:rsidRDefault="00E70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DA90" w14:textId="77777777" w:rsidR="00E70850" w:rsidRDefault="00E7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08A6" w14:textId="77777777" w:rsidR="008C3A8E" w:rsidRDefault="008C3A8E" w:rsidP="003071FB">
      <w:pPr>
        <w:spacing w:after="0" w:line="240" w:lineRule="auto"/>
      </w:pPr>
      <w:r>
        <w:separator/>
      </w:r>
    </w:p>
  </w:footnote>
  <w:footnote w:type="continuationSeparator" w:id="0">
    <w:p w14:paraId="5098F097" w14:textId="77777777" w:rsidR="008C3A8E" w:rsidRDefault="008C3A8E" w:rsidP="003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DD7A" w14:textId="77777777" w:rsidR="00E70850" w:rsidRDefault="00E70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E1FB" w14:textId="77777777" w:rsidR="00E70850" w:rsidRDefault="00E70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484" w14:textId="77777777" w:rsidR="00E70850" w:rsidRDefault="00E70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EC2"/>
    <w:multiLevelType w:val="hybridMultilevel"/>
    <w:tmpl w:val="2C869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D1DF1"/>
    <w:multiLevelType w:val="hybridMultilevel"/>
    <w:tmpl w:val="732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2167B8"/>
    <w:multiLevelType w:val="hybridMultilevel"/>
    <w:tmpl w:val="AAA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F64BB"/>
    <w:multiLevelType w:val="hybridMultilevel"/>
    <w:tmpl w:val="6FF4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105575">
    <w:abstractNumId w:val="0"/>
  </w:num>
  <w:num w:numId="2" w16cid:durableId="2032606043">
    <w:abstractNumId w:val="1"/>
  </w:num>
  <w:num w:numId="3" w16cid:durableId="965042247">
    <w:abstractNumId w:val="3"/>
  </w:num>
  <w:num w:numId="4" w16cid:durableId="882715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76"/>
    <w:rsid w:val="00165487"/>
    <w:rsid w:val="001F6000"/>
    <w:rsid w:val="003071FB"/>
    <w:rsid w:val="00315376"/>
    <w:rsid w:val="00330EC0"/>
    <w:rsid w:val="0035039C"/>
    <w:rsid w:val="00586A91"/>
    <w:rsid w:val="006A43E2"/>
    <w:rsid w:val="00842E3A"/>
    <w:rsid w:val="008C3A8E"/>
    <w:rsid w:val="00A17413"/>
    <w:rsid w:val="00DB08F9"/>
    <w:rsid w:val="00E7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A4C0"/>
  <w15:chartTrackingRefBased/>
  <w15:docId w15:val="{E395E108-95F7-4C0F-9B3F-142726D3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7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376"/>
    <w:pPr>
      <w:ind w:left="720"/>
      <w:contextualSpacing/>
    </w:pPr>
  </w:style>
  <w:style w:type="paragraph" w:styleId="Header">
    <w:name w:val="header"/>
    <w:basedOn w:val="Normal"/>
    <w:link w:val="HeaderChar"/>
    <w:uiPriority w:val="99"/>
    <w:unhideWhenUsed/>
    <w:rsid w:val="00315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376"/>
    <w:rPr>
      <w:kern w:val="0"/>
      <w14:ligatures w14:val="none"/>
    </w:rPr>
  </w:style>
  <w:style w:type="paragraph" w:styleId="Footer">
    <w:name w:val="footer"/>
    <w:basedOn w:val="Normal"/>
    <w:link w:val="FooterChar"/>
    <w:uiPriority w:val="99"/>
    <w:unhideWhenUsed/>
    <w:rsid w:val="00315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376"/>
    <w:rPr>
      <w:kern w:val="0"/>
      <w14:ligatures w14:val="none"/>
    </w:rPr>
  </w:style>
  <w:style w:type="table" w:styleId="TableGrid">
    <w:name w:val="Table Grid"/>
    <w:basedOn w:val="TableNormal"/>
    <w:rsid w:val="003071F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4</cp:revision>
  <dcterms:created xsi:type="dcterms:W3CDTF">2024-02-02T10:24:00Z</dcterms:created>
  <dcterms:modified xsi:type="dcterms:W3CDTF">2024-02-05T09:07:00Z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2024-02-02T10:24:53Z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c332b46f-84b4-48b0-8037-f53be373c7e7</vt:lpwstr>
  </property>
  <property fmtid="{D5CDD505-2E9C-101B-9397-08002B2CF9AE}" pid="8" name="MSIP_Label_ba62f585-b40f-4ab9-bafe-39150f03d124_ContentBits">
    <vt:lpwstr>0</vt:lpwstr>
  </property>
</Properties>
</file>