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CDB3" w14:textId="178F77B4" w:rsidR="00315376" w:rsidRPr="00CA11D0" w:rsidRDefault="00315376" w:rsidP="00315376">
      <w:pPr>
        <w:rPr>
          <w:b/>
          <w:u w:val="single"/>
        </w:rPr>
      </w:pPr>
      <w:r w:rsidRPr="00CA11D0">
        <w:rPr>
          <w:b/>
          <w:u w:val="single"/>
        </w:rPr>
        <w:t>Reconciliation subgroup meeting, Thursday</w:t>
      </w:r>
      <w:r w:rsidR="00DA7B5F" w:rsidRPr="00CA11D0">
        <w:rPr>
          <w:b/>
          <w:u w:val="single"/>
        </w:rPr>
        <w:t xml:space="preserve"> </w:t>
      </w:r>
      <w:r w:rsidR="007404AE" w:rsidRPr="00CA11D0">
        <w:rPr>
          <w:b/>
          <w:u w:val="single"/>
        </w:rPr>
        <w:t>20</w:t>
      </w:r>
      <w:r w:rsidR="009E6AA3" w:rsidRPr="00CA11D0">
        <w:rPr>
          <w:b/>
          <w:u w:val="single"/>
          <w:vertAlign w:val="superscript"/>
        </w:rPr>
        <w:t>th</w:t>
      </w:r>
      <w:r w:rsidR="009E6AA3" w:rsidRPr="00CA11D0">
        <w:rPr>
          <w:b/>
          <w:u w:val="single"/>
        </w:rPr>
        <w:t xml:space="preserve"> </w:t>
      </w:r>
      <w:r w:rsidRPr="00CA11D0">
        <w:rPr>
          <w:b/>
          <w:u w:val="single"/>
        </w:rPr>
        <w:t>February 202</w:t>
      </w:r>
      <w:r w:rsidR="00B75CE3" w:rsidRPr="00CA11D0">
        <w:rPr>
          <w:b/>
          <w:u w:val="single"/>
        </w:rPr>
        <w:t>5</w:t>
      </w:r>
      <w:r w:rsidRPr="00CA11D0">
        <w:rPr>
          <w:b/>
          <w:u w:val="single"/>
        </w:rPr>
        <w:t xml:space="preserve"> via Microsoft Teams </w:t>
      </w:r>
    </w:p>
    <w:p w14:paraId="0A7D16F6" w14:textId="77777777" w:rsidR="00315376" w:rsidRPr="00CA11D0" w:rsidRDefault="00315376" w:rsidP="00315376">
      <w:pPr>
        <w:rPr>
          <w:b/>
          <w:u w:val="single"/>
        </w:rPr>
      </w:pPr>
      <w:r w:rsidRPr="00CA11D0">
        <w:rPr>
          <w:b/>
          <w:u w:val="single"/>
        </w:rPr>
        <w:t>Attendees:</w:t>
      </w:r>
    </w:p>
    <w:p w14:paraId="719E545F" w14:textId="53AD71E3" w:rsidR="00D34712" w:rsidRPr="00CA11D0" w:rsidRDefault="001F3AA3" w:rsidP="00315376">
      <w:r w:rsidRPr="00CA11D0">
        <w:t>Jacqui Akinlosotu</w:t>
      </w:r>
      <w:r w:rsidRPr="00CA11D0">
        <w:tab/>
      </w:r>
      <w:r w:rsidR="007404AE" w:rsidRPr="00CA11D0">
        <w:tab/>
        <w:t>Chara de Lacey</w:t>
      </w:r>
      <w:r w:rsidR="007404AE" w:rsidRPr="00CA11D0">
        <w:tab/>
      </w:r>
      <w:r w:rsidR="007404AE" w:rsidRPr="00CA11D0">
        <w:tab/>
      </w:r>
      <w:r w:rsidR="00615B21">
        <w:tab/>
      </w:r>
      <w:r w:rsidR="00315376" w:rsidRPr="00CA11D0">
        <w:t xml:space="preserve">Mike Earp </w:t>
      </w:r>
      <w:r w:rsidR="00315376" w:rsidRPr="00CA11D0">
        <w:tab/>
      </w:r>
      <w:r w:rsidR="00315376" w:rsidRPr="00CA11D0">
        <w:tab/>
      </w:r>
      <w:r w:rsidR="00315376" w:rsidRPr="00CA11D0">
        <w:tab/>
      </w:r>
    </w:p>
    <w:p w14:paraId="63FD9170" w14:textId="77777777" w:rsidR="00635887" w:rsidRPr="00CA11D0" w:rsidRDefault="001F3AA3" w:rsidP="00315376">
      <w:r w:rsidRPr="00CA11D0">
        <w:t>Leo Kellaway</w:t>
      </w:r>
      <w:r w:rsidRPr="00CA11D0">
        <w:tab/>
      </w:r>
      <w:r w:rsidRPr="00CA11D0">
        <w:tab/>
      </w:r>
      <w:r w:rsidRPr="00CA11D0">
        <w:tab/>
      </w:r>
      <w:r w:rsidR="009E6AA3" w:rsidRPr="00CA11D0">
        <w:t>Mark Henderson</w:t>
      </w:r>
      <w:r w:rsidR="00635887" w:rsidRPr="00CA11D0">
        <w:tab/>
      </w:r>
      <w:r w:rsidR="00635887" w:rsidRPr="00CA11D0">
        <w:tab/>
      </w:r>
      <w:r w:rsidR="00DA7B5F" w:rsidRPr="00CA11D0">
        <w:t>Helmi Ben Rh</w:t>
      </w:r>
      <w:r w:rsidR="00B75CE3" w:rsidRPr="00CA11D0">
        <w:t>ouma</w:t>
      </w:r>
    </w:p>
    <w:p w14:paraId="5E7AE040" w14:textId="3FF6FE69" w:rsidR="00315376" w:rsidRPr="00CA11D0" w:rsidRDefault="00635887" w:rsidP="00315376">
      <w:r w:rsidRPr="00CA11D0">
        <w:t>Hedi Zaghouani</w:t>
      </w:r>
      <w:r w:rsidR="00E040B4" w:rsidRPr="00CA11D0">
        <w:tab/>
      </w:r>
      <w:r w:rsidR="00E040B4" w:rsidRPr="00CA11D0">
        <w:tab/>
      </w:r>
      <w:r w:rsidR="00615B21">
        <w:tab/>
      </w:r>
      <w:r w:rsidR="00315376" w:rsidRPr="00CA11D0">
        <w:t>Mike Nash</w:t>
      </w:r>
      <w:r w:rsidR="00DA7B5F" w:rsidRPr="00CA11D0">
        <w:t xml:space="preserve"> (Chair)</w:t>
      </w:r>
    </w:p>
    <w:p w14:paraId="373A7E2D" w14:textId="057BD721" w:rsidR="007404AE" w:rsidRPr="00CA11D0" w:rsidRDefault="007404AE" w:rsidP="00315376">
      <w:pPr>
        <w:rPr>
          <w:b/>
          <w:bCs/>
          <w:u w:val="single"/>
        </w:rPr>
      </w:pPr>
      <w:r w:rsidRPr="00CA11D0">
        <w:rPr>
          <w:b/>
          <w:bCs/>
          <w:u w:val="single"/>
        </w:rPr>
        <w:t>Updates from 6</w:t>
      </w:r>
      <w:r w:rsidRPr="00CA11D0">
        <w:rPr>
          <w:b/>
          <w:bCs/>
          <w:u w:val="single"/>
          <w:vertAlign w:val="superscript"/>
        </w:rPr>
        <w:t>th</w:t>
      </w:r>
      <w:r w:rsidRPr="00CA11D0">
        <w:rPr>
          <w:b/>
          <w:bCs/>
          <w:u w:val="single"/>
        </w:rPr>
        <w:t xml:space="preserve"> February 2025 meeting</w:t>
      </w:r>
    </w:p>
    <w:p w14:paraId="354D766B" w14:textId="77777777" w:rsidR="005C28B5" w:rsidRPr="00CA11D0" w:rsidRDefault="005C28B5" w:rsidP="005C28B5">
      <w:pPr>
        <w:rPr>
          <w:rFonts w:cstheme="minorHAnsi"/>
        </w:rPr>
      </w:pPr>
      <w:bookmarkStart w:id="0" w:name="_Hlk182751971"/>
      <w:r w:rsidRPr="00CA11D0">
        <w:rPr>
          <w:rFonts w:cstheme="minorHAnsi"/>
        </w:rPr>
        <w:t xml:space="preserve">The objective of </w:t>
      </w:r>
      <w:hyperlink r:id="rId7" w:history="1">
        <w:r w:rsidRPr="00CA11D0">
          <w:rPr>
            <w:rFonts w:cstheme="minorHAnsi"/>
          </w:rPr>
          <w:t>EITI Requirement 6.1</w:t>
        </w:r>
      </w:hyperlink>
      <w:r w:rsidRPr="00CA11D0">
        <w:rPr>
          <w:rFonts w:cstheme="minorHAnsi"/>
        </w:rPr>
        <w:t xml:space="preserve"> Social expenditures and environmental payments is to enable public understanding of extractive companies’ social and environmental contributions, and to provide a basis for assessing extractive companies’ compliance with their legal and contractual obligations to undertake social and environmental expenditures.</w:t>
      </w:r>
    </w:p>
    <w:p w14:paraId="4DF767C5" w14:textId="272AEF31" w:rsidR="005C28B5" w:rsidRPr="00CA11D0" w:rsidRDefault="005C28B5" w:rsidP="005C28B5">
      <w:pPr>
        <w:rPr>
          <w:rFonts w:cstheme="minorHAnsi"/>
          <w:i/>
          <w:iCs/>
          <w:color w:val="FF0000"/>
        </w:rPr>
      </w:pPr>
      <w:r w:rsidRPr="00CA11D0">
        <w:rPr>
          <w:rFonts w:cstheme="minorHAnsi"/>
          <w:i/>
          <w:iCs/>
          <w:color w:val="FF0000"/>
        </w:rPr>
        <w:t xml:space="preserve">(Action: It was agreed that the templates and guidance should </w:t>
      </w:r>
      <w:r w:rsidR="00CD6E2D" w:rsidRPr="00CA11D0">
        <w:rPr>
          <w:rFonts w:cstheme="minorHAnsi"/>
          <w:i/>
          <w:iCs/>
          <w:color w:val="FF0000"/>
        </w:rPr>
        <w:t>include</w:t>
      </w:r>
      <w:r w:rsidRPr="00CA11D0">
        <w:rPr>
          <w:rFonts w:cstheme="minorHAnsi"/>
          <w:i/>
          <w:iCs/>
          <w:color w:val="FF0000"/>
        </w:rPr>
        <w:t xml:space="preserve"> request</w:t>
      </w:r>
      <w:r w:rsidR="00CD6E2D" w:rsidRPr="00CA11D0">
        <w:rPr>
          <w:rFonts w:cstheme="minorHAnsi"/>
          <w:i/>
          <w:iCs/>
          <w:color w:val="FF0000"/>
        </w:rPr>
        <w:t>s for</w:t>
      </w:r>
      <w:r w:rsidRPr="00CA11D0">
        <w:rPr>
          <w:rFonts w:cstheme="minorHAnsi"/>
          <w:i/>
          <w:iCs/>
          <w:color w:val="FF0000"/>
        </w:rPr>
        <w:t xml:space="preserve"> any other material social or environmental payments as well as S.106 (or equivalent) payments). </w:t>
      </w:r>
      <w:r w:rsidRPr="00CA11D0">
        <w:rPr>
          <w:rFonts w:cstheme="minorHAnsi"/>
          <w:b/>
          <w:bCs/>
          <w:i/>
          <w:iCs/>
          <w:color w:val="FF0000"/>
        </w:rPr>
        <w:t>Completed and circulated with papers.</w:t>
      </w:r>
    </w:p>
    <w:p w14:paraId="2754C46A" w14:textId="77777777" w:rsidR="005C28B5" w:rsidRPr="00CA11D0" w:rsidRDefault="005C28B5" w:rsidP="005C28B5">
      <w:pPr>
        <w:rPr>
          <w:rFonts w:cstheme="minorHAnsi"/>
        </w:rPr>
      </w:pPr>
      <w:r w:rsidRPr="00CA11D0">
        <w:rPr>
          <w:rFonts w:cstheme="minorHAnsi"/>
        </w:rPr>
        <w:t>The subgroup considered that fines and penalties were irrelevant to this requirement but agreed that clarification was required from the EITI international Secretariat before the next meeting.</w:t>
      </w:r>
    </w:p>
    <w:p w14:paraId="79FFD3CC" w14:textId="77777777" w:rsidR="005C28B5" w:rsidRPr="00CA11D0" w:rsidRDefault="005C28B5" w:rsidP="005C28B5">
      <w:pPr>
        <w:rPr>
          <w:rFonts w:cstheme="minorHAnsi"/>
          <w:b/>
          <w:bCs/>
          <w:i/>
          <w:iCs/>
          <w:color w:val="FF0000"/>
        </w:rPr>
      </w:pPr>
      <w:r w:rsidRPr="00CA11D0">
        <w:rPr>
          <w:rFonts w:cstheme="minorHAnsi"/>
          <w:i/>
          <w:iCs/>
          <w:color w:val="FF0000"/>
        </w:rPr>
        <w:t xml:space="preserve">(Action: UK Secretariat to write to colleagues in the EITI international Secretariat to get clarification on whether fines and penalties are included in this requirement). </w:t>
      </w:r>
      <w:r w:rsidRPr="00CA11D0">
        <w:rPr>
          <w:rFonts w:cstheme="minorHAnsi"/>
          <w:b/>
          <w:bCs/>
          <w:i/>
          <w:iCs/>
          <w:color w:val="FF0000"/>
        </w:rPr>
        <w:t>Response from EITI International Secretariat circulated on Tuesday (18</w:t>
      </w:r>
      <w:r w:rsidRPr="00CA11D0">
        <w:rPr>
          <w:rFonts w:cstheme="minorHAnsi"/>
          <w:b/>
          <w:bCs/>
          <w:i/>
          <w:iCs/>
          <w:color w:val="FF0000"/>
          <w:vertAlign w:val="superscript"/>
        </w:rPr>
        <w:t>th</w:t>
      </w:r>
      <w:r w:rsidRPr="00CA11D0">
        <w:rPr>
          <w:rFonts w:cstheme="minorHAnsi"/>
          <w:b/>
          <w:bCs/>
          <w:i/>
          <w:iCs/>
          <w:color w:val="FF0000"/>
        </w:rPr>
        <w:t>). The response was:</w:t>
      </w:r>
    </w:p>
    <w:p w14:paraId="04D55F7D" w14:textId="28A5AC2A" w:rsidR="005C28B5" w:rsidRPr="00CA11D0" w:rsidRDefault="005C28B5" w:rsidP="005C28B5">
      <w:pPr>
        <w:rPr>
          <w:rFonts w:cstheme="minorHAnsi"/>
          <w:b/>
          <w:bCs/>
          <w:i/>
          <w:iCs/>
        </w:rPr>
      </w:pPr>
      <w:r w:rsidRPr="00CA11D0">
        <w:rPr>
          <w:rFonts w:cstheme="minorHAnsi"/>
          <w:b/>
          <w:bCs/>
          <w:i/>
          <w:iCs/>
          <w:lang w:val="en-US"/>
        </w:rPr>
        <w:t xml:space="preserve">“I recommend looking at the scope for UK reporting not only from a compliance but also from a strategic perspective. The subgroup could discuss whether there is clear public interest </w:t>
      </w:r>
      <w:r w:rsidR="004B1811" w:rsidRPr="00CA11D0">
        <w:rPr>
          <w:rFonts w:cstheme="minorHAnsi"/>
          <w:b/>
          <w:bCs/>
          <w:i/>
          <w:iCs/>
          <w:lang w:val="en-US"/>
        </w:rPr>
        <w:t>in</w:t>
      </w:r>
      <w:r w:rsidRPr="00CA11D0">
        <w:rPr>
          <w:rFonts w:cstheme="minorHAnsi"/>
          <w:b/>
          <w:bCs/>
          <w:i/>
          <w:iCs/>
          <w:lang w:val="en-US"/>
        </w:rPr>
        <w:t xml:space="preserve"> information on fines and penalties, in which case the MSG may want to disclose this information.  </w:t>
      </w:r>
    </w:p>
    <w:p w14:paraId="548138A9" w14:textId="7F362ED0" w:rsidR="005C28B5" w:rsidRPr="00CA11D0" w:rsidRDefault="005C28B5" w:rsidP="005C28B5">
      <w:pPr>
        <w:rPr>
          <w:rFonts w:cstheme="minorHAnsi"/>
          <w:b/>
          <w:bCs/>
          <w:i/>
          <w:iCs/>
        </w:rPr>
      </w:pPr>
      <w:r w:rsidRPr="00CA11D0">
        <w:rPr>
          <w:rFonts w:cstheme="minorHAnsi"/>
          <w:b/>
          <w:bCs/>
          <w:i/>
          <w:iCs/>
        </w:rPr>
        <w:t>Consider the overall objective of Requirement 6.1, which is to enable public understanding of extractive companies’ social and environmental contributions, and to provide a basis for assessing extractive companies’ compliance with their legal and contractual obligations to undertake social and environmental expenditures. Do these fines and penalties ultimately amount to a contribution to environmental expenditures?</w:t>
      </w:r>
    </w:p>
    <w:p w14:paraId="2C15AD76" w14:textId="502BA4D7" w:rsidR="005C28B5" w:rsidRPr="00CA11D0" w:rsidRDefault="005C28B5" w:rsidP="005C28B5">
      <w:pPr>
        <w:rPr>
          <w:rFonts w:cstheme="minorHAnsi"/>
          <w:b/>
          <w:bCs/>
          <w:i/>
          <w:iCs/>
          <w:lang w:val="en-US"/>
        </w:rPr>
      </w:pPr>
      <w:r w:rsidRPr="00CA11D0">
        <w:rPr>
          <w:rFonts w:cstheme="minorHAnsi"/>
          <w:b/>
          <w:bCs/>
          <w:i/>
          <w:iCs/>
          <w:lang w:val="en-US"/>
        </w:rPr>
        <w:t xml:space="preserve">To illustrate, if the flaring fines are meant to be used for projects /activities to </w:t>
      </w:r>
      <w:proofErr w:type="spellStart"/>
      <w:r w:rsidRPr="00CA11D0">
        <w:rPr>
          <w:rFonts w:cstheme="minorHAnsi"/>
          <w:b/>
          <w:bCs/>
          <w:i/>
          <w:iCs/>
          <w:lang w:val="en-US"/>
        </w:rPr>
        <w:t>minimise</w:t>
      </w:r>
      <w:proofErr w:type="spellEnd"/>
      <w:r w:rsidRPr="00CA11D0">
        <w:rPr>
          <w:rFonts w:cstheme="minorHAnsi"/>
          <w:b/>
          <w:bCs/>
          <w:i/>
          <w:iCs/>
          <w:lang w:val="en-US"/>
        </w:rPr>
        <w:t xml:space="preserve"> environmental impact, then they could be deemed to be covered by the overall objective of the requirement. The sanction notices refer to petroleum-related requirements; do these requirements </w:t>
      </w:r>
      <w:r w:rsidR="004B1811" w:rsidRPr="00CA11D0">
        <w:rPr>
          <w:rFonts w:cstheme="minorHAnsi"/>
          <w:b/>
          <w:bCs/>
          <w:i/>
          <w:iCs/>
          <w:lang w:val="en-US"/>
        </w:rPr>
        <w:t>not constitute</w:t>
      </w:r>
      <w:r w:rsidRPr="00CA11D0">
        <w:rPr>
          <w:rFonts w:cstheme="minorHAnsi"/>
          <w:b/>
          <w:bCs/>
          <w:i/>
          <w:iCs/>
          <w:lang w:val="en-US"/>
        </w:rPr>
        <w:t xml:space="preserve"> simply fines for violations, but are earmarked for specific environmental expenditures once triggered?</w:t>
      </w:r>
    </w:p>
    <w:p w14:paraId="2992A373" w14:textId="4476475D" w:rsidR="005C28B5" w:rsidRPr="00CA11D0" w:rsidRDefault="005C28B5" w:rsidP="005C28B5">
      <w:pPr>
        <w:rPr>
          <w:rFonts w:cstheme="minorHAnsi"/>
          <w:b/>
          <w:bCs/>
          <w:i/>
          <w:iCs/>
        </w:rPr>
      </w:pPr>
      <w:r w:rsidRPr="00CA11D0">
        <w:rPr>
          <w:rFonts w:cstheme="minorHAnsi"/>
          <w:b/>
          <w:bCs/>
          <w:i/>
          <w:iCs/>
          <w:lang w:val="en-US"/>
        </w:rPr>
        <w:t>On the determination of materiality, the MSG should determine this on a revenue stream basis (for example, material payments are those payments that are equal or greater to x% of total revenues/payments from the sector) instead of getting the sum of all types of payments (e.g. environmental payments).</w:t>
      </w:r>
    </w:p>
    <w:p w14:paraId="79954DD0" w14:textId="77777777" w:rsidR="005C28B5" w:rsidRPr="00CA11D0" w:rsidRDefault="005C28B5" w:rsidP="005C28B5">
      <w:pPr>
        <w:rPr>
          <w:rFonts w:cstheme="minorHAnsi"/>
          <w:b/>
          <w:bCs/>
          <w:i/>
          <w:iCs/>
        </w:rPr>
      </w:pPr>
      <w:r w:rsidRPr="00CA11D0">
        <w:rPr>
          <w:rFonts w:cstheme="minorHAnsi"/>
          <w:b/>
          <w:bCs/>
          <w:i/>
          <w:iCs/>
        </w:rPr>
        <w:lastRenderedPageBreak/>
        <w:t>On the issue of whether the fines/penalties should reconcile, Requirement 6.1.a. states that where reconciliation is not feasible, countries must provide unilateral company and/or government disclosures of these transactions. So, if the subgroup were to decide to recommend to the MSG to go for unilateral disclosure (which is what we would recommend instead of not disclosing the data at all), they would need to agree on an explanation/justification why reconciliation is not feasible.”</w:t>
      </w:r>
    </w:p>
    <w:p w14:paraId="28DC77C9" w14:textId="06E35CA9" w:rsidR="005E2DA8" w:rsidRPr="00CA11D0" w:rsidRDefault="006E4BA3" w:rsidP="005C28B5">
      <w:pPr>
        <w:rPr>
          <w:rFonts w:cstheme="minorHAnsi"/>
        </w:rPr>
      </w:pPr>
      <w:r w:rsidRPr="00CA11D0">
        <w:rPr>
          <w:rFonts w:cstheme="minorHAnsi"/>
        </w:rPr>
        <w:t xml:space="preserve">It was agreed that further guidance was need from </w:t>
      </w:r>
      <w:r w:rsidR="002C3CDF">
        <w:rPr>
          <w:rFonts w:cstheme="minorHAnsi"/>
        </w:rPr>
        <w:t xml:space="preserve">the </w:t>
      </w:r>
      <w:r w:rsidRPr="00CA11D0">
        <w:rPr>
          <w:rFonts w:cstheme="minorHAnsi"/>
        </w:rPr>
        <w:t>EITI International</w:t>
      </w:r>
      <w:r w:rsidR="003B3131" w:rsidRPr="00CA11D0">
        <w:rPr>
          <w:rFonts w:cstheme="minorHAnsi"/>
        </w:rPr>
        <w:t xml:space="preserve"> Secretariat</w:t>
      </w:r>
      <w:r w:rsidR="00341979" w:rsidRPr="00CA11D0">
        <w:rPr>
          <w:rFonts w:cstheme="minorHAnsi"/>
        </w:rPr>
        <w:t xml:space="preserve">. Are there any examples of how other </w:t>
      </w:r>
      <w:r w:rsidR="00694E50">
        <w:rPr>
          <w:rFonts w:cstheme="minorHAnsi"/>
        </w:rPr>
        <w:t>M</w:t>
      </w:r>
      <w:r w:rsidR="00694E50" w:rsidRPr="00CA11D0">
        <w:rPr>
          <w:rFonts w:cstheme="minorHAnsi"/>
        </w:rPr>
        <w:t>SGs</w:t>
      </w:r>
      <w:r w:rsidR="00017900" w:rsidRPr="00CA11D0">
        <w:rPr>
          <w:rFonts w:cstheme="minorHAnsi"/>
        </w:rPr>
        <w:t xml:space="preserve"> are approaching this requirement</w:t>
      </w:r>
      <w:r w:rsidR="00935646" w:rsidRPr="00CA11D0">
        <w:rPr>
          <w:rFonts w:cstheme="minorHAnsi"/>
        </w:rPr>
        <w:t>?</w:t>
      </w:r>
      <w:r w:rsidR="00017900" w:rsidRPr="00CA11D0">
        <w:rPr>
          <w:rFonts w:cstheme="minorHAnsi"/>
        </w:rPr>
        <w:t xml:space="preserve"> Are the fines/penalties wider than just</w:t>
      </w:r>
      <w:r w:rsidR="00935646" w:rsidRPr="00CA11D0">
        <w:rPr>
          <w:rFonts w:cstheme="minorHAnsi"/>
        </w:rPr>
        <w:t xml:space="preserve"> environmental and social?</w:t>
      </w:r>
      <w:r w:rsidR="002C3CDF">
        <w:rPr>
          <w:rFonts w:cstheme="minorHAnsi"/>
        </w:rPr>
        <w:t xml:space="preserve"> </w:t>
      </w:r>
      <w:r w:rsidR="00715E9F" w:rsidRPr="00CA11D0">
        <w:rPr>
          <w:rFonts w:cstheme="minorHAnsi"/>
        </w:rPr>
        <w:t>Are there already data sources available?</w:t>
      </w:r>
    </w:p>
    <w:p w14:paraId="0D870944" w14:textId="6AA8D6AB" w:rsidR="00751487" w:rsidRDefault="005E2DA8" w:rsidP="005C28B5">
      <w:pPr>
        <w:rPr>
          <w:rFonts w:cstheme="minorHAnsi"/>
          <w:b/>
          <w:bCs/>
          <w:i/>
          <w:iCs/>
        </w:rPr>
      </w:pPr>
      <w:r w:rsidRPr="00CA11D0">
        <w:rPr>
          <w:rFonts w:cstheme="minorHAnsi"/>
          <w:b/>
          <w:bCs/>
          <w:i/>
          <w:iCs/>
        </w:rPr>
        <w:t>Action: (UK EITI Secretariat to follow-up with EITI International Secretariat</w:t>
      </w:r>
      <w:r w:rsidR="000A5916" w:rsidRPr="00CA11D0">
        <w:rPr>
          <w:rFonts w:cstheme="minorHAnsi"/>
          <w:b/>
          <w:bCs/>
          <w:i/>
          <w:iCs/>
        </w:rPr>
        <w:t xml:space="preserve"> regarding fines/penalties. BDO</w:t>
      </w:r>
      <w:r w:rsidR="00F448AD" w:rsidRPr="00CA11D0">
        <w:rPr>
          <w:rFonts w:cstheme="minorHAnsi"/>
          <w:b/>
          <w:bCs/>
          <w:i/>
          <w:iCs/>
        </w:rPr>
        <w:t xml:space="preserve"> </w:t>
      </w:r>
      <w:r w:rsidR="002B30E9">
        <w:rPr>
          <w:rFonts w:cstheme="minorHAnsi"/>
          <w:b/>
          <w:bCs/>
          <w:i/>
          <w:iCs/>
        </w:rPr>
        <w:t xml:space="preserve">to </w:t>
      </w:r>
      <w:r w:rsidR="00F448AD" w:rsidRPr="00CA11D0">
        <w:rPr>
          <w:rFonts w:cstheme="minorHAnsi"/>
          <w:b/>
          <w:bCs/>
          <w:i/>
          <w:iCs/>
        </w:rPr>
        <w:t>research into any existing data sources).</w:t>
      </w:r>
      <w:r w:rsidR="000A5916" w:rsidRPr="00CA11D0">
        <w:rPr>
          <w:rFonts w:cstheme="minorHAnsi"/>
          <w:b/>
          <w:bCs/>
          <w:i/>
          <w:iCs/>
        </w:rPr>
        <w:t xml:space="preserve"> </w:t>
      </w:r>
      <w:r w:rsidR="00715E9F" w:rsidRPr="00CA11D0">
        <w:rPr>
          <w:rFonts w:cstheme="minorHAnsi"/>
          <w:b/>
          <w:bCs/>
          <w:i/>
          <w:iCs/>
        </w:rPr>
        <w:t xml:space="preserve"> </w:t>
      </w:r>
    </w:p>
    <w:p w14:paraId="416380B3" w14:textId="77777777" w:rsidR="00E37CEB" w:rsidRPr="00CA11D0" w:rsidRDefault="00E37CEB" w:rsidP="00E37CEB">
      <w:pPr>
        <w:rPr>
          <w:rFonts w:cstheme="minorHAnsi"/>
        </w:rPr>
      </w:pPr>
      <w:r w:rsidRPr="00CA11D0">
        <w:rPr>
          <w:rFonts w:cstheme="minorHAnsi"/>
        </w:rPr>
        <w:t>It was agreed that the UK Secretariat and BDO would update the guidance, templates and covering email to companies to reflect any changes in the 2024 process and present them at the next meeting for discussion.</w:t>
      </w:r>
    </w:p>
    <w:p w14:paraId="214D1963" w14:textId="77777777" w:rsidR="00E37CEB" w:rsidRPr="00CA11D0" w:rsidRDefault="00E37CEB" w:rsidP="00E37CEB">
      <w:pPr>
        <w:rPr>
          <w:rFonts w:cstheme="minorHAnsi"/>
          <w:b/>
          <w:bCs/>
          <w:i/>
          <w:iCs/>
          <w:color w:val="FF0000"/>
        </w:rPr>
      </w:pPr>
      <w:r w:rsidRPr="00CA11D0">
        <w:rPr>
          <w:rFonts w:cstheme="minorHAnsi"/>
          <w:i/>
          <w:iCs/>
          <w:color w:val="FF0000"/>
        </w:rPr>
        <w:t>(Action: UK Secretariat and BDO to update templates and guidance in time for the next UK EITI Reconciliation subgroup meeting on 20</w:t>
      </w:r>
      <w:r w:rsidRPr="00CA11D0">
        <w:rPr>
          <w:rFonts w:cstheme="minorHAnsi"/>
          <w:i/>
          <w:iCs/>
          <w:color w:val="FF0000"/>
          <w:vertAlign w:val="superscript"/>
        </w:rPr>
        <w:t>th</w:t>
      </w:r>
      <w:r w:rsidRPr="00CA11D0">
        <w:rPr>
          <w:rFonts w:cstheme="minorHAnsi"/>
          <w:i/>
          <w:iCs/>
          <w:color w:val="FF0000"/>
        </w:rPr>
        <w:t xml:space="preserve"> February). </w:t>
      </w:r>
      <w:r w:rsidRPr="00CA11D0">
        <w:rPr>
          <w:rFonts w:cstheme="minorHAnsi"/>
          <w:b/>
          <w:bCs/>
          <w:i/>
          <w:iCs/>
          <w:color w:val="FF0000"/>
        </w:rPr>
        <w:t>Completed and circulated with the papers.</w:t>
      </w:r>
    </w:p>
    <w:p w14:paraId="6E68973E" w14:textId="77777777" w:rsidR="005C28B5" w:rsidRPr="00CA11D0" w:rsidRDefault="005C28B5" w:rsidP="005C28B5">
      <w:pPr>
        <w:rPr>
          <w:rFonts w:cstheme="minorHAnsi"/>
          <w:b/>
          <w:bCs/>
          <w:u w:val="single"/>
        </w:rPr>
      </w:pPr>
      <w:r w:rsidRPr="00CA11D0">
        <w:rPr>
          <w:rFonts w:cstheme="minorHAnsi"/>
          <w:b/>
          <w:bCs/>
          <w:u w:val="single"/>
        </w:rPr>
        <w:t>Updated templates and guidance</w:t>
      </w:r>
    </w:p>
    <w:p w14:paraId="0DA0683C" w14:textId="77777777" w:rsidR="0021048F" w:rsidRPr="00CA11D0" w:rsidRDefault="0059620F" w:rsidP="005C28B5">
      <w:pPr>
        <w:rPr>
          <w:rFonts w:cstheme="minorHAnsi"/>
        </w:rPr>
      </w:pPr>
      <w:r w:rsidRPr="00CA11D0">
        <w:rPr>
          <w:rFonts w:cstheme="minorHAnsi"/>
        </w:rPr>
        <w:t xml:space="preserve">The guidance and templates have been updated </w:t>
      </w:r>
      <w:r w:rsidR="00220CDD" w:rsidRPr="00CA11D0">
        <w:rPr>
          <w:rFonts w:cstheme="minorHAnsi"/>
        </w:rPr>
        <w:t>for the 2024 reconciliation process and</w:t>
      </w:r>
      <w:r w:rsidR="00C46319" w:rsidRPr="00CA11D0">
        <w:rPr>
          <w:rFonts w:cstheme="minorHAnsi"/>
        </w:rPr>
        <w:t xml:space="preserve"> were circulated with the agenda</w:t>
      </w:r>
      <w:r w:rsidR="008235B4" w:rsidRPr="00CA11D0">
        <w:rPr>
          <w:rFonts w:cstheme="minorHAnsi"/>
        </w:rPr>
        <w:t>.</w:t>
      </w:r>
      <w:r w:rsidR="006671B1" w:rsidRPr="00CA11D0">
        <w:rPr>
          <w:rFonts w:cstheme="minorHAnsi"/>
        </w:rPr>
        <w:t xml:space="preserve"> </w:t>
      </w:r>
    </w:p>
    <w:p w14:paraId="3AAE4CDB" w14:textId="4F54444D" w:rsidR="0021048F" w:rsidRPr="00CA11D0" w:rsidRDefault="006671B1" w:rsidP="005C28B5">
      <w:pPr>
        <w:rPr>
          <w:rFonts w:cstheme="minorHAnsi"/>
        </w:rPr>
      </w:pPr>
      <w:r w:rsidRPr="00CA11D0">
        <w:rPr>
          <w:rFonts w:cstheme="minorHAnsi"/>
        </w:rPr>
        <w:t>The requests for financial statements and gender pay</w:t>
      </w:r>
      <w:r w:rsidR="007C4F9C" w:rsidRPr="00CA11D0">
        <w:rPr>
          <w:rFonts w:cstheme="minorHAnsi"/>
        </w:rPr>
        <w:t xml:space="preserve"> data</w:t>
      </w:r>
      <w:r w:rsidRPr="00CA11D0">
        <w:rPr>
          <w:rFonts w:cstheme="minorHAnsi"/>
        </w:rPr>
        <w:t xml:space="preserve"> </w:t>
      </w:r>
      <w:r w:rsidR="007C4F9C" w:rsidRPr="00CA11D0">
        <w:rPr>
          <w:rFonts w:cstheme="minorHAnsi"/>
        </w:rPr>
        <w:t>will be</w:t>
      </w:r>
      <w:r w:rsidR="00055E40" w:rsidRPr="00CA11D0">
        <w:rPr>
          <w:rFonts w:cstheme="minorHAnsi"/>
        </w:rPr>
        <w:t xml:space="preserve"> removed from the 2024 process</w:t>
      </w:r>
      <w:r w:rsidR="00632B9E" w:rsidRPr="00CA11D0">
        <w:rPr>
          <w:rFonts w:cstheme="minorHAnsi"/>
        </w:rPr>
        <w:t xml:space="preserve"> – as </w:t>
      </w:r>
      <w:r w:rsidR="002B30E9" w:rsidRPr="00CA11D0">
        <w:rPr>
          <w:rFonts w:cstheme="minorHAnsi"/>
        </w:rPr>
        <w:t>most of</w:t>
      </w:r>
      <w:r w:rsidR="007C4F9C" w:rsidRPr="00CA11D0">
        <w:rPr>
          <w:rFonts w:cstheme="minorHAnsi"/>
        </w:rPr>
        <w:t xml:space="preserve"> this</w:t>
      </w:r>
      <w:r w:rsidR="00632B9E" w:rsidRPr="00CA11D0">
        <w:rPr>
          <w:rFonts w:cstheme="minorHAnsi"/>
        </w:rPr>
        <w:t xml:space="preserve"> data is already publicly available.</w:t>
      </w:r>
    </w:p>
    <w:p w14:paraId="38063708" w14:textId="49B0371D" w:rsidR="0059620F" w:rsidRPr="00CA11D0" w:rsidRDefault="0021048F" w:rsidP="005C28B5">
      <w:pPr>
        <w:rPr>
          <w:rFonts w:cstheme="minorHAnsi"/>
        </w:rPr>
      </w:pPr>
      <w:r w:rsidRPr="00CA11D0">
        <w:rPr>
          <w:rFonts w:cstheme="minorHAnsi"/>
        </w:rPr>
        <w:t>It was agreed that the request for D</w:t>
      </w:r>
      <w:r w:rsidR="00BF244C">
        <w:rPr>
          <w:rFonts w:cstheme="minorHAnsi"/>
        </w:rPr>
        <w:t xml:space="preserve">iverted </w:t>
      </w:r>
      <w:r w:rsidRPr="00CA11D0">
        <w:rPr>
          <w:rFonts w:cstheme="minorHAnsi"/>
        </w:rPr>
        <w:t>P</w:t>
      </w:r>
      <w:r w:rsidR="00BF244C">
        <w:rPr>
          <w:rFonts w:cstheme="minorHAnsi"/>
        </w:rPr>
        <w:t xml:space="preserve">rofit </w:t>
      </w:r>
      <w:r w:rsidRPr="00CA11D0">
        <w:rPr>
          <w:rFonts w:cstheme="minorHAnsi"/>
        </w:rPr>
        <w:t>T</w:t>
      </w:r>
      <w:r w:rsidR="00BF244C">
        <w:rPr>
          <w:rFonts w:cstheme="minorHAnsi"/>
        </w:rPr>
        <w:t>ax (DPT)</w:t>
      </w:r>
      <w:r w:rsidRPr="00CA11D0">
        <w:rPr>
          <w:rFonts w:cstheme="minorHAnsi"/>
        </w:rPr>
        <w:t xml:space="preserve"> payments should continue.</w:t>
      </w:r>
      <w:r w:rsidR="00632B9E" w:rsidRPr="00CA11D0">
        <w:rPr>
          <w:rFonts w:cstheme="minorHAnsi"/>
        </w:rPr>
        <w:t xml:space="preserve"> </w:t>
      </w:r>
    </w:p>
    <w:p w14:paraId="4B3F4430" w14:textId="77777777" w:rsidR="005C28B5" w:rsidRPr="00CA11D0" w:rsidRDefault="005C28B5" w:rsidP="005C28B5">
      <w:pPr>
        <w:rPr>
          <w:rFonts w:cstheme="minorHAnsi"/>
          <w:b/>
          <w:bCs/>
          <w:u w:val="single"/>
        </w:rPr>
      </w:pPr>
      <w:r w:rsidRPr="00CA11D0">
        <w:rPr>
          <w:rFonts w:cstheme="minorHAnsi"/>
          <w:b/>
          <w:bCs/>
          <w:u w:val="single"/>
        </w:rPr>
        <w:t>Employment data paper</w:t>
      </w:r>
    </w:p>
    <w:p w14:paraId="7309BFA2" w14:textId="79BB3F3E" w:rsidR="005C28B5" w:rsidRPr="00CA11D0" w:rsidRDefault="00A32AC8" w:rsidP="005C28B5">
      <w:pPr>
        <w:rPr>
          <w:rFonts w:cstheme="minorHAnsi"/>
        </w:rPr>
      </w:pPr>
      <w:r w:rsidRPr="00CA11D0">
        <w:rPr>
          <w:rFonts w:cstheme="minorHAnsi"/>
        </w:rPr>
        <w:t xml:space="preserve">A paper on due diligence around employment disclosures drafted by BDO was circulated with the meeting papers. </w:t>
      </w:r>
      <w:r w:rsidR="00767237" w:rsidRPr="00CA11D0">
        <w:rPr>
          <w:rFonts w:cstheme="minorHAnsi"/>
        </w:rPr>
        <w:t xml:space="preserve">The UK EITI </w:t>
      </w:r>
      <w:r w:rsidR="005C28B5" w:rsidRPr="00CA11D0">
        <w:rPr>
          <w:rFonts w:cstheme="minorHAnsi"/>
        </w:rPr>
        <w:t xml:space="preserve">Compliance subgroup agreed </w:t>
      </w:r>
      <w:r w:rsidR="00767237" w:rsidRPr="00CA11D0">
        <w:rPr>
          <w:rFonts w:cstheme="minorHAnsi"/>
        </w:rPr>
        <w:t>at their meeting on 18th February 2025</w:t>
      </w:r>
      <w:r w:rsidR="006671B1" w:rsidRPr="00CA11D0">
        <w:rPr>
          <w:rFonts w:cstheme="minorHAnsi"/>
        </w:rPr>
        <w:t xml:space="preserve"> </w:t>
      </w:r>
      <w:r w:rsidR="005C28B5" w:rsidRPr="00CA11D0">
        <w:rPr>
          <w:rFonts w:cstheme="minorHAnsi"/>
        </w:rPr>
        <w:t xml:space="preserve">that </w:t>
      </w:r>
      <w:r w:rsidR="008235B4" w:rsidRPr="00CA11D0">
        <w:rPr>
          <w:rFonts w:cstheme="minorHAnsi"/>
        </w:rPr>
        <w:t xml:space="preserve">going forward </w:t>
      </w:r>
      <w:r w:rsidR="00D85484" w:rsidRPr="00CA11D0">
        <w:rPr>
          <w:rFonts w:cstheme="minorHAnsi"/>
        </w:rPr>
        <w:t>the request</w:t>
      </w:r>
      <w:r w:rsidR="005C28B5" w:rsidRPr="00CA11D0">
        <w:rPr>
          <w:rFonts w:cstheme="minorHAnsi"/>
        </w:rPr>
        <w:t xml:space="preserve"> for Gender Pay Gap data </w:t>
      </w:r>
      <w:r w:rsidR="00E82D9D" w:rsidRPr="00CA11D0">
        <w:rPr>
          <w:rFonts w:cstheme="minorHAnsi"/>
        </w:rPr>
        <w:t xml:space="preserve">from in-scope companies </w:t>
      </w:r>
      <w:r w:rsidR="00D85484" w:rsidRPr="00CA11D0">
        <w:rPr>
          <w:rFonts w:cstheme="minorHAnsi"/>
        </w:rPr>
        <w:t xml:space="preserve">should be stopped </w:t>
      </w:r>
      <w:r w:rsidR="005C28B5" w:rsidRPr="00CA11D0">
        <w:rPr>
          <w:rFonts w:cstheme="minorHAnsi"/>
        </w:rPr>
        <w:t xml:space="preserve">as it’s available from the government at </w:t>
      </w:r>
      <w:hyperlink r:id="rId8" w:history="1">
        <w:r w:rsidR="005C28B5" w:rsidRPr="00CA11D0">
          <w:rPr>
            <w:rStyle w:val="Hyperlink"/>
            <w:rFonts w:eastAsia="Times New Roman" w:cstheme="minorHAnsi"/>
            <w:lang w:eastAsia="en-GB"/>
          </w:rPr>
          <w:t>Gender Pay Gap data</w:t>
        </w:r>
      </w:hyperlink>
      <w:r w:rsidR="005C28B5" w:rsidRPr="00CA11D0">
        <w:rPr>
          <w:rFonts w:cstheme="minorHAnsi"/>
        </w:rPr>
        <w:t xml:space="preserve"> and a link will be added to the UK EITI website.</w:t>
      </w:r>
      <w:r w:rsidR="00D85484" w:rsidRPr="00CA11D0">
        <w:rPr>
          <w:rFonts w:cstheme="minorHAnsi"/>
        </w:rPr>
        <w:t xml:space="preserve"> The UK EITI reconciliation subgroup endorsed this view.</w:t>
      </w:r>
    </w:p>
    <w:p w14:paraId="580991A0" w14:textId="77777777" w:rsidR="005C28B5" w:rsidRPr="00CA11D0" w:rsidRDefault="005C28B5" w:rsidP="005C28B5">
      <w:pPr>
        <w:rPr>
          <w:rFonts w:cstheme="minorHAnsi"/>
          <w:b/>
          <w:bCs/>
          <w:u w:val="single"/>
        </w:rPr>
      </w:pPr>
      <w:r w:rsidRPr="00CA11D0">
        <w:rPr>
          <w:rFonts w:cstheme="minorHAnsi"/>
          <w:b/>
          <w:bCs/>
          <w:u w:val="single"/>
        </w:rPr>
        <w:t>AOB</w:t>
      </w:r>
    </w:p>
    <w:p w14:paraId="022496FF" w14:textId="44AB2163" w:rsidR="005C28B5" w:rsidRPr="00CA11D0" w:rsidRDefault="00CA11D0" w:rsidP="005C28B5">
      <w:pPr>
        <w:rPr>
          <w:rFonts w:cstheme="minorHAnsi"/>
        </w:rPr>
      </w:pPr>
      <w:r>
        <w:rPr>
          <w:rFonts w:cstheme="minorHAnsi"/>
        </w:rPr>
        <w:t>It was agreed that final approval of</w:t>
      </w:r>
      <w:r w:rsidR="00B808E5">
        <w:rPr>
          <w:rFonts w:cstheme="minorHAnsi"/>
        </w:rPr>
        <w:t xml:space="preserve"> the 2024 reconciliation process documents </w:t>
      </w:r>
      <w:r w:rsidR="00665A7E">
        <w:rPr>
          <w:rFonts w:cstheme="minorHAnsi"/>
        </w:rPr>
        <w:t>could</w:t>
      </w:r>
      <w:r w:rsidR="00B808E5">
        <w:rPr>
          <w:rFonts w:cstheme="minorHAnsi"/>
        </w:rPr>
        <w:t xml:space="preserve"> be carried out by email</w:t>
      </w:r>
      <w:r w:rsidR="005C28B5" w:rsidRPr="00CA11D0">
        <w:rPr>
          <w:rFonts w:cstheme="minorHAnsi"/>
        </w:rPr>
        <w:t xml:space="preserve"> </w:t>
      </w:r>
      <w:r w:rsidR="00793772">
        <w:rPr>
          <w:rFonts w:cstheme="minorHAnsi"/>
        </w:rPr>
        <w:t>with the aim of requesting</w:t>
      </w:r>
      <w:r w:rsidR="005C28B5" w:rsidRPr="00CA11D0">
        <w:rPr>
          <w:rFonts w:cstheme="minorHAnsi"/>
        </w:rPr>
        <w:t xml:space="preserve"> MSG approval at the</w:t>
      </w:r>
      <w:r w:rsidR="00793772">
        <w:rPr>
          <w:rFonts w:cstheme="minorHAnsi"/>
        </w:rPr>
        <w:t>ir</w:t>
      </w:r>
      <w:r w:rsidR="005C28B5" w:rsidRPr="00CA11D0">
        <w:rPr>
          <w:rFonts w:cstheme="minorHAnsi"/>
        </w:rPr>
        <w:t xml:space="preserve"> 19</w:t>
      </w:r>
      <w:r w:rsidR="005C28B5" w:rsidRPr="00CA11D0">
        <w:rPr>
          <w:rFonts w:cstheme="minorHAnsi"/>
          <w:vertAlign w:val="superscript"/>
        </w:rPr>
        <w:t>th</w:t>
      </w:r>
      <w:r w:rsidR="005C28B5" w:rsidRPr="00CA11D0">
        <w:rPr>
          <w:rFonts w:cstheme="minorHAnsi"/>
        </w:rPr>
        <w:t xml:space="preserve"> March meeting</w:t>
      </w:r>
      <w:r w:rsidR="00793772">
        <w:rPr>
          <w:rFonts w:cstheme="minorHAnsi"/>
        </w:rPr>
        <w:t>.</w:t>
      </w:r>
    </w:p>
    <w:bookmarkEnd w:id="0"/>
    <w:p w14:paraId="31367258" w14:textId="77777777" w:rsidR="007404AE" w:rsidRPr="007404AE" w:rsidRDefault="007404AE" w:rsidP="00315376">
      <w:pPr>
        <w:rPr>
          <w:sz w:val="24"/>
          <w:szCs w:val="24"/>
        </w:rPr>
      </w:pPr>
    </w:p>
    <w:sectPr w:rsidR="007404AE" w:rsidRPr="007404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95E5" w14:textId="77777777" w:rsidR="004B1E6D" w:rsidRDefault="004B1E6D" w:rsidP="003071FB">
      <w:pPr>
        <w:spacing w:after="0" w:line="240" w:lineRule="auto"/>
      </w:pPr>
      <w:r>
        <w:separator/>
      </w:r>
    </w:p>
  </w:endnote>
  <w:endnote w:type="continuationSeparator" w:id="0">
    <w:p w14:paraId="7C5B457E" w14:textId="77777777" w:rsidR="004B1E6D" w:rsidRDefault="004B1E6D" w:rsidP="003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47EF" w14:textId="77777777" w:rsidR="00E70850" w:rsidRDefault="00E7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2EF2" w14:textId="77777777" w:rsidR="00E70850" w:rsidRDefault="00E7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DA90" w14:textId="77777777" w:rsidR="00E70850" w:rsidRDefault="00E7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81B6" w14:textId="77777777" w:rsidR="004B1E6D" w:rsidRDefault="004B1E6D" w:rsidP="003071FB">
      <w:pPr>
        <w:spacing w:after="0" w:line="240" w:lineRule="auto"/>
      </w:pPr>
      <w:r>
        <w:separator/>
      </w:r>
    </w:p>
  </w:footnote>
  <w:footnote w:type="continuationSeparator" w:id="0">
    <w:p w14:paraId="14DA90F2" w14:textId="77777777" w:rsidR="004B1E6D" w:rsidRDefault="004B1E6D" w:rsidP="003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DD7A" w14:textId="77777777" w:rsidR="00E70850" w:rsidRDefault="00E7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E1FB" w14:textId="77777777" w:rsidR="00E70850" w:rsidRDefault="00E70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D484" w14:textId="77777777" w:rsidR="00E70850" w:rsidRDefault="00E7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28"/>
    <w:multiLevelType w:val="hybridMultilevel"/>
    <w:tmpl w:val="CF2C6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9723A"/>
    <w:multiLevelType w:val="multilevel"/>
    <w:tmpl w:val="78FE06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54372"/>
    <w:multiLevelType w:val="hybridMultilevel"/>
    <w:tmpl w:val="693E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D6025"/>
    <w:multiLevelType w:val="hybridMultilevel"/>
    <w:tmpl w:val="A3940F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E11227"/>
    <w:multiLevelType w:val="hybridMultilevel"/>
    <w:tmpl w:val="10D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67145"/>
    <w:multiLevelType w:val="hybridMultilevel"/>
    <w:tmpl w:val="1778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12903"/>
    <w:multiLevelType w:val="hybridMultilevel"/>
    <w:tmpl w:val="7C66F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67EC2"/>
    <w:multiLevelType w:val="hybridMultilevel"/>
    <w:tmpl w:val="2C869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D1DF1"/>
    <w:multiLevelType w:val="hybridMultilevel"/>
    <w:tmpl w:val="732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C4987"/>
    <w:multiLevelType w:val="hybridMultilevel"/>
    <w:tmpl w:val="2ADA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167B8"/>
    <w:multiLevelType w:val="hybridMultilevel"/>
    <w:tmpl w:val="AAA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03D90"/>
    <w:multiLevelType w:val="hybridMultilevel"/>
    <w:tmpl w:val="1B308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DF4ACF"/>
    <w:multiLevelType w:val="hybridMultilevel"/>
    <w:tmpl w:val="7486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15BCA"/>
    <w:multiLevelType w:val="hybridMultilevel"/>
    <w:tmpl w:val="4B2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93F4C"/>
    <w:multiLevelType w:val="hybridMultilevel"/>
    <w:tmpl w:val="1F8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F64BB"/>
    <w:multiLevelType w:val="hybridMultilevel"/>
    <w:tmpl w:val="6FF4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00011"/>
    <w:multiLevelType w:val="hybridMultilevel"/>
    <w:tmpl w:val="69F0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953F9"/>
    <w:multiLevelType w:val="hybridMultilevel"/>
    <w:tmpl w:val="5D5E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4511B"/>
    <w:multiLevelType w:val="hybridMultilevel"/>
    <w:tmpl w:val="710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E2F4D"/>
    <w:multiLevelType w:val="hybridMultilevel"/>
    <w:tmpl w:val="8EB4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8335E"/>
    <w:multiLevelType w:val="hybridMultilevel"/>
    <w:tmpl w:val="A3940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6105575">
    <w:abstractNumId w:val="7"/>
  </w:num>
  <w:num w:numId="2" w16cid:durableId="2032606043">
    <w:abstractNumId w:val="8"/>
  </w:num>
  <w:num w:numId="3" w16cid:durableId="965042247">
    <w:abstractNumId w:val="15"/>
  </w:num>
  <w:num w:numId="4" w16cid:durableId="882715975">
    <w:abstractNumId w:val="10"/>
  </w:num>
  <w:num w:numId="5" w16cid:durableId="2128769817">
    <w:abstractNumId w:val="19"/>
  </w:num>
  <w:num w:numId="6" w16cid:durableId="1136531069">
    <w:abstractNumId w:val="18"/>
  </w:num>
  <w:num w:numId="7" w16cid:durableId="839202031">
    <w:abstractNumId w:val="1"/>
  </w:num>
  <w:num w:numId="8" w16cid:durableId="256527435">
    <w:abstractNumId w:val="5"/>
  </w:num>
  <w:num w:numId="9" w16cid:durableId="1921014772">
    <w:abstractNumId w:val="0"/>
  </w:num>
  <w:num w:numId="10" w16cid:durableId="1258322650">
    <w:abstractNumId w:val="6"/>
  </w:num>
  <w:num w:numId="11" w16cid:durableId="2044942598">
    <w:abstractNumId w:val="2"/>
  </w:num>
  <w:num w:numId="12" w16cid:durableId="6403043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705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1385518">
    <w:abstractNumId w:val="3"/>
  </w:num>
  <w:num w:numId="15" w16cid:durableId="984967133">
    <w:abstractNumId w:val="12"/>
  </w:num>
  <w:num w:numId="16" w16cid:durableId="576138074">
    <w:abstractNumId w:val="16"/>
  </w:num>
  <w:num w:numId="17" w16cid:durableId="900597758">
    <w:abstractNumId w:val="17"/>
  </w:num>
  <w:num w:numId="18" w16cid:durableId="476342834">
    <w:abstractNumId w:val="14"/>
  </w:num>
  <w:num w:numId="19" w16cid:durableId="1706636025">
    <w:abstractNumId w:val="9"/>
  </w:num>
  <w:num w:numId="20" w16cid:durableId="232787698">
    <w:abstractNumId w:val="4"/>
  </w:num>
  <w:num w:numId="21" w16cid:durableId="1564758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76"/>
    <w:rsid w:val="00004CE1"/>
    <w:rsid w:val="00006DF8"/>
    <w:rsid w:val="00011B54"/>
    <w:rsid w:val="00017900"/>
    <w:rsid w:val="00021C18"/>
    <w:rsid w:val="000469B8"/>
    <w:rsid w:val="00055E40"/>
    <w:rsid w:val="00061E36"/>
    <w:rsid w:val="00097D42"/>
    <w:rsid w:val="000A5916"/>
    <w:rsid w:val="000B4DF6"/>
    <w:rsid w:val="000C0FFD"/>
    <w:rsid w:val="000D195E"/>
    <w:rsid w:val="000E1561"/>
    <w:rsid w:val="000E1EB4"/>
    <w:rsid w:val="00123D8E"/>
    <w:rsid w:val="00153AF5"/>
    <w:rsid w:val="00161C9C"/>
    <w:rsid w:val="00165487"/>
    <w:rsid w:val="00193AFA"/>
    <w:rsid w:val="001B2562"/>
    <w:rsid w:val="001C2C6A"/>
    <w:rsid w:val="001E3E0E"/>
    <w:rsid w:val="001F3AA3"/>
    <w:rsid w:val="001F6000"/>
    <w:rsid w:val="001F6B88"/>
    <w:rsid w:val="0021048F"/>
    <w:rsid w:val="0021205E"/>
    <w:rsid w:val="00220CDD"/>
    <w:rsid w:val="00230724"/>
    <w:rsid w:val="00237929"/>
    <w:rsid w:val="002824D0"/>
    <w:rsid w:val="00285FA8"/>
    <w:rsid w:val="002950F9"/>
    <w:rsid w:val="002B30E9"/>
    <w:rsid w:val="002C3CDF"/>
    <w:rsid w:val="002D4FE9"/>
    <w:rsid w:val="002E357E"/>
    <w:rsid w:val="002E5305"/>
    <w:rsid w:val="002E6AAA"/>
    <w:rsid w:val="003071FB"/>
    <w:rsid w:val="003075CD"/>
    <w:rsid w:val="00310EC6"/>
    <w:rsid w:val="00315376"/>
    <w:rsid w:val="0032681B"/>
    <w:rsid w:val="00330EC0"/>
    <w:rsid w:val="00341979"/>
    <w:rsid w:val="00343A3F"/>
    <w:rsid w:val="003501CF"/>
    <w:rsid w:val="0035039C"/>
    <w:rsid w:val="00351112"/>
    <w:rsid w:val="00390A12"/>
    <w:rsid w:val="003B3131"/>
    <w:rsid w:val="003E66AE"/>
    <w:rsid w:val="003E7E07"/>
    <w:rsid w:val="00400FCC"/>
    <w:rsid w:val="00402A11"/>
    <w:rsid w:val="00415014"/>
    <w:rsid w:val="004370CA"/>
    <w:rsid w:val="004432C8"/>
    <w:rsid w:val="00452A2A"/>
    <w:rsid w:val="00483FA5"/>
    <w:rsid w:val="00495524"/>
    <w:rsid w:val="004B1811"/>
    <w:rsid w:val="004B1E6D"/>
    <w:rsid w:val="004C4536"/>
    <w:rsid w:val="004D530F"/>
    <w:rsid w:val="004F717A"/>
    <w:rsid w:val="00516BC9"/>
    <w:rsid w:val="00517B2E"/>
    <w:rsid w:val="005253B2"/>
    <w:rsid w:val="0057329F"/>
    <w:rsid w:val="00586A91"/>
    <w:rsid w:val="0059620F"/>
    <w:rsid w:val="005A629B"/>
    <w:rsid w:val="005C28B5"/>
    <w:rsid w:val="005C43FF"/>
    <w:rsid w:val="005D16C6"/>
    <w:rsid w:val="005E2DA8"/>
    <w:rsid w:val="00615B21"/>
    <w:rsid w:val="00621715"/>
    <w:rsid w:val="00632B9E"/>
    <w:rsid w:val="006337E7"/>
    <w:rsid w:val="00635887"/>
    <w:rsid w:val="00665A7E"/>
    <w:rsid w:val="006671B1"/>
    <w:rsid w:val="00687AFB"/>
    <w:rsid w:val="00694E50"/>
    <w:rsid w:val="006A43E2"/>
    <w:rsid w:val="006D0FDE"/>
    <w:rsid w:val="006E4BA3"/>
    <w:rsid w:val="006F31DF"/>
    <w:rsid w:val="00715E9F"/>
    <w:rsid w:val="007209AC"/>
    <w:rsid w:val="00726343"/>
    <w:rsid w:val="007404AE"/>
    <w:rsid w:val="007467C9"/>
    <w:rsid w:val="00751487"/>
    <w:rsid w:val="00766FBD"/>
    <w:rsid w:val="00767237"/>
    <w:rsid w:val="007748CC"/>
    <w:rsid w:val="00793772"/>
    <w:rsid w:val="007B353B"/>
    <w:rsid w:val="007C04CD"/>
    <w:rsid w:val="007C4F9C"/>
    <w:rsid w:val="007D5CDD"/>
    <w:rsid w:val="007F54F3"/>
    <w:rsid w:val="007F7D1E"/>
    <w:rsid w:val="008045E7"/>
    <w:rsid w:val="00813FD9"/>
    <w:rsid w:val="00820208"/>
    <w:rsid w:val="008235B4"/>
    <w:rsid w:val="00842E3A"/>
    <w:rsid w:val="00853924"/>
    <w:rsid w:val="00871658"/>
    <w:rsid w:val="008A0455"/>
    <w:rsid w:val="008B1736"/>
    <w:rsid w:val="008C3A8E"/>
    <w:rsid w:val="008C7D33"/>
    <w:rsid w:val="008D7326"/>
    <w:rsid w:val="009109CB"/>
    <w:rsid w:val="00930B26"/>
    <w:rsid w:val="00935646"/>
    <w:rsid w:val="00943702"/>
    <w:rsid w:val="00944D26"/>
    <w:rsid w:val="00961FF0"/>
    <w:rsid w:val="00965825"/>
    <w:rsid w:val="00976240"/>
    <w:rsid w:val="00996757"/>
    <w:rsid w:val="009E6AA3"/>
    <w:rsid w:val="009F2239"/>
    <w:rsid w:val="00A17413"/>
    <w:rsid w:val="00A2701B"/>
    <w:rsid w:val="00A32AC8"/>
    <w:rsid w:val="00A71C2F"/>
    <w:rsid w:val="00AA1470"/>
    <w:rsid w:val="00B07393"/>
    <w:rsid w:val="00B122B4"/>
    <w:rsid w:val="00B238D7"/>
    <w:rsid w:val="00B26065"/>
    <w:rsid w:val="00B2723C"/>
    <w:rsid w:val="00B405E3"/>
    <w:rsid w:val="00B75CE3"/>
    <w:rsid w:val="00B808E5"/>
    <w:rsid w:val="00BF244C"/>
    <w:rsid w:val="00C07B45"/>
    <w:rsid w:val="00C1484C"/>
    <w:rsid w:val="00C343D9"/>
    <w:rsid w:val="00C41D31"/>
    <w:rsid w:val="00C46319"/>
    <w:rsid w:val="00C50D6B"/>
    <w:rsid w:val="00CA11D0"/>
    <w:rsid w:val="00CD5E7E"/>
    <w:rsid w:val="00CD6C7E"/>
    <w:rsid w:val="00CD6E2D"/>
    <w:rsid w:val="00D02F2F"/>
    <w:rsid w:val="00D34712"/>
    <w:rsid w:val="00D40E28"/>
    <w:rsid w:val="00D57A8F"/>
    <w:rsid w:val="00D6280B"/>
    <w:rsid w:val="00D6457C"/>
    <w:rsid w:val="00D65AC3"/>
    <w:rsid w:val="00D8348F"/>
    <w:rsid w:val="00D85484"/>
    <w:rsid w:val="00D94D36"/>
    <w:rsid w:val="00DA7B5F"/>
    <w:rsid w:val="00DB08F9"/>
    <w:rsid w:val="00DC0D1C"/>
    <w:rsid w:val="00DE0A2F"/>
    <w:rsid w:val="00DE33EF"/>
    <w:rsid w:val="00E040B4"/>
    <w:rsid w:val="00E30694"/>
    <w:rsid w:val="00E37CEB"/>
    <w:rsid w:val="00E51641"/>
    <w:rsid w:val="00E5410F"/>
    <w:rsid w:val="00E70850"/>
    <w:rsid w:val="00E82D9D"/>
    <w:rsid w:val="00E9151A"/>
    <w:rsid w:val="00E9226B"/>
    <w:rsid w:val="00EA54A0"/>
    <w:rsid w:val="00EB7E9E"/>
    <w:rsid w:val="00EE608C"/>
    <w:rsid w:val="00EF0B9D"/>
    <w:rsid w:val="00F02FE1"/>
    <w:rsid w:val="00F12705"/>
    <w:rsid w:val="00F21865"/>
    <w:rsid w:val="00F32427"/>
    <w:rsid w:val="00F448AD"/>
    <w:rsid w:val="00F464F3"/>
    <w:rsid w:val="00F95C86"/>
    <w:rsid w:val="00FC26BC"/>
    <w:rsid w:val="00FD1D48"/>
    <w:rsid w:val="00FD696B"/>
    <w:rsid w:val="00FF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A4C0"/>
  <w15:chartTrackingRefBased/>
  <w15:docId w15:val="{E395E108-95F7-4C0F-9B3F-142726D3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7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76"/>
    <w:pPr>
      <w:ind w:left="720"/>
      <w:contextualSpacing/>
    </w:pPr>
  </w:style>
  <w:style w:type="paragraph" w:styleId="Header">
    <w:name w:val="header"/>
    <w:basedOn w:val="Normal"/>
    <w:link w:val="HeaderChar"/>
    <w:uiPriority w:val="99"/>
    <w:unhideWhenUsed/>
    <w:rsid w:val="00315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376"/>
    <w:rPr>
      <w:kern w:val="0"/>
      <w14:ligatures w14:val="none"/>
    </w:rPr>
  </w:style>
  <w:style w:type="paragraph" w:styleId="Footer">
    <w:name w:val="footer"/>
    <w:basedOn w:val="Normal"/>
    <w:link w:val="FooterChar"/>
    <w:uiPriority w:val="99"/>
    <w:unhideWhenUsed/>
    <w:rsid w:val="00315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376"/>
    <w:rPr>
      <w:kern w:val="0"/>
      <w14:ligatures w14:val="none"/>
    </w:rPr>
  </w:style>
  <w:style w:type="table" w:styleId="TableGrid">
    <w:name w:val="Table Grid"/>
    <w:basedOn w:val="TableNormal"/>
    <w:rsid w:val="003071F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9F"/>
    <w:rPr>
      <w:color w:val="0563C1" w:themeColor="hyperlink"/>
      <w:u w:val="single"/>
    </w:rPr>
  </w:style>
  <w:style w:type="character" w:styleId="UnresolvedMention">
    <w:name w:val="Unresolved Mention"/>
    <w:basedOn w:val="DefaultParagraphFont"/>
    <w:uiPriority w:val="99"/>
    <w:semiHidden/>
    <w:unhideWhenUsed/>
    <w:rsid w:val="00B0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764226">
      <w:bodyDiv w:val="1"/>
      <w:marLeft w:val="0"/>
      <w:marRight w:val="0"/>
      <w:marTop w:val="0"/>
      <w:marBottom w:val="0"/>
      <w:divBdr>
        <w:top w:val="none" w:sz="0" w:space="0" w:color="auto"/>
        <w:left w:val="none" w:sz="0" w:space="0" w:color="auto"/>
        <w:bottom w:val="none" w:sz="0" w:space="0" w:color="auto"/>
        <w:right w:val="none" w:sz="0" w:space="0" w:color="auto"/>
      </w:divBdr>
    </w:div>
    <w:div w:id="1086071841">
      <w:bodyDiv w:val="1"/>
      <w:marLeft w:val="0"/>
      <w:marRight w:val="0"/>
      <w:marTop w:val="0"/>
      <w:marBottom w:val="0"/>
      <w:divBdr>
        <w:top w:val="none" w:sz="0" w:space="0" w:color="auto"/>
        <w:left w:val="none" w:sz="0" w:space="0" w:color="auto"/>
        <w:bottom w:val="none" w:sz="0" w:space="0" w:color="auto"/>
        <w:right w:val="none" w:sz="0" w:space="0" w:color="auto"/>
      </w:divBdr>
    </w:div>
    <w:div w:id="21155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der-pay-gap.service.gov.uk/viewing/downlo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iti.org/sites/default/files/2024-04/2023%20EITI%20Standard_Parts1-2-3.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45</cp:revision>
  <dcterms:created xsi:type="dcterms:W3CDTF">2025-02-20T11:58:00Z</dcterms:created>
  <dcterms:modified xsi:type="dcterms:W3CDTF">2025-02-25T07:04:00Z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2024-02-02T10:24:53Z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c332b46f-84b4-48b0-8037-f53be373c7e7</vt:lpwstr>
  </property>
  <property fmtid="{D5CDD505-2E9C-101B-9397-08002B2CF9AE}" pid="8" name="MSIP_Label_ba62f585-b40f-4ab9-bafe-39150f03d124_ContentBits">
    <vt:lpwstr>0</vt:lpwstr>
  </property>
</Properties>
</file>