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F3B7F" w14:textId="696F9FB7" w:rsidR="00EB1E1F" w:rsidRPr="0035568A" w:rsidRDefault="00887A3D" w:rsidP="00271472">
      <w:bookmarkStart w:id="0" w:name="_Toc138246072"/>
      <w:bookmarkStart w:id="1" w:name="_Toc138249836"/>
      <w:bookmarkStart w:id="2" w:name="_Toc138345776"/>
      <w:bookmarkStart w:id="3" w:name="_Toc171595548"/>
      <w:bookmarkStart w:id="4" w:name="_Hlk781944"/>
      <w:r w:rsidRPr="0035568A">
        <w:rPr>
          <w:noProof/>
        </w:rPr>
        <w:drawing>
          <wp:anchor distT="0" distB="0" distL="114300" distR="114300" simplePos="0" relativeHeight="251658241" behindDoc="0" locked="0" layoutInCell="1" allowOverlap="1" wp14:anchorId="65D558BA" wp14:editId="765E6CE6">
            <wp:simplePos x="0" y="0"/>
            <wp:positionH relativeFrom="column">
              <wp:posOffset>4138295</wp:posOffset>
            </wp:positionH>
            <wp:positionV relativeFrom="paragraph">
              <wp:posOffset>-83820</wp:posOffset>
            </wp:positionV>
            <wp:extent cx="1577340" cy="680085"/>
            <wp:effectExtent l="0" t="0" r="381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0" cy="680085"/>
                    </a:xfrm>
                    <a:prstGeom prst="rect">
                      <a:avLst/>
                    </a:prstGeom>
                    <a:noFill/>
                    <a:ln>
                      <a:noFill/>
                    </a:ln>
                  </pic:spPr>
                </pic:pic>
              </a:graphicData>
            </a:graphic>
          </wp:anchor>
        </w:drawing>
      </w:r>
      <w:r w:rsidRPr="0035568A">
        <w:rPr>
          <w:noProof/>
        </w:rPr>
        <w:drawing>
          <wp:anchor distT="0" distB="0" distL="114300" distR="114300" simplePos="0" relativeHeight="251658240" behindDoc="0" locked="0" layoutInCell="1" allowOverlap="1" wp14:anchorId="442B0408" wp14:editId="769E67F3">
            <wp:simplePos x="0" y="0"/>
            <wp:positionH relativeFrom="column">
              <wp:posOffset>0</wp:posOffset>
            </wp:positionH>
            <wp:positionV relativeFrom="paragraph">
              <wp:posOffset>-83366</wp:posOffset>
            </wp:positionV>
            <wp:extent cx="1295400" cy="746760"/>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5400" cy="746760"/>
                    </a:xfrm>
                    <a:prstGeom prst="rect">
                      <a:avLst/>
                    </a:prstGeom>
                    <a:noFill/>
                    <a:ln>
                      <a:noFill/>
                    </a:ln>
                  </pic:spPr>
                </pic:pic>
              </a:graphicData>
            </a:graphic>
            <wp14:sizeRelH relativeFrom="margin">
              <wp14:pctWidth>0</wp14:pctWidth>
            </wp14:sizeRelH>
          </wp:anchor>
        </w:drawing>
      </w:r>
      <w:bookmarkEnd w:id="0"/>
      <w:bookmarkEnd w:id="1"/>
      <w:bookmarkEnd w:id="2"/>
      <w:bookmarkEnd w:id="3"/>
    </w:p>
    <w:p w14:paraId="753A334D" w14:textId="625C3A41" w:rsidR="00EB1E1F" w:rsidRPr="0035568A" w:rsidRDefault="00EB1E1F" w:rsidP="001E36F1">
      <w:pPr>
        <w:rPr>
          <w:rFonts w:ascii="Arial" w:eastAsia="Times New Roman" w:hAnsi="Arial" w:cs="Arial"/>
          <w:color w:val="FFFFFF" w:themeColor="background1"/>
          <w:sz w:val="64"/>
          <w:szCs w:val="64"/>
        </w:rPr>
      </w:pPr>
    </w:p>
    <w:p w14:paraId="54CF0BB4" w14:textId="77777777" w:rsidR="00EB1E1F" w:rsidRPr="0035568A" w:rsidRDefault="00EB1E1F" w:rsidP="001E36F1">
      <w:pPr>
        <w:rPr>
          <w:rFonts w:ascii="Arial" w:eastAsia="Times New Roman" w:hAnsi="Arial" w:cs="Arial"/>
          <w:color w:val="FFFFFF" w:themeColor="background1"/>
          <w:sz w:val="64"/>
          <w:szCs w:val="64"/>
        </w:rPr>
      </w:pPr>
    </w:p>
    <w:p w14:paraId="0B9BCFEF" w14:textId="77777777" w:rsidR="00EB1E1F" w:rsidRPr="0035568A" w:rsidRDefault="00EB1E1F" w:rsidP="001E36F1">
      <w:pPr>
        <w:rPr>
          <w:rFonts w:ascii="Arial" w:eastAsia="Times New Roman" w:hAnsi="Arial" w:cs="Arial"/>
          <w:color w:val="FFFFFF" w:themeColor="background1"/>
          <w:sz w:val="64"/>
          <w:szCs w:val="64"/>
        </w:rPr>
      </w:pPr>
    </w:p>
    <w:p w14:paraId="126B2746" w14:textId="03644AC0" w:rsidR="00887A3D" w:rsidRPr="0035568A" w:rsidRDefault="00C2766B" w:rsidP="001E36F1">
      <w:pPr>
        <w:spacing w:after="240"/>
        <w:rPr>
          <w:rFonts w:asciiTheme="minorBidi" w:hAnsiTheme="minorBidi"/>
          <w:b/>
          <w:bCs/>
          <w:color w:val="244061" w:themeColor="accent1" w:themeShade="80"/>
          <w:sz w:val="46"/>
          <w:szCs w:val="46"/>
        </w:rPr>
      </w:pPr>
      <w:r w:rsidRPr="0035568A">
        <w:rPr>
          <w:rFonts w:asciiTheme="minorBidi" w:hAnsiTheme="minorBidi"/>
          <w:b/>
          <w:bCs/>
          <w:color w:val="244061" w:themeColor="accent1" w:themeShade="80"/>
          <w:sz w:val="46"/>
          <w:szCs w:val="46"/>
        </w:rPr>
        <w:t xml:space="preserve">UK EITI </w:t>
      </w:r>
      <w:r w:rsidR="0015062F" w:rsidRPr="0035568A">
        <w:rPr>
          <w:rFonts w:asciiTheme="minorBidi" w:hAnsiTheme="minorBidi"/>
          <w:b/>
          <w:bCs/>
          <w:color w:val="244061" w:themeColor="accent1" w:themeShade="80"/>
          <w:sz w:val="46"/>
          <w:szCs w:val="46"/>
        </w:rPr>
        <w:t>Payments</w:t>
      </w:r>
      <w:r w:rsidRPr="0035568A">
        <w:rPr>
          <w:rFonts w:asciiTheme="minorBidi" w:hAnsiTheme="minorBidi"/>
          <w:b/>
          <w:bCs/>
          <w:color w:val="244061" w:themeColor="accent1" w:themeShade="80"/>
          <w:sz w:val="46"/>
          <w:szCs w:val="46"/>
        </w:rPr>
        <w:t xml:space="preserve"> Report </w:t>
      </w:r>
      <w:r w:rsidR="00F86871" w:rsidRPr="0035568A">
        <w:rPr>
          <w:rFonts w:asciiTheme="minorBidi" w:hAnsiTheme="minorBidi"/>
          <w:b/>
          <w:bCs/>
          <w:color w:val="244061" w:themeColor="accent1" w:themeShade="80"/>
          <w:sz w:val="46"/>
          <w:szCs w:val="46"/>
        </w:rPr>
        <w:t xml:space="preserve">for </w:t>
      </w:r>
      <w:r w:rsidR="00FB3A38" w:rsidRPr="0035568A">
        <w:rPr>
          <w:rFonts w:asciiTheme="minorBidi" w:hAnsiTheme="minorBidi"/>
          <w:b/>
          <w:bCs/>
          <w:color w:val="244061" w:themeColor="accent1" w:themeShade="80"/>
          <w:sz w:val="46"/>
          <w:szCs w:val="46"/>
        </w:rPr>
        <w:t>202</w:t>
      </w:r>
      <w:r w:rsidR="00F31420" w:rsidRPr="0035568A">
        <w:rPr>
          <w:rFonts w:asciiTheme="minorBidi" w:hAnsiTheme="minorBidi"/>
          <w:b/>
          <w:bCs/>
          <w:color w:val="244061" w:themeColor="accent1" w:themeShade="80"/>
          <w:sz w:val="46"/>
          <w:szCs w:val="46"/>
        </w:rPr>
        <w:t>3</w:t>
      </w:r>
    </w:p>
    <w:p w14:paraId="4425A5E8" w14:textId="77777777" w:rsidR="00EB1E1F" w:rsidRPr="0035568A" w:rsidRDefault="00EB1E1F" w:rsidP="001E36F1">
      <w:pPr>
        <w:rPr>
          <w:rFonts w:ascii="Arial" w:eastAsia="Times New Roman" w:hAnsi="Arial" w:cs="Arial"/>
          <w:color w:val="FFFFFF" w:themeColor="background1"/>
          <w:sz w:val="64"/>
          <w:szCs w:val="64"/>
        </w:rPr>
      </w:pPr>
    </w:p>
    <w:p w14:paraId="735A823B" w14:textId="0FC6442A" w:rsidR="00EB1E1F" w:rsidRPr="00DA4CC8" w:rsidRDefault="00E13F0C" w:rsidP="00DA4CC8">
      <w:pPr>
        <w:spacing w:after="240"/>
        <w:rPr>
          <w:rFonts w:asciiTheme="minorBidi" w:hAnsiTheme="minorBidi"/>
          <w:b/>
          <w:bCs/>
          <w:color w:val="244061" w:themeColor="accent1" w:themeShade="80"/>
          <w:sz w:val="28"/>
          <w:szCs w:val="28"/>
        </w:rPr>
      </w:pPr>
      <w:r w:rsidRPr="00DA4CC8">
        <w:rPr>
          <w:rFonts w:asciiTheme="minorBidi" w:hAnsiTheme="minorBidi"/>
          <w:b/>
          <w:bCs/>
          <w:color w:val="244061" w:themeColor="accent1" w:themeShade="80"/>
          <w:sz w:val="28"/>
          <w:szCs w:val="28"/>
        </w:rPr>
        <w:t xml:space="preserve">September 2024 (updated </w:t>
      </w:r>
      <w:r w:rsidR="00455BC2">
        <w:rPr>
          <w:rFonts w:asciiTheme="minorBidi" w:hAnsiTheme="minorBidi"/>
          <w:b/>
          <w:bCs/>
          <w:color w:val="244061" w:themeColor="accent1" w:themeShade="80"/>
          <w:sz w:val="28"/>
          <w:szCs w:val="28"/>
        </w:rPr>
        <w:t>November</w:t>
      </w:r>
      <w:r w:rsidRPr="00DA4CC8">
        <w:rPr>
          <w:rFonts w:asciiTheme="minorBidi" w:hAnsiTheme="minorBidi"/>
          <w:b/>
          <w:bCs/>
          <w:color w:val="244061" w:themeColor="accent1" w:themeShade="80"/>
          <w:sz w:val="28"/>
          <w:szCs w:val="28"/>
        </w:rPr>
        <w:t xml:space="preserve"> 2024)</w:t>
      </w:r>
    </w:p>
    <w:p w14:paraId="7243002D" w14:textId="77777777" w:rsidR="00EB1E1F" w:rsidRPr="0035568A" w:rsidRDefault="00EB1E1F" w:rsidP="001E36F1">
      <w:pPr>
        <w:rPr>
          <w:rFonts w:ascii="Arial" w:eastAsia="Times New Roman" w:hAnsi="Arial" w:cs="Arial"/>
          <w:color w:val="FFFFFF" w:themeColor="background1"/>
          <w:sz w:val="64"/>
          <w:szCs w:val="64"/>
        </w:rPr>
      </w:pPr>
    </w:p>
    <w:p w14:paraId="0F6AAA2C" w14:textId="77777777" w:rsidR="00EB1E1F" w:rsidRPr="0035568A" w:rsidRDefault="00EB1E1F" w:rsidP="001E36F1">
      <w:pPr>
        <w:rPr>
          <w:rFonts w:ascii="Arial" w:eastAsia="Times New Roman" w:hAnsi="Arial" w:cs="Arial"/>
          <w:color w:val="FFFFFF" w:themeColor="background1"/>
          <w:sz w:val="64"/>
          <w:szCs w:val="64"/>
        </w:rPr>
      </w:pPr>
    </w:p>
    <w:p w14:paraId="045193B4" w14:textId="77777777" w:rsidR="00BD126F" w:rsidRPr="0035568A" w:rsidRDefault="00BD126F" w:rsidP="001E36F1">
      <w:pPr>
        <w:spacing w:line="240" w:lineRule="auto"/>
        <w:rPr>
          <w:rFonts w:ascii="Arial" w:eastAsia="Times New Roman" w:hAnsi="Arial" w:cs="Arial"/>
          <w:color w:val="FFFFFF" w:themeColor="background1"/>
          <w:sz w:val="64"/>
          <w:szCs w:val="64"/>
        </w:rPr>
      </w:pPr>
    </w:p>
    <w:p w14:paraId="1AA1D08F" w14:textId="77777777" w:rsidR="00BD126F" w:rsidRPr="0035568A" w:rsidRDefault="00BD126F" w:rsidP="001E36F1">
      <w:pPr>
        <w:spacing w:line="240" w:lineRule="auto"/>
        <w:rPr>
          <w:rFonts w:ascii="Arial" w:eastAsia="Times New Roman" w:hAnsi="Arial" w:cs="Arial"/>
          <w:color w:val="FFFFFF" w:themeColor="background1"/>
          <w:sz w:val="64"/>
          <w:szCs w:val="64"/>
        </w:rPr>
      </w:pPr>
    </w:p>
    <w:p w14:paraId="60F7A463" w14:textId="5251C376" w:rsidR="008B3675" w:rsidRPr="0035568A" w:rsidRDefault="008835EF" w:rsidP="001E36F1">
      <w:pPr>
        <w:spacing w:line="240" w:lineRule="auto"/>
        <w:ind w:left="-284"/>
        <w:rPr>
          <w:rFonts w:ascii="Arial" w:eastAsia="Times New Roman" w:hAnsi="Arial" w:cs="Arial"/>
          <w:color w:val="FFFFFF" w:themeColor="background1"/>
          <w:sz w:val="56"/>
          <w:szCs w:val="56"/>
        </w:rPr>
        <w:sectPr w:rsidR="008B3675" w:rsidRPr="0035568A" w:rsidSect="00B30CA3">
          <w:footerReference w:type="default" r:id="rId13"/>
          <w:footnotePr>
            <w:numRestart w:val="eachPage"/>
          </w:footnotePr>
          <w:pgSz w:w="11906" w:h="16838"/>
          <w:pgMar w:top="1440" w:right="1440" w:bottom="1440" w:left="1440" w:header="709" w:footer="709" w:gutter="0"/>
          <w:cols w:space="708"/>
          <w:docGrid w:linePitch="360"/>
        </w:sectPr>
      </w:pPr>
      <w:r w:rsidRPr="0035568A">
        <w:rPr>
          <w:rFonts w:ascii="Arial" w:eastAsia="Times New Roman" w:hAnsi="Arial" w:cs="Arial"/>
          <w:color w:val="FFFFFF" w:themeColor="background1"/>
          <w:sz w:val="56"/>
          <w:szCs w:val="56"/>
        </w:rPr>
        <w:t>Extractive payments 2020</w:t>
      </w:r>
      <w:bookmarkEnd w:id="4"/>
      <w:r w:rsidR="008B3675" w:rsidRPr="0035568A">
        <w:rPr>
          <w:rFonts w:ascii="Arial" w:hAnsi="Arial" w:cs="Arial"/>
          <w:sz w:val="30"/>
          <w:szCs w:val="30"/>
          <w:lang w:eastAsia="en-GB"/>
        </w:rPr>
        <w:br w:type="page"/>
      </w:r>
    </w:p>
    <w:p w14:paraId="5DFE18F6" w14:textId="6F8AA922" w:rsidR="007D7DDF" w:rsidRPr="0035568A" w:rsidRDefault="00E47219" w:rsidP="00BC2464">
      <w:pPr>
        <w:spacing w:after="360" w:line="288" w:lineRule="auto"/>
        <w:rPr>
          <w:rFonts w:ascii="Arial" w:hAnsi="Arial" w:cs="Arial"/>
          <w:b/>
          <w:bCs/>
          <w:color w:val="244061" w:themeColor="accent1" w:themeShade="80"/>
          <w:sz w:val="30"/>
          <w:szCs w:val="30"/>
          <w:lang w:eastAsia="en-GB"/>
        </w:rPr>
      </w:pPr>
      <w:r w:rsidRPr="0035568A">
        <w:rPr>
          <w:rFonts w:ascii="Arial" w:hAnsi="Arial" w:cs="Arial"/>
          <w:b/>
          <w:bCs/>
          <w:color w:val="244061" w:themeColor="accent1" w:themeShade="80"/>
          <w:sz w:val="30"/>
          <w:szCs w:val="30"/>
          <w:lang w:eastAsia="en-GB"/>
        </w:rPr>
        <w:lastRenderedPageBreak/>
        <w:t>Table of Contents</w:t>
      </w:r>
    </w:p>
    <w:sdt>
      <w:sdtPr>
        <w:rPr>
          <w:rFonts w:asciiTheme="minorHAnsi" w:hAnsiTheme="minorHAnsi" w:cstheme="minorBidi"/>
          <w:b w:val="0"/>
          <w:caps w:val="0"/>
          <w:noProof w:val="0"/>
          <w:sz w:val="20"/>
          <w:szCs w:val="20"/>
        </w:rPr>
        <w:id w:val="-1811077737"/>
        <w:docPartObj>
          <w:docPartGallery w:val="Table of Contents"/>
          <w:docPartUnique/>
        </w:docPartObj>
      </w:sdtPr>
      <w:sdtEndPr>
        <w:rPr>
          <w:bCs/>
        </w:rPr>
      </w:sdtEndPr>
      <w:sdtContent>
        <w:p w14:paraId="358831B5" w14:textId="1EAA51FB" w:rsidR="009B3FCA" w:rsidRDefault="00137899" w:rsidP="00DA4CC8">
          <w:pPr>
            <w:pStyle w:val="TOC1"/>
            <w:rPr>
              <w:rFonts w:asciiTheme="minorHAnsi" w:hAnsiTheme="minorHAnsi" w:cstheme="minorBidi"/>
              <w:b w:val="0"/>
              <w:caps w:val="0"/>
              <w:kern w:val="2"/>
              <w:lang w:eastAsia="en-GB"/>
              <w14:ligatures w14:val="standardContextual"/>
            </w:rPr>
          </w:pPr>
          <w:r w:rsidRPr="0035568A">
            <w:rPr>
              <w:rFonts w:asciiTheme="minorBidi" w:eastAsiaTheme="majorEastAsia" w:hAnsiTheme="minorBidi" w:cstheme="minorBidi"/>
              <w:noProof w:val="0"/>
              <w:color w:val="365F91" w:themeColor="accent1" w:themeShade="BF"/>
            </w:rPr>
            <w:fldChar w:fldCharType="begin"/>
          </w:r>
          <w:r w:rsidRPr="0035568A">
            <w:rPr>
              <w:rFonts w:asciiTheme="minorBidi" w:hAnsiTheme="minorBidi" w:cstheme="minorBidi"/>
            </w:rPr>
            <w:instrText xml:space="preserve"> TOC \o "1-3" \h \z \u </w:instrText>
          </w:r>
          <w:r w:rsidRPr="0035568A">
            <w:rPr>
              <w:rFonts w:asciiTheme="minorBidi" w:eastAsiaTheme="majorEastAsia" w:hAnsiTheme="minorBidi" w:cstheme="minorBidi"/>
              <w:noProof w:val="0"/>
              <w:color w:val="365F91" w:themeColor="accent1" w:themeShade="BF"/>
            </w:rPr>
            <w:fldChar w:fldCharType="separate"/>
          </w:r>
          <w:hyperlink w:anchor="_Toc183079148" w:history="1">
            <w:r w:rsidR="009B3FCA" w:rsidRPr="0057460C">
              <w:rPr>
                <w:rStyle w:val="Hyperlink"/>
                <w:rFonts w:asciiTheme="minorBidi" w:hAnsiTheme="minorBidi"/>
                <w:bCs/>
              </w:rPr>
              <w:t>Introduction</w:t>
            </w:r>
            <w:r w:rsidR="009B3FCA">
              <w:rPr>
                <w:webHidden/>
              </w:rPr>
              <w:tab/>
            </w:r>
            <w:r w:rsidR="009B3FCA">
              <w:rPr>
                <w:webHidden/>
              </w:rPr>
              <w:fldChar w:fldCharType="begin"/>
            </w:r>
            <w:r w:rsidR="009B3FCA">
              <w:rPr>
                <w:webHidden/>
              </w:rPr>
              <w:instrText xml:space="preserve"> PAGEREF _Toc183079148 \h </w:instrText>
            </w:r>
            <w:r w:rsidR="009B3FCA">
              <w:rPr>
                <w:webHidden/>
              </w:rPr>
            </w:r>
            <w:r w:rsidR="009B3FCA">
              <w:rPr>
                <w:webHidden/>
              </w:rPr>
              <w:fldChar w:fldCharType="separate"/>
            </w:r>
            <w:r w:rsidR="009A3FF3">
              <w:rPr>
                <w:webHidden/>
              </w:rPr>
              <w:t>5</w:t>
            </w:r>
            <w:r w:rsidR="009B3FCA">
              <w:rPr>
                <w:webHidden/>
              </w:rPr>
              <w:fldChar w:fldCharType="end"/>
            </w:r>
          </w:hyperlink>
        </w:p>
        <w:p w14:paraId="44E7D02F" w14:textId="4785CC2C" w:rsidR="009B3FCA" w:rsidRDefault="009B3FCA" w:rsidP="00DA4CC8">
          <w:pPr>
            <w:pStyle w:val="TOC1"/>
            <w:rPr>
              <w:rFonts w:asciiTheme="minorHAnsi" w:hAnsiTheme="minorHAnsi" w:cstheme="minorBidi"/>
              <w:b w:val="0"/>
              <w:caps w:val="0"/>
              <w:kern w:val="2"/>
              <w:lang w:eastAsia="en-GB"/>
              <w14:ligatures w14:val="standardContextual"/>
            </w:rPr>
          </w:pPr>
          <w:hyperlink w:anchor="_Toc183079149" w:history="1">
            <w:r w:rsidRPr="0057460C">
              <w:rPr>
                <w:rStyle w:val="Hyperlink"/>
                <w:rFonts w:asciiTheme="minorBidi" w:hAnsiTheme="minorBidi"/>
                <w:bCs/>
              </w:rPr>
              <w:t>1.</w:t>
            </w:r>
            <w:r>
              <w:rPr>
                <w:rFonts w:asciiTheme="minorHAnsi" w:hAnsiTheme="minorHAnsi" w:cstheme="minorBidi"/>
                <w:b w:val="0"/>
                <w:caps w:val="0"/>
                <w:kern w:val="2"/>
                <w:lang w:eastAsia="en-GB"/>
                <w14:ligatures w14:val="standardContextual"/>
              </w:rPr>
              <w:tab/>
            </w:r>
            <w:r w:rsidRPr="0057460C">
              <w:rPr>
                <w:rStyle w:val="Hyperlink"/>
                <w:rFonts w:asciiTheme="minorBidi" w:hAnsiTheme="minorBidi"/>
                <w:bCs/>
              </w:rPr>
              <w:t>Reconciliation Scope</w:t>
            </w:r>
            <w:r>
              <w:rPr>
                <w:webHidden/>
              </w:rPr>
              <w:tab/>
            </w:r>
            <w:r>
              <w:rPr>
                <w:webHidden/>
              </w:rPr>
              <w:fldChar w:fldCharType="begin"/>
            </w:r>
            <w:r>
              <w:rPr>
                <w:webHidden/>
              </w:rPr>
              <w:instrText xml:space="preserve"> PAGEREF _Toc183079149 \h </w:instrText>
            </w:r>
            <w:r>
              <w:rPr>
                <w:webHidden/>
              </w:rPr>
            </w:r>
            <w:r>
              <w:rPr>
                <w:webHidden/>
              </w:rPr>
              <w:fldChar w:fldCharType="separate"/>
            </w:r>
            <w:r w:rsidR="009A3FF3">
              <w:rPr>
                <w:webHidden/>
              </w:rPr>
              <w:t>6</w:t>
            </w:r>
            <w:r>
              <w:rPr>
                <w:webHidden/>
              </w:rPr>
              <w:fldChar w:fldCharType="end"/>
            </w:r>
          </w:hyperlink>
        </w:p>
        <w:p w14:paraId="0C2A7657" w14:textId="759AC11E" w:rsidR="009B3FCA" w:rsidRDefault="009B3FCA" w:rsidP="00DA4CC8">
          <w:pPr>
            <w:pStyle w:val="TOC3"/>
            <w:spacing w:after="120"/>
            <w:rPr>
              <w:rFonts w:asciiTheme="minorHAnsi" w:eastAsiaTheme="minorEastAsia" w:hAnsiTheme="minorHAnsi" w:cstheme="minorBidi"/>
              <w:kern w:val="2"/>
              <w:szCs w:val="24"/>
              <w:lang w:eastAsia="en-GB"/>
              <w14:ligatures w14:val="standardContextual"/>
            </w:rPr>
          </w:pPr>
          <w:hyperlink w:anchor="_Toc183079150" w:history="1">
            <w:r w:rsidRPr="0057460C">
              <w:rPr>
                <w:rStyle w:val="Hyperlink"/>
                <w:rFonts w:eastAsiaTheme="majorEastAsia"/>
                <w:lang w:eastAsia="en-GB"/>
              </w:rPr>
              <w:t>1.1.</w:t>
            </w:r>
            <w:r>
              <w:rPr>
                <w:rFonts w:asciiTheme="minorHAnsi" w:eastAsiaTheme="minorEastAsia" w:hAnsiTheme="minorHAnsi" w:cstheme="minorBidi"/>
                <w:kern w:val="2"/>
                <w:szCs w:val="24"/>
                <w:lang w:eastAsia="en-GB"/>
                <w14:ligatures w14:val="standardContextual"/>
              </w:rPr>
              <w:tab/>
            </w:r>
            <w:r w:rsidRPr="0057460C">
              <w:rPr>
                <w:rStyle w:val="Hyperlink"/>
                <w:rFonts w:eastAsiaTheme="majorEastAsia"/>
                <w:lang w:eastAsia="en-GB"/>
              </w:rPr>
              <w:t>Extractive Industries Payments to/Refunds from UK Government</w:t>
            </w:r>
            <w:r>
              <w:rPr>
                <w:webHidden/>
              </w:rPr>
              <w:tab/>
            </w:r>
            <w:r>
              <w:rPr>
                <w:webHidden/>
              </w:rPr>
              <w:fldChar w:fldCharType="begin"/>
            </w:r>
            <w:r>
              <w:rPr>
                <w:webHidden/>
              </w:rPr>
              <w:instrText xml:space="preserve"> PAGEREF _Toc183079150 \h </w:instrText>
            </w:r>
            <w:r>
              <w:rPr>
                <w:webHidden/>
              </w:rPr>
            </w:r>
            <w:r>
              <w:rPr>
                <w:webHidden/>
              </w:rPr>
              <w:fldChar w:fldCharType="separate"/>
            </w:r>
            <w:r w:rsidR="009A3FF3">
              <w:rPr>
                <w:webHidden/>
              </w:rPr>
              <w:t>6</w:t>
            </w:r>
            <w:r>
              <w:rPr>
                <w:webHidden/>
              </w:rPr>
              <w:fldChar w:fldCharType="end"/>
            </w:r>
          </w:hyperlink>
        </w:p>
        <w:p w14:paraId="540AA439" w14:textId="1DDFF33B" w:rsidR="009B3FCA" w:rsidRDefault="009B3FCA" w:rsidP="00DA4CC8">
          <w:pPr>
            <w:pStyle w:val="TOC3"/>
            <w:spacing w:after="120"/>
            <w:rPr>
              <w:rFonts w:asciiTheme="minorHAnsi" w:eastAsiaTheme="minorEastAsia" w:hAnsiTheme="minorHAnsi" w:cstheme="minorBidi"/>
              <w:kern w:val="2"/>
              <w:szCs w:val="24"/>
              <w:lang w:eastAsia="en-GB"/>
              <w14:ligatures w14:val="standardContextual"/>
            </w:rPr>
          </w:pPr>
          <w:hyperlink w:anchor="_Toc183079151" w:history="1">
            <w:r w:rsidRPr="0057460C">
              <w:rPr>
                <w:rStyle w:val="Hyperlink"/>
                <w:rFonts w:eastAsiaTheme="majorEastAsia"/>
                <w:lang w:eastAsia="en-GB"/>
              </w:rPr>
              <w:t>1.2.</w:t>
            </w:r>
            <w:r>
              <w:rPr>
                <w:rFonts w:asciiTheme="minorHAnsi" w:eastAsiaTheme="minorEastAsia" w:hAnsiTheme="minorHAnsi" w:cstheme="minorBidi"/>
                <w:kern w:val="2"/>
                <w:szCs w:val="24"/>
                <w:lang w:eastAsia="en-GB"/>
                <w14:ligatures w14:val="standardContextual"/>
              </w:rPr>
              <w:tab/>
            </w:r>
            <w:r w:rsidRPr="0057460C">
              <w:rPr>
                <w:rStyle w:val="Hyperlink"/>
                <w:rFonts w:eastAsiaTheme="majorEastAsia"/>
                <w:lang w:eastAsia="en-GB"/>
              </w:rPr>
              <w:t>Breakdown of Reconciled Data by Company and Sector</w:t>
            </w:r>
            <w:r>
              <w:rPr>
                <w:webHidden/>
              </w:rPr>
              <w:tab/>
            </w:r>
            <w:r>
              <w:rPr>
                <w:webHidden/>
              </w:rPr>
              <w:fldChar w:fldCharType="begin"/>
            </w:r>
            <w:r>
              <w:rPr>
                <w:webHidden/>
              </w:rPr>
              <w:instrText xml:space="preserve"> PAGEREF _Toc183079151 \h </w:instrText>
            </w:r>
            <w:r>
              <w:rPr>
                <w:webHidden/>
              </w:rPr>
            </w:r>
            <w:r>
              <w:rPr>
                <w:webHidden/>
              </w:rPr>
              <w:fldChar w:fldCharType="separate"/>
            </w:r>
            <w:r w:rsidR="009A3FF3">
              <w:rPr>
                <w:webHidden/>
              </w:rPr>
              <w:t>8</w:t>
            </w:r>
            <w:r>
              <w:rPr>
                <w:webHidden/>
              </w:rPr>
              <w:fldChar w:fldCharType="end"/>
            </w:r>
          </w:hyperlink>
        </w:p>
        <w:p w14:paraId="374AF686" w14:textId="3F8D28DB" w:rsidR="009B3FCA" w:rsidRDefault="009B3FCA" w:rsidP="00DA4CC8">
          <w:pPr>
            <w:pStyle w:val="TOC3"/>
            <w:spacing w:after="120"/>
            <w:rPr>
              <w:rFonts w:asciiTheme="minorHAnsi" w:eastAsiaTheme="minorEastAsia" w:hAnsiTheme="minorHAnsi" w:cstheme="minorBidi"/>
              <w:kern w:val="2"/>
              <w:szCs w:val="24"/>
              <w:lang w:eastAsia="en-GB"/>
              <w14:ligatures w14:val="standardContextual"/>
            </w:rPr>
          </w:pPr>
          <w:hyperlink w:anchor="_Toc183079152" w:history="1">
            <w:r w:rsidRPr="0057460C">
              <w:rPr>
                <w:rStyle w:val="Hyperlink"/>
                <w:rFonts w:eastAsiaTheme="majorEastAsia"/>
                <w:lang w:eastAsia="en-GB"/>
              </w:rPr>
              <w:t>1.3.</w:t>
            </w:r>
            <w:r>
              <w:rPr>
                <w:rFonts w:asciiTheme="minorHAnsi" w:eastAsiaTheme="minorEastAsia" w:hAnsiTheme="minorHAnsi" w:cstheme="minorBidi"/>
                <w:kern w:val="2"/>
                <w:szCs w:val="24"/>
                <w:lang w:eastAsia="en-GB"/>
                <w14:ligatures w14:val="standardContextual"/>
              </w:rPr>
              <w:tab/>
            </w:r>
            <w:r w:rsidRPr="0057460C">
              <w:rPr>
                <w:rStyle w:val="Hyperlink"/>
                <w:rFonts w:eastAsiaTheme="majorEastAsia"/>
                <w:lang w:eastAsia="en-GB"/>
              </w:rPr>
              <w:t>Section 106 (Town and Country Planning Act 1990) Payments</w:t>
            </w:r>
            <w:r>
              <w:rPr>
                <w:webHidden/>
              </w:rPr>
              <w:tab/>
            </w:r>
            <w:r>
              <w:rPr>
                <w:webHidden/>
              </w:rPr>
              <w:fldChar w:fldCharType="begin"/>
            </w:r>
            <w:r>
              <w:rPr>
                <w:webHidden/>
              </w:rPr>
              <w:instrText xml:space="preserve"> PAGEREF _Toc183079152 \h </w:instrText>
            </w:r>
            <w:r>
              <w:rPr>
                <w:webHidden/>
              </w:rPr>
            </w:r>
            <w:r>
              <w:rPr>
                <w:webHidden/>
              </w:rPr>
              <w:fldChar w:fldCharType="separate"/>
            </w:r>
            <w:r w:rsidR="009A3FF3">
              <w:rPr>
                <w:webHidden/>
              </w:rPr>
              <w:t>11</w:t>
            </w:r>
            <w:r>
              <w:rPr>
                <w:webHidden/>
              </w:rPr>
              <w:fldChar w:fldCharType="end"/>
            </w:r>
          </w:hyperlink>
        </w:p>
        <w:p w14:paraId="51E04806" w14:textId="3697000C" w:rsidR="009B3FCA" w:rsidRDefault="009B3FCA" w:rsidP="00DA4CC8">
          <w:pPr>
            <w:pStyle w:val="TOC3"/>
            <w:spacing w:after="120"/>
            <w:rPr>
              <w:rFonts w:asciiTheme="minorHAnsi" w:eastAsiaTheme="minorEastAsia" w:hAnsiTheme="minorHAnsi" w:cstheme="minorBidi"/>
              <w:kern w:val="2"/>
              <w:szCs w:val="24"/>
              <w:lang w:eastAsia="en-GB"/>
              <w14:ligatures w14:val="standardContextual"/>
            </w:rPr>
          </w:pPr>
          <w:hyperlink w:anchor="_Toc183079153" w:history="1">
            <w:r w:rsidRPr="0057460C">
              <w:rPr>
                <w:rStyle w:val="Hyperlink"/>
                <w:rFonts w:eastAsiaTheme="majorEastAsia"/>
                <w:lang w:eastAsia="en-GB"/>
              </w:rPr>
              <w:t>1.4.</w:t>
            </w:r>
            <w:r>
              <w:rPr>
                <w:rFonts w:asciiTheme="minorHAnsi" w:eastAsiaTheme="minorEastAsia" w:hAnsiTheme="minorHAnsi" w:cstheme="minorBidi"/>
                <w:kern w:val="2"/>
                <w:szCs w:val="24"/>
                <w:lang w:eastAsia="en-GB"/>
                <w14:ligatures w14:val="standardContextual"/>
              </w:rPr>
              <w:tab/>
            </w:r>
            <w:r w:rsidRPr="0057460C">
              <w:rPr>
                <w:rStyle w:val="Hyperlink"/>
                <w:rFonts w:eastAsiaTheme="majorEastAsia"/>
                <w:lang w:eastAsia="en-GB"/>
              </w:rPr>
              <w:t>Evolution of Extractive Revenues (2014 / 2023)</w:t>
            </w:r>
            <w:r>
              <w:rPr>
                <w:webHidden/>
              </w:rPr>
              <w:tab/>
            </w:r>
            <w:r>
              <w:rPr>
                <w:webHidden/>
              </w:rPr>
              <w:fldChar w:fldCharType="begin"/>
            </w:r>
            <w:r>
              <w:rPr>
                <w:webHidden/>
              </w:rPr>
              <w:instrText xml:space="preserve"> PAGEREF _Toc183079153 \h </w:instrText>
            </w:r>
            <w:r>
              <w:rPr>
                <w:webHidden/>
              </w:rPr>
            </w:r>
            <w:r>
              <w:rPr>
                <w:webHidden/>
              </w:rPr>
              <w:fldChar w:fldCharType="separate"/>
            </w:r>
            <w:r w:rsidR="009A3FF3">
              <w:rPr>
                <w:webHidden/>
              </w:rPr>
              <w:t>11</w:t>
            </w:r>
            <w:r>
              <w:rPr>
                <w:webHidden/>
              </w:rPr>
              <w:fldChar w:fldCharType="end"/>
            </w:r>
          </w:hyperlink>
        </w:p>
        <w:p w14:paraId="2437E3C0" w14:textId="7140FF3A" w:rsidR="009B3FCA" w:rsidRDefault="009B3FCA" w:rsidP="00DA4CC8">
          <w:pPr>
            <w:pStyle w:val="TOC1"/>
            <w:rPr>
              <w:rFonts w:asciiTheme="minorHAnsi" w:hAnsiTheme="minorHAnsi" w:cstheme="minorBidi"/>
              <w:b w:val="0"/>
              <w:caps w:val="0"/>
              <w:kern w:val="2"/>
              <w:lang w:eastAsia="en-GB"/>
              <w14:ligatures w14:val="standardContextual"/>
            </w:rPr>
          </w:pPr>
          <w:hyperlink w:anchor="_Toc183079154" w:history="1">
            <w:r w:rsidRPr="0057460C">
              <w:rPr>
                <w:rStyle w:val="Hyperlink"/>
                <w:rFonts w:asciiTheme="minorBidi" w:hAnsiTheme="minorBidi"/>
                <w:bCs/>
              </w:rPr>
              <w:t>2.</w:t>
            </w:r>
            <w:r>
              <w:rPr>
                <w:rFonts w:asciiTheme="minorHAnsi" w:hAnsiTheme="minorHAnsi" w:cstheme="minorBidi"/>
                <w:b w:val="0"/>
                <w:caps w:val="0"/>
                <w:kern w:val="2"/>
                <w:lang w:eastAsia="en-GB"/>
                <w14:ligatures w14:val="standardContextual"/>
              </w:rPr>
              <w:tab/>
            </w:r>
            <w:r w:rsidRPr="0057460C">
              <w:rPr>
                <w:rStyle w:val="Hyperlink"/>
                <w:rFonts w:asciiTheme="minorBidi" w:hAnsiTheme="minorBidi"/>
                <w:bCs/>
              </w:rPr>
              <w:t>Beneficial Ownership</w:t>
            </w:r>
            <w:r>
              <w:rPr>
                <w:webHidden/>
              </w:rPr>
              <w:tab/>
            </w:r>
            <w:r>
              <w:rPr>
                <w:webHidden/>
              </w:rPr>
              <w:fldChar w:fldCharType="begin"/>
            </w:r>
            <w:r>
              <w:rPr>
                <w:webHidden/>
              </w:rPr>
              <w:instrText xml:space="preserve"> PAGEREF _Toc183079154 \h </w:instrText>
            </w:r>
            <w:r>
              <w:rPr>
                <w:webHidden/>
              </w:rPr>
            </w:r>
            <w:r>
              <w:rPr>
                <w:webHidden/>
              </w:rPr>
              <w:fldChar w:fldCharType="separate"/>
            </w:r>
            <w:r w:rsidR="009A3FF3">
              <w:rPr>
                <w:webHidden/>
              </w:rPr>
              <w:t>13</w:t>
            </w:r>
            <w:r>
              <w:rPr>
                <w:webHidden/>
              </w:rPr>
              <w:fldChar w:fldCharType="end"/>
            </w:r>
          </w:hyperlink>
        </w:p>
        <w:p w14:paraId="46C40B6F" w14:textId="50C30D55" w:rsidR="00137899" w:rsidRPr="0035568A" w:rsidRDefault="00137899" w:rsidP="00DA4CC8">
          <w:pPr>
            <w:spacing w:before="120"/>
          </w:pPr>
          <w:r w:rsidRPr="0035568A">
            <w:rPr>
              <w:rFonts w:asciiTheme="minorBidi" w:hAnsiTheme="minorBidi"/>
              <w:b/>
              <w:bCs/>
              <w:noProof/>
              <w:sz w:val="24"/>
              <w:szCs w:val="24"/>
            </w:rPr>
            <w:fldChar w:fldCharType="end"/>
          </w:r>
        </w:p>
      </w:sdtContent>
    </w:sdt>
    <w:p w14:paraId="48143A6E" w14:textId="1F90664F" w:rsidR="00661D2C" w:rsidRPr="0035568A" w:rsidRDefault="00494185" w:rsidP="00BC2464">
      <w:pPr>
        <w:pStyle w:val="BodyText0"/>
        <w:spacing w:after="360"/>
        <w:rPr>
          <w:rFonts w:ascii="Arial" w:hAnsi="Arial" w:cs="Arial"/>
          <w:b/>
          <w:bCs/>
          <w:color w:val="244061" w:themeColor="accent1" w:themeShade="80"/>
          <w:sz w:val="30"/>
          <w:szCs w:val="30"/>
        </w:rPr>
      </w:pPr>
      <w:r w:rsidRPr="0035568A">
        <w:rPr>
          <w:rFonts w:ascii="Arial" w:hAnsi="Arial" w:cs="Arial"/>
          <w:sz w:val="30"/>
          <w:szCs w:val="30"/>
        </w:rPr>
        <w:br w:type="page"/>
      </w:r>
      <w:r w:rsidR="001915B7" w:rsidRPr="0035568A">
        <w:rPr>
          <w:rFonts w:ascii="Arial" w:hAnsi="Arial" w:cs="Arial"/>
          <w:b/>
          <w:bCs/>
          <w:color w:val="244061" w:themeColor="accent1" w:themeShade="80"/>
          <w:sz w:val="30"/>
          <w:szCs w:val="30"/>
        </w:rPr>
        <w:lastRenderedPageBreak/>
        <w:t>List of Tables</w:t>
      </w:r>
    </w:p>
    <w:p w14:paraId="77F7D0CE" w14:textId="4B3BD2F2" w:rsidR="001C27B7" w:rsidRDefault="00B02E82">
      <w:pPr>
        <w:pStyle w:val="TableofFigures"/>
        <w:tabs>
          <w:tab w:val="right" w:leader="dot" w:pos="9016"/>
        </w:tabs>
        <w:rPr>
          <w:rFonts w:asciiTheme="minorHAnsi" w:hAnsiTheme="minorHAnsi" w:cstheme="minorBidi"/>
          <w:noProof/>
          <w:kern w:val="2"/>
          <w:lang w:eastAsia="en-GB"/>
          <w14:ligatures w14:val="standardContextual"/>
        </w:rPr>
      </w:pPr>
      <w:r w:rsidRPr="0035568A">
        <w:rPr>
          <w:sz w:val="30"/>
          <w:szCs w:val="30"/>
          <w:lang w:eastAsia="en-GB"/>
        </w:rPr>
        <w:fldChar w:fldCharType="begin"/>
      </w:r>
      <w:r w:rsidRPr="0035568A">
        <w:rPr>
          <w:sz w:val="30"/>
          <w:szCs w:val="30"/>
          <w:lang w:eastAsia="en-GB"/>
        </w:rPr>
        <w:instrText xml:space="preserve"> TOC \h \z \c "Table" </w:instrText>
      </w:r>
      <w:r w:rsidRPr="0035568A">
        <w:rPr>
          <w:sz w:val="30"/>
          <w:szCs w:val="30"/>
          <w:lang w:eastAsia="en-GB"/>
        </w:rPr>
        <w:fldChar w:fldCharType="separate"/>
      </w:r>
      <w:hyperlink w:anchor="_Toc177118481" w:history="1">
        <w:r w:rsidR="001C27B7" w:rsidRPr="00791683">
          <w:rPr>
            <w:rStyle w:val="Hyperlink"/>
            <w:rFonts w:asciiTheme="minorBidi" w:eastAsia="Calibri" w:hAnsiTheme="minorBidi"/>
            <w:iCs/>
            <w:noProof/>
            <w:lang w:eastAsia="x-none"/>
          </w:rPr>
          <w:t xml:space="preserve">Table </w:t>
        </w:r>
        <w:r w:rsidR="001C27B7" w:rsidRPr="00791683">
          <w:rPr>
            <w:rStyle w:val="Hyperlink"/>
            <w:rFonts w:asciiTheme="minorBidi" w:hAnsiTheme="minorBidi"/>
            <w:noProof/>
          </w:rPr>
          <w:t xml:space="preserve">1: </w:t>
        </w:r>
        <w:r w:rsidR="001C27B7" w:rsidRPr="00791683">
          <w:rPr>
            <w:rStyle w:val="Hyperlink"/>
            <w:rFonts w:asciiTheme="minorBidi" w:eastAsia="Calibri" w:hAnsiTheme="minorBidi"/>
            <w:iCs/>
            <w:noProof/>
            <w:lang w:eastAsia="x-none"/>
          </w:rPr>
          <w:t>Detailed Extractive Industries Payments to/Refunds from UK Government in 2023</w:t>
        </w:r>
        <w:r w:rsidR="001C27B7">
          <w:rPr>
            <w:noProof/>
            <w:webHidden/>
          </w:rPr>
          <w:tab/>
        </w:r>
        <w:r w:rsidR="001C27B7">
          <w:rPr>
            <w:noProof/>
            <w:webHidden/>
          </w:rPr>
          <w:fldChar w:fldCharType="begin"/>
        </w:r>
        <w:r w:rsidR="001C27B7">
          <w:rPr>
            <w:noProof/>
            <w:webHidden/>
          </w:rPr>
          <w:instrText xml:space="preserve"> PAGEREF _Toc177118481 \h </w:instrText>
        </w:r>
        <w:r w:rsidR="001C27B7">
          <w:rPr>
            <w:noProof/>
            <w:webHidden/>
          </w:rPr>
        </w:r>
        <w:r w:rsidR="001C27B7">
          <w:rPr>
            <w:noProof/>
            <w:webHidden/>
          </w:rPr>
          <w:fldChar w:fldCharType="separate"/>
        </w:r>
        <w:r w:rsidR="009A3FF3">
          <w:rPr>
            <w:noProof/>
            <w:webHidden/>
          </w:rPr>
          <w:t>6</w:t>
        </w:r>
        <w:r w:rsidR="001C27B7">
          <w:rPr>
            <w:noProof/>
            <w:webHidden/>
          </w:rPr>
          <w:fldChar w:fldCharType="end"/>
        </w:r>
      </w:hyperlink>
    </w:p>
    <w:p w14:paraId="79125ACE" w14:textId="2F1AB6C1"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2" w:history="1">
        <w:r w:rsidRPr="00791683">
          <w:rPr>
            <w:rStyle w:val="Hyperlink"/>
            <w:rFonts w:asciiTheme="minorBidi" w:eastAsia="Calibri" w:hAnsiTheme="minorBidi"/>
            <w:iCs/>
            <w:noProof/>
            <w:lang w:eastAsia="x-none"/>
          </w:rPr>
          <w:t xml:space="preserve">Table </w:t>
        </w:r>
        <w:r w:rsidRPr="00791683">
          <w:rPr>
            <w:rStyle w:val="Hyperlink"/>
            <w:rFonts w:asciiTheme="minorBidi" w:hAnsiTheme="minorBidi"/>
            <w:noProof/>
          </w:rPr>
          <w:t xml:space="preserve">2: </w:t>
        </w:r>
        <w:r w:rsidRPr="00791683">
          <w:rPr>
            <w:rStyle w:val="Hyperlink"/>
            <w:rFonts w:asciiTheme="minorBidi" w:eastAsia="Calibri" w:hAnsiTheme="minorBidi"/>
            <w:iCs/>
            <w:noProof/>
            <w:lang w:eastAsia="x-none"/>
          </w:rPr>
          <w:t>Extractive Industries Payments to/Refunds from UK Government in 2023</w:t>
        </w:r>
        <w:r>
          <w:rPr>
            <w:noProof/>
            <w:webHidden/>
          </w:rPr>
          <w:tab/>
        </w:r>
        <w:r>
          <w:rPr>
            <w:noProof/>
            <w:webHidden/>
          </w:rPr>
          <w:fldChar w:fldCharType="begin"/>
        </w:r>
        <w:r>
          <w:rPr>
            <w:noProof/>
            <w:webHidden/>
          </w:rPr>
          <w:instrText xml:space="preserve"> PAGEREF _Toc177118482 \h </w:instrText>
        </w:r>
        <w:r>
          <w:rPr>
            <w:noProof/>
            <w:webHidden/>
          </w:rPr>
        </w:r>
        <w:r>
          <w:rPr>
            <w:noProof/>
            <w:webHidden/>
          </w:rPr>
          <w:fldChar w:fldCharType="separate"/>
        </w:r>
        <w:r w:rsidR="009A3FF3">
          <w:rPr>
            <w:noProof/>
            <w:webHidden/>
          </w:rPr>
          <w:t>8</w:t>
        </w:r>
        <w:r>
          <w:rPr>
            <w:noProof/>
            <w:webHidden/>
          </w:rPr>
          <w:fldChar w:fldCharType="end"/>
        </w:r>
      </w:hyperlink>
    </w:p>
    <w:p w14:paraId="5032874C" w14:textId="28973479"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3" w:history="1">
        <w:r w:rsidRPr="00791683">
          <w:rPr>
            <w:rStyle w:val="Hyperlink"/>
            <w:rFonts w:asciiTheme="minorBidi" w:eastAsia="Calibri" w:hAnsiTheme="minorBidi"/>
            <w:iCs/>
            <w:noProof/>
            <w:lang w:eastAsia="x-none"/>
          </w:rPr>
          <w:t>Table</w:t>
        </w:r>
        <w:r w:rsidRPr="00791683">
          <w:rPr>
            <w:rStyle w:val="Hyperlink"/>
            <w:rFonts w:asciiTheme="minorBidi" w:hAnsiTheme="minorBidi"/>
            <w:noProof/>
          </w:rPr>
          <w:t xml:space="preserve"> 3: </w:t>
        </w:r>
        <w:r w:rsidRPr="00791683">
          <w:rPr>
            <w:rStyle w:val="Hyperlink"/>
            <w:rFonts w:asciiTheme="minorBidi" w:eastAsia="Calibri" w:hAnsiTheme="minorBidi"/>
            <w:iCs/>
            <w:noProof/>
            <w:lang w:eastAsia="x-none"/>
          </w:rPr>
          <w:t>Oil &amp; Gas companies</w:t>
        </w:r>
        <w:r>
          <w:rPr>
            <w:noProof/>
            <w:webHidden/>
          </w:rPr>
          <w:tab/>
        </w:r>
        <w:r>
          <w:rPr>
            <w:noProof/>
            <w:webHidden/>
          </w:rPr>
          <w:fldChar w:fldCharType="begin"/>
        </w:r>
        <w:r>
          <w:rPr>
            <w:noProof/>
            <w:webHidden/>
          </w:rPr>
          <w:instrText xml:space="preserve"> PAGEREF _Toc177118483 \h </w:instrText>
        </w:r>
        <w:r>
          <w:rPr>
            <w:noProof/>
            <w:webHidden/>
          </w:rPr>
        </w:r>
        <w:r>
          <w:rPr>
            <w:noProof/>
            <w:webHidden/>
          </w:rPr>
          <w:fldChar w:fldCharType="separate"/>
        </w:r>
        <w:r w:rsidR="009A3FF3">
          <w:rPr>
            <w:noProof/>
            <w:webHidden/>
          </w:rPr>
          <w:t>9</w:t>
        </w:r>
        <w:r>
          <w:rPr>
            <w:noProof/>
            <w:webHidden/>
          </w:rPr>
          <w:fldChar w:fldCharType="end"/>
        </w:r>
      </w:hyperlink>
    </w:p>
    <w:p w14:paraId="3D7D4F31" w14:textId="582F84C9"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4" w:history="1">
        <w:r w:rsidRPr="00791683">
          <w:rPr>
            <w:rStyle w:val="Hyperlink"/>
            <w:rFonts w:asciiTheme="minorBidi" w:eastAsia="Calibri" w:hAnsiTheme="minorBidi"/>
            <w:iCs/>
            <w:noProof/>
            <w:lang w:eastAsia="x-none"/>
          </w:rPr>
          <w:t>Table</w:t>
        </w:r>
        <w:r w:rsidRPr="00791683">
          <w:rPr>
            <w:rStyle w:val="Hyperlink"/>
            <w:rFonts w:asciiTheme="minorBidi" w:hAnsiTheme="minorBidi"/>
            <w:noProof/>
          </w:rPr>
          <w:t xml:space="preserve"> 4: </w:t>
        </w:r>
        <w:r w:rsidRPr="00791683">
          <w:rPr>
            <w:rStyle w:val="Hyperlink"/>
            <w:rFonts w:asciiTheme="minorBidi" w:eastAsia="Calibri" w:hAnsiTheme="minorBidi"/>
            <w:iCs/>
            <w:noProof/>
            <w:lang w:eastAsia="x-none"/>
          </w:rPr>
          <w:t>Mining &amp; Quarrying companies</w:t>
        </w:r>
        <w:r>
          <w:rPr>
            <w:noProof/>
            <w:webHidden/>
          </w:rPr>
          <w:tab/>
        </w:r>
        <w:r>
          <w:rPr>
            <w:noProof/>
            <w:webHidden/>
          </w:rPr>
          <w:fldChar w:fldCharType="begin"/>
        </w:r>
        <w:r>
          <w:rPr>
            <w:noProof/>
            <w:webHidden/>
          </w:rPr>
          <w:instrText xml:space="preserve"> PAGEREF _Toc177118484 \h </w:instrText>
        </w:r>
        <w:r>
          <w:rPr>
            <w:noProof/>
            <w:webHidden/>
          </w:rPr>
        </w:r>
        <w:r>
          <w:rPr>
            <w:noProof/>
            <w:webHidden/>
          </w:rPr>
          <w:fldChar w:fldCharType="separate"/>
        </w:r>
        <w:r w:rsidR="009A3FF3">
          <w:rPr>
            <w:noProof/>
            <w:webHidden/>
          </w:rPr>
          <w:t>10</w:t>
        </w:r>
        <w:r>
          <w:rPr>
            <w:noProof/>
            <w:webHidden/>
          </w:rPr>
          <w:fldChar w:fldCharType="end"/>
        </w:r>
      </w:hyperlink>
    </w:p>
    <w:p w14:paraId="0B53E9D0" w14:textId="27D84B8B"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5" w:history="1">
        <w:r w:rsidRPr="00791683">
          <w:rPr>
            <w:rStyle w:val="Hyperlink"/>
            <w:rFonts w:asciiTheme="minorBidi" w:eastAsia="Calibri" w:hAnsiTheme="minorBidi"/>
            <w:iCs/>
            <w:noProof/>
            <w:lang w:eastAsia="x-none"/>
          </w:rPr>
          <w:t>Table</w:t>
        </w:r>
        <w:r w:rsidRPr="00791683">
          <w:rPr>
            <w:rStyle w:val="Hyperlink"/>
            <w:rFonts w:asciiTheme="minorBidi" w:hAnsiTheme="minorBidi"/>
            <w:noProof/>
          </w:rPr>
          <w:t xml:space="preserve"> 5: </w:t>
        </w:r>
        <w:r w:rsidRPr="00791683">
          <w:rPr>
            <w:rStyle w:val="Hyperlink"/>
            <w:rFonts w:asciiTheme="minorBidi" w:eastAsia="Calibri" w:hAnsiTheme="minorBidi"/>
            <w:iCs/>
            <w:noProof/>
            <w:lang w:eastAsia="x-none"/>
          </w:rPr>
          <w:t>Section 106 (Town and Country Planning Act 1990) Payments</w:t>
        </w:r>
        <w:r>
          <w:rPr>
            <w:noProof/>
            <w:webHidden/>
          </w:rPr>
          <w:tab/>
        </w:r>
        <w:r>
          <w:rPr>
            <w:noProof/>
            <w:webHidden/>
          </w:rPr>
          <w:fldChar w:fldCharType="begin"/>
        </w:r>
        <w:r>
          <w:rPr>
            <w:noProof/>
            <w:webHidden/>
          </w:rPr>
          <w:instrText xml:space="preserve"> PAGEREF _Toc177118485 \h </w:instrText>
        </w:r>
        <w:r>
          <w:rPr>
            <w:noProof/>
            <w:webHidden/>
          </w:rPr>
        </w:r>
        <w:r>
          <w:rPr>
            <w:noProof/>
            <w:webHidden/>
          </w:rPr>
          <w:fldChar w:fldCharType="separate"/>
        </w:r>
        <w:r w:rsidR="009A3FF3">
          <w:rPr>
            <w:noProof/>
            <w:webHidden/>
          </w:rPr>
          <w:t>11</w:t>
        </w:r>
        <w:r>
          <w:rPr>
            <w:noProof/>
            <w:webHidden/>
          </w:rPr>
          <w:fldChar w:fldCharType="end"/>
        </w:r>
      </w:hyperlink>
    </w:p>
    <w:p w14:paraId="2D3D9054" w14:textId="62F45291"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6" w:history="1">
        <w:r w:rsidRPr="00791683">
          <w:rPr>
            <w:rStyle w:val="Hyperlink"/>
            <w:rFonts w:eastAsia="Calibri"/>
            <w:iCs/>
            <w:noProof/>
            <w:lang w:eastAsia="x-none"/>
          </w:rPr>
          <w:t>Table</w:t>
        </w:r>
        <w:r w:rsidRPr="00791683">
          <w:rPr>
            <w:rStyle w:val="Hyperlink"/>
            <w:rFonts w:asciiTheme="minorBidi" w:hAnsiTheme="minorBidi"/>
            <w:noProof/>
          </w:rPr>
          <w:t xml:space="preserve"> 6: </w:t>
        </w:r>
        <w:r w:rsidRPr="00791683">
          <w:rPr>
            <w:rStyle w:val="Hyperlink"/>
            <w:rFonts w:eastAsia="Calibri"/>
            <w:iCs/>
            <w:noProof/>
            <w:lang w:eastAsia="x-none"/>
          </w:rPr>
          <w:t>Comparison between 2022 and 2023 extractive revenues</w:t>
        </w:r>
        <w:r>
          <w:rPr>
            <w:noProof/>
            <w:webHidden/>
          </w:rPr>
          <w:tab/>
        </w:r>
        <w:r>
          <w:rPr>
            <w:noProof/>
            <w:webHidden/>
          </w:rPr>
          <w:fldChar w:fldCharType="begin"/>
        </w:r>
        <w:r>
          <w:rPr>
            <w:noProof/>
            <w:webHidden/>
          </w:rPr>
          <w:instrText xml:space="preserve"> PAGEREF _Toc177118486 \h </w:instrText>
        </w:r>
        <w:r>
          <w:rPr>
            <w:noProof/>
            <w:webHidden/>
          </w:rPr>
        </w:r>
        <w:r>
          <w:rPr>
            <w:noProof/>
            <w:webHidden/>
          </w:rPr>
          <w:fldChar w:fldCharType="separate"/>
        </w:r>
        <w:r w:rsidR="009A3FF3">
          <w:rPr>
            <w:noProof/>
            <w:webHidden/>
          </w:rPr>
          <w:t>12</w:t>
        </w:r>
        <w:r>
          <w:rPr>
            <w:noProof/>
            <w:webHidden/>
          </w:rPr>
          <w:fldChar w:fldCharType="end"/>
        </w:r>
      </w:hyperlink>
    </w:p>
    <w:p w14:paraId="2DD6B019" w14:textId="5DF1C6FB"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7" w:history="1">
        <w:r w:rsidRPr="00791683">
          <w:rPr>
            <w:rStyle w:val="Hyperlink"/>
            <w:rFonts w:asciiTheme="minorBidi" w:eastAsia="Calibri" w:hAnsiTheme="minorBidi"/>
            <w:iCs/>
            <w:noProof/>
            <w:lang w:eastAsia="x-none"/>
          </w:rPr>
          <w:t>Table</w:t>
        </w:r>
        <w:r w:rsidRPr="00791683">
          <w:rPr>
            <w:rStyle w:val="Hyperlink"/>
            <w:rFonts w:asciiTheme="minorBidi" w:hAnsiTheme="minorBidi"/>
            <w:noProof/>
          </w:rPr>
          <w:t xml:space="preserve"> 7: </w:t>
        </w:r>
        <w:r w:rsidRPr="00791683">
          <w:rPr>
            <w:rStyle w:val="Hyperlink"/>
            <w:rFonts w:asciiTheme="minorBidi" w:eastAsia="Calibri" w:hAnsiTheme="minorBidi"/>
            <w:iCs/>
            <w:noProof/>
            <w:lang w:eastAsia="x-none"/>
          </w:rPr>
          <w:t>Publicly listed or wholly owned subsidiaries of publicly listed companies</w:t>
        </w:r>
        <w:r>
          <w:rPr>
            <w:noProof/>
            <w:webHidden/>
          </w:rPr>
          <w:tab/>
        </w:r>
        <w:r>
          <w:rPr>
            <w:noProof/>
            <w:webHidden/>
          </w:rPr>
          <w:fldChar w:fldCharType="begin"/>
        </w:r>
        <w:r>
          <w:rPr>
            <w:noProof/>
            <w:webHidden/>
          </w:rPr>
          <w:instrText xml:space="preserve"> PAGEREF _Toc177118487 \h </w:instrText>
        </w:r>
        <w:r>
          <w:rPr>
            <w:noProof/>
            <w:webHidden/>
          </w:rPr>
        </w:r>
        <w:r>
          <w:rPr>
            <w:noProof/>
            <w:webHidden/>
          </w:rPr>
          <w:fldChar w:fldCharType="separate"/>
        </w:r>
        <w:r w:rsidR="009A3FF3">
          <w:rPr>
            <w:noProof/>
            <w:webHidden/>
          </w:rPr>
          <w:t>13</w:t>
        </w:r>
        <w:r>
          <w:rPr>
            <w:noProof/>
            <w:webHidden/>
          </w:rPr>
          <w:fldChar w:fldCharType="end"/>
        </w:r>
      </w:hyperlink>
    </w:p>
    <w:p w14:paraId="202E70CC" w14:textId="75B36CFD" w:rsidR="001C27B7" w:rsidRDefault="001C27B7">
      <w:pPr>
        <w:pStyle w:val="TableofFigures"/>
        <w:tabs>
          <w:tab w:val="right" w:leader="dot" w:pos="9016"/>
        </w:tabs>
        <w:rPr>
          <w:rFonts w:asciiTheme="minorHAnsi" w:hAnsiTheme="minorHAnsi" w:cstheme="minorBidi"/>
          <w:noProof/>
          <w:kern w:val="2"/>
          <w:lang w:eastAsia="en-GB"/>
          <w14:ligatures w14:val="standardContextual"/>
        </w:rPr>
      </w:pPr>
      <w:hyperlink w:anchor="_Toc177118488" w:history="1">
        <w:r w:rsidRPr="00791683">
          <w:rPr>
            <w:rStyle w:val="Hyperlink"/>
            <w:rFonts w:asciiTheme="minorBidi" w:eastAsia="Calibri" w:hAnsiTheme="minorBidi"/>
            <w:iCs/>
            <w:noProof/>
            <w:lang w:eastAsia="x-none"/>
          </w:rPr>
          <w:t>Table</w:t>
        </w:r>
        <w:r w:rsidRPr="00791683">
          <w:rPr>
            <w:rStyle w:val="Hyperlink"/>
            <w:rFonts w:asciiTheme="minorBidi" w:hAnsiTheme="minorBidi"/>
            <w:noProof/>
          </w:rPr>
          <w:t xml:space="preserve"> 8: </w:t>
        </w:r>
        <w:r w:rsidRPr="00791683">
          <w:rPr>
            <w:rStyle w:val="Hyperlink"/>
            <w:rFonts w:asciiTheme="minorBidi" w:eastAsia="Calibri" w:hAnsiTheme="minorBidi"/>
            <w:iCs/>
            <w:noProof/>
            <w:lang w:eastAsia="x-none"/>
          </w:rPr>
          <w:t>Privately held companies</w:t>
        </w:r>
        <w:r>
          <w:rPr>
            <w:noProof/>
            <w:webHidden/>
          </w:rPr>
          <w:tab/>
        </w:r>
        <w:r>
          <w:rPr>
            <w:noProof/>
            <w:webHidden/>
          </w:rPr>
          <w:fldChar w:fldCharType="begin"/>
        </w:r>
        <w:r>
          <w:rPr>
            <w:noProof/>
            <w:webHidden/>
          </w:rPr>
          <w:instrText xml:space="preserve"> PAGEREF _Toc177118488 \h </w:instrText>
        </w:r>
        <w:r>
          <w:rPr>
            <w:noProof/>
            <w:webHidden/>
          </w:rPr>
        </w:r>
        <w:r>
          <w:rPr>
            <w:noProof/>
            <w:webHidden/>
          </w:rPr>
          <w:fldChar w:fldCharType="separate"/>
        </w:r>
        <w:r w:rsidR="009A3FF3">
          <w:rPr>
            <w:noProof/>
            <w:webHidden/>
          </w:rPr>
          <w:t>14</w:t>
        </w:r>
        <w:r>
          <w:rPr>
            <w:noProof/>
            <w:webHidden/>
          </w:rPr>
          <w:fldChar w:fldCharType="end"/>
        </w:r>
      </w:hyperlink>
    </w:p>
    <w:p w14:paraId="218B0561" w14:textId="39A331C7" w:rsidR="00661D2C" w:rsidRPr="0035568A" w:rsidRDefault="00B02E82" w:rsidP="001E36F1">
      <w:pPr>
        <w:rPr>
          <w:rFonts w:ascii="Arial" w:hAnsi="Arial" w:cs="Arial"/>
          <w:sz w:val="30"/>
          <w:szCs w:val="30"/>
          <w:lang w:eastAsia="en-GB"/>
        </w:rPr>
      </w:pPr>
      <w:r w:rsidRPr="0035568A">
        <w:rPr>
          <w:rFonts w:ascii="Arial" w:hAnsi="Arial" w:cs="Arial"/>
          <w:sz w:val="30"/>
          <w:szCs w:val="30"/>
          <w:lang w:eastAsia="en-GB"/>
        </w:rPr>
        <w:fldChar w:fldCharType="end"/>
      </w:r>
    </w:p>
    <w:p w14:paraId="26D00EF5" w14:textId="60849D8A" w:rsidR="009C13B4" w:rsidRPr="0035568A" w:rsidRDefault="006E5095" w:rsidP="00BC2464">
      <w:pPr>
        <w:pStyle w:val="BodyText0"/>
        <w:spacing w:after="360"/>
        <w:rPr>
          <w:rFonts w:ascii="Arial" w:hAnsi="Arial" w:cs="Arial"/>
          <w:b/>
          <w:bCs/>
          <w:color w:val="244061" w:themeColor="accent1" w:themeShade="80"/>
          <w:sz w:val="30"/>
          <w:szCs w:val="30"/>
        </w:rPr>
      </w:pPr>
      <w:r w:rsidRPr="0035568A">
        <w:rPr>
          <w:rFonts w:ascii="Arial" w:hAnsi="Arial" w:cs="Arial"/>
          <w:b/>
          <w:bCs/>
          <w:color w:val="244061" w:themeColor="accent1" w:themeShade="80"/>
          <w:sz w:val="30"/>
          <w:szCs w:val="30"/>
        </w:rPr>
        <w:t>F</w:t>
      </w:r>
      <w:r w:rsidR="001915B7" w:rsidRPr="0035568A">
        <w:rPr>
          <w:rFonts w:ascii="Arial" w:hAnsi="Arial" w:cs="Arial"/>
          <w:b/>
          <w:bCs/>
          <w:color w:val="244061" w:themeColor="accent1" w:themeShade="80"/>
          <w:sz w:val="30"/>
          <w:szCs w:val="30"/>
        </w:rPr>
        <w:t>igure</w:t>
      </w:r>
    </w:p>
    <w:p w14:paraId="0D4C8FC6" w14:textId="7C9ADE4D" w:rsidR="001C27B7" w:rsidRDefault="00DF7193">
      <w:pPr>
        <w:pStyle w:val="TableofFigures"/>
        <w:tabs>
          <w:tab w:val="right" w:leader="dot" w:pos="9016"/>
        </w:tabs>
        <w:rPr>
          <w:rFonts w:asciiTheme="minorHAnsi" w:hAnsiTheme="minorHAnsi" w:cstheme="minorBidi"/>
          <w:noProof/>
          <w:kern w:val="2"/>
          <w:lang w:eastAsia="en-GB"/>
          <w14:ligatures w14:val="standardContextual"/>
        </w:rPr>
      </w:pPr>
      <w:r w:rsidRPr="0035568A">
        <w:rPr>
          <w:rFonts w:asciiTheme="majorHAnsi" w:hAnsiTheme="majorHAnsi"/>
          <w:b/>
          <w:bCs/>
          <w:color w:val="FF0000"/>
          <w:sz w:val="40"/>
          <w:szCs w:val="40"/>
        </w:rPr>
        <w:fldChar w:fldCharType="begin"/>
      </w:r>
      <w:r w:rsidRPr="0035568A">
        <w:rPr>
          <w:rFonts w:asciiTheme="majorHAnsi" w:hAnsiTheme="majorHAnsi"/>
          <w:b/>
          <w:bCs/>
          <w:color w:val="FF0000"/>
          <w:sz w:val="40"/>
          <w:szCs w:val="40"/>
        </w:rPr>
        <w:instrText xml:space="preserve"> TOC \h \z \c "Figure" </w:instrText>
      </w:r>
      <w:r w:rsidRPr="0035568A">
        <w:rPr>
          <w:rFonts w:asciiTheme="majorHAnsi" w:hAnsiTheme="majorHAnsi"/>
          <w:b/>
          <w:bCs/>
          <w:color w:val="FF0000"/>
          <w:sz w:val="40"/>
          <w:szCs w:val="40"/>
        </w:rPr>
        <w:fldChar w:fldCharType="separate"/>
      </w:r>
      <w:hyperlink w:anchor="_Toc177118499" w:history="1">
        <w:r w:rsidR="001C27B7" w:rsidRPr="00D02253">
          <w:rPr>
            <w:rStyle w:val="Hyperlink"/>
            <w:rFonts w:asciiTheme="minorBidi" w:eastAsia="Calibri" w:hAnsiTheme="minorBidi"/>
            <w:iCs/>
            <w:noProof/>
            <w:lang w:eastAsia="x-none"/>
          </w:rPr>
          <w:t>Figure</w:t>
        </w:r>
        <w:r w:rsidR="001C27B7" w:rsidRPr="00D02253">
          <w:rPr>
            <w:rStyle w:val="Hyperlink"/>
            <w:rFonts w:asciiTheme="minorBidi" w:hAnsiTheme="minorBidi"/>
            <w:noProof/>
          </w:rPr>
          <w:t xml:space="preserve"> 1: </w:t>
        </w:r>
        <w:r w:rsidR="001C27B7" w:rsidRPr="00D02253">
          <w:rPr>
            <w:rStyle w:val="Hyperlink"/>
            <w:rFonts w:asciiTheme="minorBidi" w:eastAsia="Calibri" w:hAnsiTheme="minorBidi"/>
            <w:iCs/>
            <w:noProof/>
            <w:lang w:eastAsia="x-none"/>
          </w:rPr>
          <w:t>Net Payments to Government by Sector by Year (2014-2023)</w:t>
        </w:r>
        <w:r w:rsidR="001C27B7">
          <w:rPr>
            <w:noProof/>
            <w:webHidden/>
          </w:rPr>
          <w:tab/>
        </w:r>
        <w:r w:rsidR="001C27B7">
          <w:rPr>
            <w:noProof/>
            <w:webHidden/>
          </w:rPr>
          <w:fldChar w:fldCharType="begin"/>
        </w:r>
        <w:r w:rsidR="001C27B7">
          <w:rPr>
            <w:noProof/>
            <w:webHidden/>
          </w:rPr>
          <w:instrText xml:space="preserve"> PAGEREF _Toc177118499 \h </w:instrText>
        </w:r>
        <w:r w:rsidR="001C27B7">
          <w:rPr>
            <w:noProof/>
            <w:webHidden/>
          </w:rPr>
        </w:r>
        <w:r w:rsidR="001C27B7">
          <w:rPr>
            <w:noProof/>
            <w:webHidden/>
          </w:rPr>
          <w:fldChar w:fldCharType="separate"/>
        </w:r>
        <w:r w:rsidR="009A3FF3">
          <w:rPr>
            <w:noProof/>
            <w:webHidden/>
          </w:rPr>
          <w:t>11</w:t>
        </w:r>
        <w:r w:rsidR="001C27B7">
          <w:rPr>
            <w:noProof/>
            <w:webHidden/>
          </w:rPr>
          <w:fldChar w:fldCharType="end"/>
        </w:r>
      </w:hyperlink>
    </w:p>
    <w:p w14:paraId="5BBB6F99" w14:textId="71ED301F" w:rsidR="009C13B4" w:rsidRPr="0035568A" w:rsidRDefault="00DF7193" w:rsidP="001E36F1">
      <w:pPr>
        <w:rPr>
          <w:rFonts w:asciiTheme="majorHAnsi" w:hAnsiTheme="majorHAnsi"/>
          <w:b/>
          <w:bCs/>
          <w:color w:val="FF0000"/>
          <w:sz w:val="40"/>
          <w:szCs w:val="40"/>
        </w:rPr>
      </w:pPr>
      <w:r w:rsidRPr="0035568A">
        <w:rPr>
          <w:rFonts w:asciiTheme="majorHAnsi" w:hAnsiTheme="majorHAnsi"/>
          <w:b/>
          <w:bCs/>
          <w:color w:val="FF0000"/>
          <w:sz w:val="40"/>
          <w:szCs w:val="40"/>
        </w:rPr>
        <w:fldChar w:fldCharType="end"/>
      </w:r>
      <w:r w:rsidR="009C13B4" w:rsidRPr="0035568A">
        <w:rPr>
          <w:rFonts w:asciiTheme="majorHAnsi" w:hAnsiTheme="majorHAnsi"/>
          <w:b/>
          <w:bCs/>
          <w:color w:val="FF0000"/>
          <w:sz w:val="40"/>
          <w:szCs w:val="40"/>
        </w:rPr>
        <w:br w:type="page"/>
      </w:r>
    </w:p>
    <w:p w14:paraId="40B52D3A" w14:textId="29309F3B" w:rsidR="009C13B4" w:rsidRPr="0035568A" w:rsidRDefault="002D5E12" w:rsidP="001E36F1">
      <w:pPr>
        <w:pStyle w:val="BodyText0"/>
        <w:spacing w:after="240"/>
        <w:rPr>
          <w:rFonts w:ascii="Arial" w:hAnsi="Arial" w:cs="Arial"/>
          <w:b/>
          <w:bCs/>
          <w:color w:val="244061" w:themeColor="accent1" w:themeShade="80"/>
          <w:sz w:val="30"/>
          <w:szCs w:val="30"/>
        </w:rPr>
      </w:pPr>
      <w:r w:rsidRPr="0035568A">
        <w:rPr>
          <w:rFonts w:ascii="Arial" w:hAnsi="Arial" w:cs="Arial"/>
          <w:b/>
          <w:bCs/>
          <w:color w:val="244061" w:themeColor="accent1" w:themeShade="80"/>
          <w:sz w:val="30"/>
          <w:szCs w:val="30"/>
        </w:rPr>
        <w:lastRenderedPageBreak/>
        <w:t>Glossary of Abbreviations</w:t>
      </w:r>
    </w:p>
    <w:tbl>
      <w:tblPr>
        <w:tblW w:w="5000" w:type="pct"/>
        <w:tblLook w:val="04A0" w:firstRow="1" w:lastRow="0" w:firstColumn="1" w:lastColumn="0" w:noHBand="0" w:noVBand="1"/>
      </w:tblPr>
      <w:tblGrid>
        <w:gridCol w:w="1533"/>
        <w:gridCol w:w="7493"/>
      </w:tblGrid>
      <w:tr w:rsidR="002D5E12" w:rsidRPr="0035568A" w14:paraId="12A95F5D" w14:textId="77777777" w:rsidTr="003317F1">
        <w:trPr>
          <w:trHeight w:val="397"/>
        </w:trPr>
        <w:tc>
          <w:tcPr>
            <w:tcW w:w="849" w:type="pct"/>
            <w:tcBorders>
              <w:top w:val="nil"/>
              <w:left w:val="nil"/>
              <w:bottom w:val="nil"/>
              <w:right w:val="nil"/>
            </w:tcBorders>
            <w:shd w:val="clear" w:color="auto" w:fill="B4C6E7"/>
            <w:noWrap/>
            <w:vAlign w:val="center"/>
            <w:hideMark/>
          </w:tcPr>
          <w:p w14:paraId="52F1700D"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APRT</w:t>
            </w:r>
          </w:p>
        </w:tc>
        <w:tc>
          <w:tcPr>
            <w:tcW w:w="4151" w:type="pct"/>
            <w:tcBorders>
              <w:top w:val="nil"/>
              <w:left w:val="nil"/>
              <w:bottom w:val="nil"/>
              <w:right w:val="nil"/>
            </w:tcBorders>
            <w:shd w:val="clear" w:color="auto" w:fill="B4C6E7"/>
            <w:noWrap/>
            <w:vAlign w:val="center"/>
            <w:hideMark/>
          </w:tcPr>
          <w:p w14:paraId="1364875B"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Advance Petroleum Revenue Tax</w:t>
            </w:r>
          </w:p>
        </w:tc>
      </w:tr>
      <w:tr w:rsidR="002D5E12" w:rsidRPr="0035568A" w14:paraId="77F51565" w14:textId="77777777" w:rsidTr="003317F1">
        <w:trPr>
          <w:trHeight w:val="397"/>
        </w:trPr>
        <w:tc>
          <w:tcPr>
            <w:tcW w:w="849" w:type="pct"/>
            <w:tcBorders>
              <w:top w:val="nil"/>
              <w:left w:val="nil"/>
              <w:bottom w:val="nil"/>
              <w:right w:val="nil"/>
            </w:tcBorders>
            <w:shd w:val="clear" w:color="auto" w:fill="auto"/>
            <w:noWrap/>
            <w:vAlign w:val="center"/>
            <w:hideMark/>
          </w:tcPr>
          <w:p w14:paraId="06BC3A32"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CES</w:t>
            </w:r>
          </w:p>
        </w:tc>
        <w:tc>
          <w:tcPr>
            <w:tcW w:w="4151" w:type="pct"/>
            <w:tcBorders>
              <w:top w:val="nil"/>
              <w:left w:val="nil"/>
              <w:bottom w:val="nil"/>
              <w:right w:val="nil"/>
            </w:tcBorders>
            <w:shd w:val="clear" w:color="auto" w:fill="auto"/>
            <w:noWrap/>
            <w:vAlign w:val="center"/>
            <w:hideMark/>
          </w:tcPr>
          <w:p w14:paraId="7E11479C"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Crown Estate Scotland</w:t>
            </w:r>
          </w:p>
        </w:tc>
      </w:tr>
      <w:tr w:rsidR="002D5E12" w:rsidRPr="0035568A" w14:paraId="72B963E7" w14:textId="77777777" w:rsidTr="003317F1">
        <w:trPr>
          <w:trHeight w:val="397"/>
        </w:trPr>
        <w:tc>
          <w:tcPr>
            <w:tcW w:w="849" w:type="pct"/>
            <w:tcBorders>
              <w:top w:val="nil"/>
              <w:left w:val="nil"/>
              <w:bottom w:val="nil"/>
              <w:right w:val="nil"/>
            </w:tcBorders>
            <w:shd w:val="clear" w:color="auto" w:fill="B4C6E7"/>
            <w:noWrap/>
            <w:vAlign w:val="center"/>
            <w:hideMark/>
          </w:tcPr>
          <w:p w14:paraId="1042A8EC"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CT</w:t>
            </w:r>
          </w:p>
        </w:tc>
        <w:tc>
          <w:tcPr>
            <w:tcW w:w="4151" w:type="pct"/>
            <w:tcBorders>
              <w:top w:val="nil"/>
              <w:left w:val="nil"/>
              <w:bottom w:val="nil"/>
              <w:right w:val="nil"/>
            </w:tcBorders>
            <w:shd w:val="clear" w:color="auto" w:fill="B4C6E7"/>
            <w:noWrap/>
            <w:vAlign w:val="center"/>
            <w:hideMark/>
          </w:tcPr>
          <w:p w14:paraId="6857287E"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Corporation Tax</w:t>
            </w:r>
          </w:p>
        </w:tc>
      </w:tr>
      <w:tr w:rsidR="002D5E12" w:rsidRPr="0035568A" w14:paraId="74831CED" w14:textId="77777777" w:rsidTr="003317F1">
        <w:trPr>
          <w:trHeight w:val="397"/>
        </w:trPr>
        <w:tc>
          <w:tcPr>
            <w:tcW w:w="849" w:type="pct"/>
            <w:tcBorders>
              <w:top w:val="nil"/>
              <w:left w:val="nil"/>
              <w:bottom w:val="nil"/>
              <w:right w:val="nil"/>
            </w:tcBorders>
            <w:shd w:val="clear" w:color="auto" w:fill="auto"/>
            <w:noWrap/>
            <w:vAlign w:val="center"/>
            <w:hideMark/>
          </w:tcPr>
          <w:p w14:paraId="4D3A97F8"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EEA</w:t>
            </w:r>
          </w:p>
        </w:tc>
        <w:tc>
          <w:tcPr>
            <w:tcW w:w="4151" w:type="pct"/>
            <w:tcBorders>
              <w:top w:val="nil"/>
              <w:left w:val="nil"/>
              <w:bottom w:val="nil"/>
              <w:right w:val="nil"/>
            </w:tcBorders>
            <w:shd w:val="clear" w:color="auto" w:fill="auto"/>
            <w:noWrap/>
            <w:vAlign w:val="center"/>
            <w:hideMark/>
          </w:tcPr>
          <w:p w14:paraId="5BE4D318"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European Economic Area</w:t>
            </w:r>
          </w:p>
        </w:tc>
      </w:tr>
      <w:tr w:rsidR="002D5E12" w:rsidRPr="0035568A" w14:paraId="61FE6C63" w14:textId="77777777" w:rsidTr="003317F1">
        <w:trPr>
          <w:trHeight w:val="397"/>
        </w:trPr>
        <w:tc>
          <w:tcPr>
            <w:tcW w:w="849" w:type="pct"/>
            <w:tcBorders>
              <w:top w:val="nil"/>
              <w:left w:val="nil"/>
              <w:bottom w:val="nil"/>
              <w:right w:val="nil"/>
            </w:tcBorders>
            <w:shd w:val="clear" w:color="auto" w:fill="B4C6E7"/>
            <w:noWrap/>
            <w:vAlign w:val="center"/>
            <w:hideMark/>
          </w:tcPr>
          <w:p w14:paraId="64F9AECD"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EITI</w:t>
            </w:r>
          </w:p>
        </w:tc>
        <w:tc>
          <w:tcPr>
            <w:tcW w:w="4151" w:type="pct"/>
            <w:tcBorders>
              <w:top w:val="nil"/>
              <w:left w:val="nil"/>
              <w:bottom w:val="nil"/>
              <w:right w:val="nil"/>
            </w:tcBorders>
            <w:shd w:val="clear" w:color="auto" w:fill="B4C6E7"/>
            <w:noWrap/>
            <w:vAlign w:val="center"/>
            <w:hideMark/>
          </w:tcPr>
          <w:p w14:paraId="59B3CE4E"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Extractive Industries Transparency Initiative</w:t>
            </w:r>
          </w:p>
        </w:tc>
      </w:tr>
      <w:tr w:rsidR="002D5E12" w:rsidRPr="0035568A" w14:paraId="75F65587" w14:textId="77777777" w:rsidTr="003317F1">
        <w:trPr>
          <w:trHeight w:val="397"/>
        </w:trPr>
        <w:tc>
          <w:tcPr>
            <w:tcW w:w="849" w:type="pct"/>
            <w:tcBorders>
              <w:top w:val="nil"/>
              <w:left w:val="nil"/>
              <w:bottom w:val="nil"/>
              <w:right w:val="nil"/>
            </w:tcBorders>
            <w:shd w:val="clear" w:color="auto" w:fill="auto"/>
            <w:noWrap/>
            <w:vAlign w:val="center"/>
            <w:hideMark/>
          </w:tcPr>
          <w:p w14:paraId="7890FAF0"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EU</w:t>
            </w:r>
          </w:p>
        </w:tc>
        <w:tc>
          <w:tcPr>
            <w:tcW w:w="4151" w:type="pct"/>
            <w:tcBorders>
              <w:top w:val="nil"/>
              <w:left w:val="nil"/>
              <w:bottom w:val="nil"/>
              <w:right w:val="nil"/>
            </w:tcBorders>
            <w:shd w:val="clear" w:color="auto" w:fill="auto"/>
            <w:noWrap/>
            <w:vAlign w:val="center"/>
            <w:hideMark/>
          </w:tcPr>
          <w:p w14:paraId="6CF7B562" w14:textId="77777777" w:rsidR="002D5E12" w:rsidRPr="0035568A" w:rsidRDefault="002D5E12"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European Union</w:t>
            </w:r>
          </w:p>
        </w:tc>
      </w:tr>
      <w:tr w:rsidR="00A94A5E" w:rsidRPr="0035568A" w14:paraId="067CAAE7" w14:textId="77777777" w:rsidTr="003317F1">
        <w:trPr>
          <w:trHeight w:val="397"/>
        </w:trPr>
        <w:tc>
          <w:tcPr>
            <w:tcW w:w="849" w:type="pct"/>
            <w:tcBorders>
              <w:top w:val="nil"/>
              <w:left w:val="nil"/>
              <w:bottom w:val="nil"/>
              <w:right w:val="nil"/>
            </w:tcBorders>
            <w:shd w:val="clear" w:color="auto" w:fill="B4C6E7"/>
            <w:noWrap/>
            <w:vAlign w:val="center"/>
          </w:tcPr>
          <w:p w14:paraId="6A3F1B70" w14:textId="4F6AD465"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EPL</w:t>
            </w:r>
          </w:p>
        </w:tc>
        <w:tc>
          <w:tcPr>
            <w:tcW w:w="4151" w:type="pct"/>
            <w:tcBorders>
              <w:top w:val="nil"/>
              <w:left w:val="nil"/>
              <w:bottom w:val="nil"/>
              <w:right w:val="nil"/>
            </w:tcBorders>
            <w:shd w:val="clear" w:color="auto" w:fill="B4C6E7"/>
            <w:noWrap/>
            <w:vAlign w:val="center"/>
          </w:tcPr>
          <w:p w14:paraId="120C8CA7" w14:textId="719A5862"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Energy (Oil and Gas) Profits Levy</w:t>
            </w:r>
          </w:p>
        </w:tc>
      </w:tr>
      <w:tr w:rsidR="00A94A5E" w:rsidRPr="0035568A" w14:paraId="06237256" w14:textId="77777777" w:rsidTr="003317F1">
        <w:trPr>
          <w:trHeight w:val="397"/>
        </w:trPr>
        <w:tc>
          <w:tcPr>
            <w:tcW w:w="849" w:type="pct"/>
            <w:tcBorders>
              <w:top w:val="nil"/>
              <w:left w:val="nil"/>
              <w:bottom w:val="nil"/>
              <w:right w:val="nil"/>
            </w:tcBorders>
            <w:shd w:val="clear" w:color="auto" w:fill="auto"/>
            <w:noWrap/>
            <w:vAlign w:val="center"/>
          </w:tcPr>
          <w:p w14:paraId="15508C18" w14:textId="53941853"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HM</w:t>
            </w:r>
          </w:p>
        </w:tc>
        <w:tc>
          <w:tcPr>
            <w:tcW w:w="4151" w:type="pct"/>
            <w:tcBorders>
              <w:top w:val="nil"/>
              <w:left w:val="nil"/>
              <w:bottom w:val="nil"/>
              <w:right w:val="nil"/>
            </w:tcBorders>
            <w:shd w:val="clear" w:color="auto" w:fill="auto"/>
            <w:noWrap/>
            <w:vAlign w:val="center"/>
          </w:tcPr>
          <w:p w14:paraId="4E1B3DEC" w14:textId="73761099"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His Majesty’s</w:t>
            </w:r>
          </w:p>
        </w:tc>
      </w:tr>
      <w:tr w:rsidR="00A94A5E" w:rsidRPr="0035568A" w14:paraId="7E0F09C9" w14:textId="77777777" w:rsidTr="003317F1">
        <w:trPr>
          <w:trHeight w:val="397"/>
        </w:trPr>
        <w:tc>
          <w:tcPr>
            <w:tcW w:w="849" w:type="pct"/>
            <w:tcBorders>
              <w:top w:val="nil"/>
              <w:left w:val="nil"/>
              <w:bottom w:val="nil"/>
              <w:right w:val="nil"/>
            </w:tcBorders>
            <w:shd w:val="clear" w:color="auto" w:fill="B4C6E7"/>
            <w:noWrap/>
            <w:vAlign w:val="center"/>
          </w:tcPr>
          <w:p w14:paraId="30C91120" w14:textId="1367C5BB"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HMRC</w:t>
            </w:r>
          </w:p>
        </w:tc>
        <w:tc>
          <w:tcPr>
            <w:tcW w:w="4151" w:type="pct"/>
            <w:tcBorders>
              <w:top w:val="nil"/>
              <w:left w:val="nil"/>
              <w:bottom w:val="nil"/>
              <w:right w:val="nil"/>
            </w:tcBorders>
            <w:shd w:val="clear" w:color="auto" w:fill="B4C6E7"/>
            <w:noWrap/>
            <w:vAlign w:val="center"/>
          </w:tcPr>
          <w:p w14:paraId="2CA2D696" w14:textId="0F194C10"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His Majesty’s Revenue &amp; Customs</w:t>
            </w:r>
          </w:p>
        </w:tc>
      </w:tr>
      <w:tr w:rsidR="00146C1F" w:rsidRPr="0035568A" w14:paraId="25609D49" w14:textId="77777777" w:rsidTr="00841783">
        <w:trPr>
          <w:trHeight w:val="397"/>
        </w:trPr>
        <w:tc>
          <w:tcPr>
            <w:tcW w:w="849" w:type="pct"/>
            <w:tcBorders>
              <w:top w:val="nil"/>
              <w:left w:val="nil"/>
              <w:bottom w:val="nil"/>
              <w:right w:val="nil"/>
            </w:tcBorders>
            <w:shd w:val="clear" w:color="auto" w:fill="auto"/>
            <w:noWrap/>
            <w:vAlign w:val="center"/>
          </w:tcPr>
          <w:p w14:paraId="6B464B79" w14:textId="084CF83B" w:rsidR="00146C1F" w:rsidRPr="0035568A" w:rsidRDefault="00146C1F"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LAs</w:t>
            </w:r>
          </w:p>
        </w:tc>
        <w:tc>
          <w:tcPr>
            <w:tcW w:w="4151" w:type="pct"/>
            <w:tcBorders>
              <w:top w:val="nil"/>
              <w:left w:val="nil"/>
              <w:bottom w:val="nil"/>
              <w:right w:val="nil"/>
            </w:tcBorders>
            <w:shd w:val="clear" w:color="auto" w:fill="auto"/>
            <w:noWrap/>
            <w:vAlign w:val="center"/>
          </w:tcPr>
          <w:p w14:paraId="02CA4909" w14:textId="1B9F12ED" w:rsidR="00146C1F" w:rsidRPr="0035568A" w:rsidRDefault="00146C1F"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Local Authorities</w:t>
            </w:r>
          </w:p>
        </w:tc>
      </w:tr>
      <w:tr w:rsidR="00A94A5E" w:rsidRPr="0035568A" w14:paraId="7DDEB5FA" w14:textId="77777777" w:rsidTr="00146C1F">
        <w:trPr>
          <w:trHeight w:val="397"/>
        </w:trPr>
        <w:tc>
          <w:tcPr>
            <w:tcW w:w="849" w:type="pct"/>
            <w:tcBorders>
              <w:top w:val="nil"/>
              <w:left w:val="nil"/>
              <w:bottom w:val="nil"/>
              <w:right w:val="nil"/>
            </w:tcBorders>
            <w:shd w:val="clear" w:color="auto" w:fill="B4C6E7"/>
            <w:noWrap/>
            <w:vAlign w:val="center"/>
          </w:tcPr>
          <w:p w14:paraId="519A55E8" w14:textId="66958A4E"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M&amp;Q</w:t>
            </w:r>
          </w:p>
        </w:tc>
        <w:tc>
          <w:tcPr>
            <w:tcW w:w="4151" w:type="pct"/>
            <w:tcBorders>
              <w:top w:val="nil"/>
              <w:left w:val="nil"/>
              <w:bottom w:val="nil"/>
              <w:right w:val="nil"/>
            </w:tcBorders>
            <w:shd w:val="clear" w:color="auto" w:fill="B4C6E7"/>
            <w:noWrap/>
            <w:vAlign w:val="center"/>
          </w:tcPr>
          <w:p w14:paraId="28DE93F4" w14:textId="11E7BDB6"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Mining &amp; Quarrying</w:t>
            </w:r>
          </w:p>
        </w:tc>
      </w:tr>
      <w:tr w:rsidR="00A94A5E" w:rsidRPr="0035568A" w14:paraId="7F7AA491" w14:textId="77777777" w:rsidTr="00841783">
        <w:trPr>
          <w:trHeight w:val="397"/>
        </w:trPr>
        <w:tc>
          <w:tcPr>
            <w:tcW w:w="849" w:type="pct"/>
            <w:tcBorders>
              <w:top w:val="nil"/>
              <w:left w:val="nil"/>
              <w:bottom w:val="nil"/>
              <w:right w:val="nil"/>
            </w:tcBorders>
            <w:shd w:val="clear" w:color="auto" w:fill="auto"/>
            <w:noWrap/>
            <w:vAlign w:val="center"/>
          </w:tcPr>
          <w:p w14:paraId="52CFEFEC" w14:textId="0265ADC3"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MSG</w:t>
            </w:r>
          </w:p>
        </w:tc>
        <w:tc>
          <w:tcPr>
            <w:tcW w:w="4151" w:type="pct"/>
            <w:tcBorders>
              <w:top w:val="nil"/>
              <w:left w:val="nil"/>
              <w:bottom w:val="nil"/>
              <w:right w:val="nil"/>
            </w:tcBorders>
            <w:shd w:val="clear" w:color="auto" w:fill="auto"/>
            <w:noWrap/>
            <w:vAlign w:val="center"/>
          </w:tcPr>
          <w:p w14:paraId="0E34179D" w14:textId="11C7BFA0"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UK EITI Multi-Stakeholder Group</w:t>
            </w:r>
          </w:p>
        </w:tc>
      </w:tr>
      <w:tr w:rsidR="00A94A5E" w:rsidRPr="0035568A" w14:paraId="0E4757CA" w14:textId="77777777" w:rsidTr="00841783">
        <w:trPr>
          <w:trHeight w:val="397"/>
        </w:trPr>
        <w:tc>
          <w:tcPr>
            <w:tcW w:w="849" w:type="pct"/>
            <w:tcBorders>
              <w:top w:val="nil"/>
              <w:left w:val="nil"/>
              <w:bottom w:val="nil"/>
              <w:right w:val="nil"/>
            </w:tcBorders>
            <w:shd w:val="clear" w:color="auto" w:fill="B4C6E7"/>
            <w:noWrap/>
            <w:vAlign w:val="center"/>
          </w:tcPr>
          <w:p w14:paraId="1F085A45" w14:textId="370F0FEE"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NSTA</w:t>
            </w:r>
          </w:p>
        </w:tc>
        <w:tc>
          <w:tcPr>
            <w:tcW w:w="4151" w:type="pct"/>
            <w:tcBorders>
              <w:top w:val="nil"/>
              <w:left w:val="nil"/>
              <w:bottom w:val="nil"/>
              <w:right w:val="nil"/>
            </w:tcBorders>
            <w:shd w:val="clear" w:color="auto" w:fill="B4C6E7"/>
            <w:noWrap/>
            <w:vAlign w:val="center"/>
          </w:tcPr>
          <w:p w14:paraId="1E7BCBD4" w14:textId="57E2EDC8"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North Sea Transition Authority</w:t>
            </w:r>
          </w:p>
        </w:tc>
      </w:tr>
      <w:tr w:rsidR="00A94A5E" w:rsidRPr="0035568A" w14:paraId="7D174E6A" w14:textId="77777777" w:rsidTr="00841783">
        <w:trPr>
          <w:trHeight w:val="397"/>
        </w:trPr>
        <w:tc>
          <w:tcPr>
            <w:tcW w:w="849" w:type="pct"/>
            <w:tcBorders>
              <w:top w:val="nil"/>
              <w:left w:val="nil"/>
              <w:bottom w:val="nil"/>
              <w:right w:val="nil"/>
            </w:tcBorders>
            <w:shd w:val="clear" w:color="auto" w:fill="auto"/>
            <w:noWrap/>
            <w:vAlign w:val="center"/>
          </w:tcPr>
          <w:p w14:paraId="6B89C8A7" w14:textId="685C35A3"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NYSE</w:t>
            </w:r>
          </w:p>
        </w:tc>
        <w:tc>
          <w:tcPr>
            <w:tcW w:w="4151" w:type="pct"/>
            <w:tcBorders>
              <w:top w:val="nil"/>
              <w:left w:val="nil"/>
              <w:bottom w:val="nil"/>
              <w:right w:val="nil"/>
            </w:tcBorders>
            <w:shd w:val="clear" w:color="auto" w:fill="auto"/>
            <w:noWrap/>
            <w:vAlign w:val="center"/>
          </w:tcPr>
          <w:p w14:paraId="1FE3B158" w14:textId="3482941E"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New York Stock Exchange</w:t>
            </w:r>
          </w:p>
        </w:tc>
      </w:tr>
      <w:tr w:rsidR="00A94A5E" w:rsidRPr="0035568A" w14:paraId="59CC4C55" w14:textId="77777777" w:rsidTr="00841783">
        <w:trPr>
          <w:trHeight w:val="397"/>
        </w:trPr>
        <w:tc>
          <w:tcPr>
            <w:tcW w:w="849" w:type="pct"/>
            <w:tcBorders>
              <w:top w:val="nil"/>
              <w:left w:val="nil"/>
              <w:bottom w:val="nil"/>
              <w:right w:val="nil"/>
            </w:tcBorders>
            <w:shd w:val="clear" w:color="auto" w:fill="B4C6E7"/>
            <w:noWrap/>
            <w:vAlign w:val="center"/>
          </w:tcPr>
          <w:p w14:paraId="43DE2827" w14:textId="10791DF1"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O&amp;G</w:t>
            </w:r>
          </w:p>
        </w:tc>
        <w:tc>
          <w:tcPr>
            <w:tcW w:w="4151" w:type="pct"/>
            <w:tcBorders>
              <w:top w:val="nil"/>
              <w:left w:val="nil"/>
              <w:bottom w:val="nil"/>
              <w:right w:val="nil"/>
            </w:tcBorders>
            <w:shd w:val="clear" w:color="auto" w:fill="B4C6E7"/>
            <w:noWrap/>
            <w:vAlign w:val="center"/>
          </w:tcPr>
          <w:p w14:paraId="3CB729D3" w14:textId="117E4E44"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Oil &amp; Gas</w:t>
            </w:r>
          </w:p>
        </w:tc>
      </w:tr>
      <w:tr w:rsidR="00A94A5E" w:rsidRPr="0035568A" w14:paraId="5DA4A641" w14:textId="77777777" w:rsidTr="00841783">
        <w:trPr>
          <w:trHeight w:val="397"/>
        </w:trPr>
        <w:tc>
          <w:tcPr>
            <w:tcW w:w="849" w:type="pct"/>
            <w:tcBorders>
              <w:top w:val="nil"/>
              <w:left w:val="nil"/>
              <w:bottom w:val="nil"/>
              <w:right w:val="nil"/>
            </w:tcBorders>
            <w:shd w:val="clear" w:color="auto" w:fill="auto"/>
            <w:noWrap/>
            <w:vAlign w:val="center"/>
          </w:tcPr>
          <w:p w14:paraId="7AA9AD10" w14:textId="358D4485"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OGA</w:t>
            </w:r>
          </w:p>
        </w:tc>
        <w:tc>
          <w:tcPr>
            <w:tcW w:w="4151" w:type="pct"/>
            <w:tcBorders>
              <w:top w:val="nil"/>
              <w:left w:val="nil"/>
              <w:bottom w:val="nil"/>
              <w:right w:val="nil"/>
            </w:tcBorders>
            <w:shd w:val="clear" w:color="auto" w:fill="auto"/>
            <w:noWrap/>
            <w:vAlign w:val="center"/>
          </w:tcPr>
          <w:p w14:paraId="5A613114" w14:textId="078A768A" w:rsidR="00A94A5E" w:rsidRPr="0035568A" w:rsidRDefault="00A94A5E"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Oil and Gas Authority</w:t>
            </w:r>
          </w:p>
        </w:tc>
      </w:tr>
      <w:tr w:rsidR="00A94A5E" w:rsidRPr="0035568A" w14:paraId="66863C4D" w14:textId="77777777" w:rsidTr="00841783">
        <w:trPr>
          <w:trHeight w:val="397"/>
        </w:trPr>
        <w:tc>
          <w:tcPr>
            <w:tcW w:w="849" w:type="pct"/>
            <w:tcBorders>
              <w:top w:val="nil"/>
              <w:left w:val="nil"/>
              <w:bottom w:val="nil"/>
              <w:right w:val="nil"/>
            </w:tcBorders>
            <w:shd w:val="clear" w:color="auto" w:fill="B4C6E7"/>
            <w:noWrap/>
            <w:vAlign w:val="center"/>
          </w:tcPr>
          <w:p w14:paraId="539A67F8" w14:textId="7B81C983" w:rsidR="00A94A5E" w:rsidRPr="0035568A" w:rsidRDefault="00C50529"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PEP</w:t>
            </w:r>
          </w:p>
        </w:tc>
        <w:tc>
          <w:tcPr>
            <w:tcW w:w="4151" w:type="pct"/>
            <w:tcBorders>
              <w:top w:val="nil"/>
              <w:left w:val="nil"/>
              <w:bottom w:val="nil"/>
              <w:right w:val="nil"/>
            </w:tcBorders>
            <w:shd w:val="clear" w:color="auto" w:fill="B4C6E7"/>
            <w:noWrap/>
            <w:vAlign w:val="center"/>
          </w:tcPr>
          <w:p w14:paraId="65937F44" w14:textId="04A21DE3" w:rsidR="00A94A5E"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Politically Exposed People</w:t>
            </w:r>
          </w:p>
        </w:tc>
      </w:tr>
      <w:tr w:rsidR="00C50529" w:rsidRPr="0035568A" w14:paraId="67EC1E1B" w14:textId="77777777" w:rsidTr="00841783">
        <w:trPr>
          <w:trHeight w:val="397"/>
        </w:trPr>
        <w:tc>
          <w:tcPr>
            <w:tcW w:w="849" w:type="pct"/>
            <w:tcBorders>
              <w:top w:val="nil"/>
              <w:left w:val="nil"/>
              <w:bottom w:val="nil"/>
              <w:right w:val="nil"/>
            </w:tcBorders>
            <w:shd w:val="clear" w:color="auto" w:fill="auto"/>
            <w:noWrap/>
            <w:vAlign w:val="center"/>
          </w:tcPr>
          <w:p w14:paraId="11115CE9" w14:textId="092D7707" w:rsidR="00C50529" w:rsidRPr="0035568A" w:rsidRDefault="00C50529"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PRT</w:t>
            </w:r>
          </w:p>
        </w:tc>
        <w:tc>
          <w:tcPr>
            <w:tcW w:w="4151" w:type="pct"/>
            <w:tcBorders>
              <w:top w:val="nil"/>
              <w:left w:val="nil"/>
              <w:bottom w:val="nil"/>
              <w:right w:val="nil"/>
            </w:tcBorders>
            <w:shd w:val="clear" w:color="auto" w:fill="auto"/>
            <w:noWrap/>
            <w:vAlign w:val="center"/>
          </w:tcPr>
          <w:p w14:paraId="6226071F" w14:textId="303BEC09" w:rsidR="00C50529" w:rsidRPr="0035568A" w:rsidRDefault="00C50529"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Petroleum Revenue Tax</w:t>
            </w:r>
          </w:p>
        </w:tc>
      </w:tr>
      <w:tr w:rsidR="00A52456" w:rsidRPr="0035568A" w14:paraId="76FF0499" w14:textId="77777777" w:rsidTr="00841783">
        <w:trPr>
          <w:trHeight w:val="397"/>
        </w:trPr>
        <w:tc>
          <w:tcPr>
            <w:tcW w:w="849" w:type="pct"/>
            <w:tcBorders>
              <w:top w:val="nil"/>
              <w:left w:val="nil"/>
              <w:bottom w:val="nil"/>
              <w:right w:val="nil"/>
            </w:tcBorders>
            <w:shd w:val="clear" w:color="auto" w:fill="B4C6E7"/>
            <w:noWrap/>
            <w:vAlign w:val="center"/>
          </w:tcPr>
          <w:p w14:paraId="060EFAD6" w14:textId="77A642AA"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PSC</w:t>
            </w:r>
          </w:p>
        </w:tc>
        <w:tc>
          <w:tcPr>
            <w:tcW w:w="4151" w:type="pct"/>
            <w:tcBorders>
              <w:top w:val="nil"/>
              <w:left w:val="nil"/>
              <w:bottom w:val="nil"/>
              <w:right w:val="nil"/>
            </w:tcBorders>
            <w:shd w:val="clear" w:color="auto" w:fill="B4C6E7"/>
            <w:noWrap/>
            <w:vAlign w:val="center"/>
          </w:tcPr>
          <w:p w14:paraId="07B99E6A" w14:textId="405875FC"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People with Significant Control</w:t>
            </w:r>
          </w:p>
        </w:tc>
      </w:tr>
      <w:tr w:rsidR="00A52456" w:rsidRPr="0035568A" w14:paraId="363CD947" w14:textId="77777777" w:rsidTr="00841783">
        <w:trPr>
          <w:trHeight w:val="397"/>
        </w:trPr>
        <w:tc>
          <w:tcPr>
            <w:tcW w:w="849" w:type="pct"/>
            <w:tcBorders>
              <w:top w:val="nil"/>
              <w:left w:val="nil"/>
              <w:bottom w:val="nil"/>
              <w:right w:val="nil"/>
            </w:tcBorders>
            <w:shd w:val="clear" w:color="auto" w:fill="auto"/>
            <w:noWrap/>
            <w:vAlign w:val="center"/>
          </w:tcPr>
          <w:p w14:paraId="184D2A43" w14:textId="1CB312B3"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RFCT</w:t>
            </w:r>
          </w:p>
        </w:tc>
        <w:tc>
          <w:tcPr>
            <w:tcW w:w="4151" w:type="pct"/>
            <w:tcBorders>
              <w:top w:val="nil"/>
              <w:left w:val="nil"/>
              <w:bottom w:val="nil"/>
              <w:right w:val="nil"/>
            </w:tcBorders>
            <w:shd w:val="clear" w:color="auto" w:fill="auto"/>
            <w:noWrap/>
            <w:vAlign w:val="center"/>
          </w:tcPr>
          <w:p w14:paraId="635B0788" w14:textId="1CE121D0"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Ring Fence Corporation Tax</w:t>
            </w:r>
          </w:p>
        </w:tc>
      </w:tr>
      <w:tr w:rsidR="00A52456" w:rsidRPr="0035568A" w14:paraId="487E23A4" w14:textId="77777777" w:rsidTr="00841783">
        <w:trPr>
          <w:trHeight w:val="397"/>
        </w:trPr>
        <w:tc>
          <w:tcPr>
            <w:tcW w:w="849" w:type="pct"/>
            <w:tcBorders>
              <w:top w:val="nil"/>
              <w:left w:val="nil"/>
              <w:bottom w:val="nil"/>
              <w:right w:val="nil"/>
            </w:tcBorders>
            <w:shd w:val="clear" w:color="auto" w:fill="B4C6E7"/>
            <w:noWrap/>
            <w:vAlign w:val="center"/>
          </w:tcPr>
          <w:p w14:paraId="7FE2E654" w14:textId="03DAF8AA"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SC</w:t>
            </w:r>
          </w:p>
        </w:tc>
        <w:tc>
          <w:tcPr>
            <w:tcW w:w="4151" w:type="pct"/>
            <w:tcBorders>
              <w:top w:val="nil"/>
              <w:left w:val="nil"/>
              <w:bottom w:val="nil"/>
              <w:right w:val="nil"/>
            </w:tcBorders>
            <w:shd w:val="clear" w:color="auto" w:fill="B4C6E7"/>
            <w:noWrap/>
            <w:vAlign w:val="center"/>
          </w:tcPr>
          <w:p w14:paraId="3EAB30DB" w14:textId="02824BE8"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Supplementary Charge</w:t>
            </w:r>
          </w:p>
        </w:tc>
      </w:tr>
      <w:tr w:rsidR="00A52456" w:rsidRPr="0035568A" w14:paraId="08141235" w14:textId="77777777" w:rsidTr="00841783">
        <w:trPr>
          <w:trHeight w:val="397"/>
        </w:trPr>
        <w:tc>
          <w:tcPr>
            <w:tcW w:w="849" w:type="pct"/>
            <w:tcBorders>
              <w:top w:val="nil"/>
              <w:left w:val="nil"/>
              <w:bottom w:val="nil"/>
              <w:right w:val="nil"/>
            </w:tcBorders>
            <w:shd w:val="clear" w:color="auto" w:fill="auto"/>
            <w:noWrap/>
            <w:vAlign w:val="center"/>
          </w:tcPr>
          <w:p w14:paraId="7730AA94" w14:textId="3A240D26"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TCE</w:t>
            </w:r>
          </w:p>
        </w:tc>
        <w:tc>
          <w:tcPr>
            <w:tcW w:w="4151" w:type="pct"/>
            <w:tcBorders>
              <w:top w:val="nil"/>
              <w:left w:val="nil"/>
              <w:bottom w:val="nil"/>
              <w:right w:val="nil"/>
            </w:tcBorders>
            <w:shd w:val="clear" w:color="auto" w:fill="auto"/>
            <w:noWrap/>
            <w:vAlign w:val="center"/>
          </w:tcPr>
          <w:p w14:paraId="210CEE06" w14:textId="14193DE7" w:rsidR="00A52456" w:rsidRPr="0035568A" w:rsidRDefault="00A52456"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The Crown Estate</w:t>
            </w:r>
          </w:p>
        </w:tc>
      </w:tr>
      <w:tr w:rsidR="000E6B1B" w:rsidRPr="0035568A" w14:paraId="7E2D1804" w14:textId="77777777" w:rsidTr="00841783">
        <w:trPr>
          <w:trHeight w:val="397"/>
        </w:trPr>
        <w:tc>
          <w:tcPr>
            <w:tcW w:w="849" w:type="pct"/>
            <w:tcBorders>
              <w:top w:val="nil"/>
              <w:left w:val="nil"/>
              <w:bottom w:val="nil"/>
              <w:right w:val="nil"/>
            </w:tcBorders>
            <w:shd w:val="clear" w:color="auto" w:fill="B4C6E7"/>
            <w:noWrap/>
            <w:vAlign w:val="center"/>
          </w:tcPr>
          <w:p w14:paraId="4DB7381A" w14:textId="12DDDE68" w:rsidR="000E6B1B" w:rsidRPr="0035568A" w:rsidRDefault="000E6B1B"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UK</w:t>
            </w:r>
          </w:p>
        </w:tc>
        <w:tc>
          <w:tcPr>
            <w:tcW w:w="4151" w:type="pct"/>
            <w:tcBorders>
              <w:top w:val="nil"/>
              <w:left w:val="nil"/>
              <w:bottom w:val="nil"/>
              <w:right w:val="nil"/>
            </w:tcBorders>
            <w:shd w:val="clear" w:color="auto" w:fill="B4C6E7"/>
            <w:noWrap/>
            <w:vAlign w:val="center"/>
          </w:tcPr>
          <w:p w14:paraId="08F01A49" w14:textId="64A9EE6E" w:rsidR="000E6B1B" w:rsidRPr="0035568A" w:rsidRDefault="000E6B1B" w:rsidP="001E36F1">
            <w:pPr>
              <w:spacing w:before="80" w:after="80" w:line="240" w:lineRule="auto"/>
              <w:rPr>
                <w:rFonts w:ascii="Arial" w:eastAsia="Times New Roman" w:hAnsi="Arial" w:cs="Arial"/>
                <w:color w:val="000000"/>
                <w:lang w:eastAsia="en-GB"/>
              </w:rPr>
            </w:pPr>
            <w:r w:rsidRPr="0035568A">
              <w:rPr>
                <w:rFonts w:ascii="Arial" w:eastAsia="Times New Roman" w:hAnsi="Arial" w:cs="Arial"/>
                <w:color w:val="000000"/>
                <w:lang w:eastAsia="en-GB"/>
              </w:rPr>
              <w:t>United Kingdom</w:t>
            </w:r>
          </w:p>
        </w:tc>
      </w:tr>
    </w:tbl>
    <w:p w14:paraId="060DCE52" w14:textId="2C253452" w:rsidR="005A4A7B" w:rsidRPr="0035568A" w:rsidRDefault="005A4A7B" w:rsidP="001E36F1">
      <w:pPr>
        <w:rPr>
          <w:rFonts w:ascii="Arial" w:hAnsi="Arial" w:cs="Arial"/>
          <w:sz w:val="30"/>
          <w:szCs w:val="30"/>
          <w:lang w:eastAsia="en-GB"/>
        </w:rPr>
      </w:pPr>
      <w:r w:rsidRPr="0035568A">
        <w:rPr>
          <w:rFonts w:ascii="Arial" w:hAnsi="Arial" w:cs="Arial"/>
          <w:sz w:val="30"/>
          <w:szCs w:val="30"/>
          <w:lang w:eastAsia="en-GB"/>
        </w:rPr>
        <w:br w:type="page"/>
      </w:r>
    </w:p>
    <w:p w14:paraId="04C9544B" w14:textId="52927EA9" w:rsidR="00022E0E" w:rsidRPr="0035568A" w:rsidRDefault="009C13B4" w:rsidP="001E36F1">
      <w:pPr>
        <w:pStyle w:val="Heading1"/>
        <w:spacing w:after="180"/>
        <w:rPr>
          <w:rFonts w:asciiTheme="minorBidi" w:hAnsiTheme="minorBidi" w:cstheme="minorBidi"/>
          <w:b/>
          <w:bCs/>
          <w:color w:val="244061" w:themeColor="accent1" w:themeShade="80"/>
          <w:sz w:val="30"/>
          <w:szCs w:val="30"/>
        </w:rPr>
      </w:pPr>
      <w:bookmarkStart w:id="5" w:name="_Toc183079148"/>
      <w:r w:rsidRPr="0035568A">
        <w:rPr>
          <w:rFonts w:asciiTheme="minorBidi" w:hAnsiTheme="minorBidi" w:cstheme="minorBidi"/>
          <w:b/>
          <w:bCs/>
          <w:color w:val="244061" w:themeColor="accent1" w:themeShade="80"/>
          <w:sz w:val="30"/>
          <w:szCs w:val="30"/>
        </w:rPr>
        <w:lastRenderedPageBreak/>
        <w:t>I</w:t>
      </w:r>
      <w:r w:rsidR="00610568" w:rsidRPr="0035568A">
        <w:rPr>
          <w:rFonts w:asciiTheme="minorBidi" w:hAnsiTheme="minorBidi" w:cstheme="minorBidi"/>
          <w:b/>
          <w:bCs/>
          <w:color w:val="244061" w:themeColor="accent1" w:themeShade="80"/>
          <w:sz w:val="30"/>
          <w:szCs w:val="30"/>
        </w:rPr>
        <w:t>ntroduction</w:t>
      </w:r>
      <w:bookmarkEnd w:id="5"/>
    </w:p>
    <w:p w14:paraId="3AB375D9" w14:textId="7A5450BF" w:rsidR="00022E0E" w:rsidRPr="0035568A" w:rsidRDefault="00784CFF"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The</w:t>
      </w:r>
      <w:r w:rsidR="00022E0E" w:rsidRPr="0035568A">
        <w:rPr>
          <w:rFonts w:ascii="Arial" w:eastAsia="Calibri" w:hAnsi="Arial" w:cs="Arial"/>
          <w:sz w:val="23"/>
          <w:szCs w:val="23"/>
        </w:rPr>
        <w:t xml:space="preserve"> extractive</w:t>
      </w:r>
      <w:r w:rsidR="00F716C6" w:rsidRPr="0035568A">
        <w:rPr>
          <w:rFonts w:ascii="Arial" w:eastAsia="Calibri" w:hAnsi="Arial" w:cs="Arial"/>
          <w:sz w:val="23"/>
          <w:szCs w:val="23"/>
        </w:rPr>
        <w:t>s</w:t>
      </w:r>
      <w:r w:rsidR="003E4027" w:rsidRPr="0035568A">
        <w:rPr>
          <w:rFonts w:ascii="Arial" w:eastAsia="Calibri" w:hAnsi="Arial" w:cs="Arial"/>
          <w:sz w:val="23"/>
          <w:szCs w:val="23"/>
        </w:rPr>
        <w:t xml:space="preserve"> </w:t>
      </w:r>
      <w:r w:rsidR="00022E0E" w:rsidRPr="0035568A">
        <w:rPr>
          <w:rFonts w:ascii="Arial" w:eastAsia="Calibri" w:hAnsi="Arial" w:cs="Arial"/>
          <w:sz w:val="23"/>
          <w:szCs w:val="23"/>
        </w:rPr>
        <w:t>sector</w:t>
      </w:r>
      <w:r w:rsidR="00652119" w:rsidRPr="0035568A">
        <w:rPr>
          <w:rFonts w:ascii="Arial" w:eastAsia="Calibri" w:hAnsi="Arial" w:cs="Arial"/>
          <w:sz w:val="23"/>
          <w:szCs w:val="23"/>
        </w:rPr>
        <w:t>s</w:t>
      </w:r>
      <w:r w:rsidR="00022E0E" w:rsidRPr="0035568A">
        <w:rPr>
          <w:rFonts w:ascii="Arial" w:eastAsia="Calibri" w:hAnsi="Arial" w:cs="Arial"/>
          <w:sz w:val="23"/>
          <w:szCs w:val="23"/>
        </w:rPr>
        <w:t xml:space="preserve"> continue to make sizeable payments to the UK Government.</w:t>
      </w:r>
      <w:r w:rsidR="00D02428" w:rsidRPr="0035568A">
        <w:rPr>
          <w:rFonts w:ascii="Arial" w:eastAsia="Calibri" w:hAnsi="Arial" w:cs="Arial"/>
          <w:sz w:val="23"/>
          <w:szCs w:val="23"/>
        </w:rPr>
        <w:t xml:space="preserve"> </w:t>
      </w:r>
      <w:proofErr w:type="gramStart"/>
      <w:r w:rsidR="00022E0E" w:rsidRPr="0035568A">
        <w:rPr>
          <w:rFonts w:ascii="Arial" w:eastAsia="Calibri" w:hAnsi="Arial" w:cs="Arial"/>
          <w:sz w:val="23"/>
          <w:szCs w:val="23"/>
        </w:rPr>
        <w:t>In order to</w:t>
      </w:r>
      <w:proofErr w:type="gramEnd"/>
      <w:r w:rsidR="00022E0E" w:rsidRPr="0035568A">
        <w:rPr>
          <w:rFonts w:ascii="Arial" w:eastAsia="Calibri" w:hAnsi="Arial" w:cs="Arial"/>
          <w:sz w:val="23"/>
          <w:szCs w:val="23"/>
        </w:rPr>
        <w:t xml:space="preserve"> improve public understanding of these payments, </w:t>
      </w:r>
      <w:r w:rsidRPr="0035568A">
        <w:rPr>
          <w:rFonts w:ascii="Arial" w:eastAsia="Calibri" w:hAnsi="Arial" w:cs="Arial"/>
          <w:sz w:val="23"/>
          <w:szCs w:val="23"/>
        </w:rPr>
        <w:t>UK EITI</w:t>
      </w:r>
      <w:r w:rsidR="00022E0E" w:rsidRPr="0035568A">
        <w:rPr>
          <w:rFonts w:ascii="Arial" w:eastAsia="Calibri" w:hAnsi="Arial" w:cs="Arial"/>
          <w:sz w:val="23"/>
          <w:szCs w:val="23"/>
        </w:rPr>
        <w:t xml:space="preserve"> analyses these payments against each relevant tax and licen</w:t>
      </w:r>
      <w:r w:rsidR="006B6A05" w:rsidRPr="0035568A">
        <w:rPr>
          <w:rFonts w:ascii="Arial" w:eastAsia="Calibri" w:hAnsi="Arial" w:cs="Arial"/>
          <w:sz w:val="23"/>
          <w:szCs w:val="23"/>
        </w:rPr>
        <w:t>c</w:t>
      </w:r>
      <w:r w:rsidR="00022E0E" w:rsidRPr="0035568A">
        <w:rPr>
          <w:rFonts w:ascii="Arial" w:eastAsia="Calibri" w:hAnsi="Arial" w:cs="Arial"/>
          <w:sz w:val="23"/>
          <w:szCs w:val="23"/>
        </w:rPr>
        <w:t xml:space="preserve">e. The data is </w:t>
      </w:r>
      <w:r w:rsidR="00AE2E80" w:rsidRPr="0035568A">
        <w:rPr>
          <w:rFonts w:ascii="Arial" w:eastAsia="Calibri" w:hAnsi="Arial" w:cs="Arial"/>
          <w:sz w:val="23"/>
          <w:szCs w:val="23"/>
        </w:rPr>
        <w:t>subject to</w:t>
      </w:r>
      <w:r w:rsidR="00022E0E" w:rsidRPr="0035568A">
        <w:rPr>
          <w:rFonts w:ascii="Arial" w:eastAsia="Calibri" w:hAnsi="Arial" w:cs="Arial"/>
          <w:sz w:val="23"/>
          <w:szCs w:val="23"/>
        </w:rPr>
        <w:t xml:space="preserve"> a reconciliation exercise </w:t>
      </w:r>
      <w:r w:rsidR="00AE2E80" w:rsidRPr="0035568A">
        <w:rPr>
          <w:rFonts w:ascii="Arial" w:eastAsia="Calibri" w:hAnsi="Arial" w:cs="Arial"/>
          <w:sz w:val="23"/>
          <w:szCs w:val="23"/>
        </w:rPr>
        <w:t xml:space="preserve">during which companies are requested </w:t>
      </w:r>
      <w:r w:rsidR="00022E0E" w:rsidRPr="0035568A">
        <w:rPr>
          <w:rFonts w:ascii="Arial" w:eastAsia="Calibri" w:hAnsi="Arial" w:cs="Arial"/>
          <w:sz w:val="23"/>
          <w:szCs w:val="23"/>
        </w:rPr>
        <w:t xml:space="preserve">to disclose their payments/repayments to </w:t>
      </w:r>
      <w:r w:rsidR="00AC0A8F" w:rsidRPr="0035568A">
        <w:rPr>
          <w:rFonts w:ascii="Arial" w:eastAsia="Calibri" w:hAnsi="Arial" w:cs="Arial"/>
          <w:sz w:val="23"/>
          <w:szCs w:val="23"/>
        </w:rPr>
        <w:t xml:space="preserve">HM Revenue </w:t>
      </w:r>
      <w:r w:rsidR="00392B6B" w:rsidRPr="0035568A">
        <w:rPr>
          <w:rFonts w:ascii="Arial" w:eastAsia="Calibri" w:hAnsi="Arial" w:cs="Arial"/>
          <w:sz w:val="23"/>
          <w:szCs w:val="23"/>
        </w:rPr>
        <w:t>&amp;</w:t>
      </w:r>
      <w:r w:rsidR="00AC0A8F" w:rsidRPr="0035568A">
        <w:rPr>
          <w:rFonts w:ascii="Arial" w:eastAsia="Calibri" w:hAnsi="Arial" w:cs="Arial"/>
          <w:sz w:val="23"/>
          <w:szCs w:val="23"/>
        </w:rPr>
        <w:t xml:space="preserve"> Customs (</w:t>
      </w:r>
      <w:r w:rsidR="00022E0E" w:rsidRPr="0035568A">
        <w:rPr>
          <w:rFonts w:ascii="Arial" w:eastAsia="Calibri" w:hAnsi="Arial" w:cs="Arial"/>
          <w:sz w:val="23"/>
          <w:szCs w:val="23"/>
        </w:rPr>
        <w:t>HMRC</w:t>
      </w:r>
      <w:r w:rsidR="00AC0A8F" w:rsidRPr="0035568A">
        <w:rPr>
          <w:rFonts w:ascii="Arial" w:eastAsia="Calibri" w:hAnsi="Arial" w:cs="Arial"/>
          <w:sz w:val="23"/>
          <w:szCs w:val="23"/>
        </w:rPr>
        <w:t>)</w:t>
      </w:r>
      <w:r w:rsidR="00022E0E" w:rsidRPr="0035568A">
        <w:rPr>
          <w:rFonts w:ascii="Arial" w:eastAsia="Calibri" w:hAnsi="Arial" w:cs="Arial"/>
          <w:sz w:val="23"/>
          <w:szCs w:val="23"/>
        </w:rPr>
        <w:t xml:space="preserve">, </w:t>
      </w:r>
      <w:r w:rsidR="00AC0A8F" w:rsidRPr="0035568A">
        <w:rPr>
          <w:rFonts w:ascii="Arial" w:eastAsia="Calibri" w:hAnsi="Arial" w:cs="Arial"/>
          <w:sz w:val="23"/>
          <w:szCs w:val="23"/>
        </w:rPr>
        <w:t>The Crown Estate (</w:t>
      </w:r>
      <w:r w:rsidR="00022E0E" w:rsidRPr="0035568A">
        <w:rPr>
          <w:rFonts w:ascii="Arial" w:eastAsia="Calibri" w:hAnsi="Arial" w:cs="Arial"/>
          <w:sz w:val="23"/>
          <w:szCs w:val="23"/>
        </w:rPr>
        <w:t>TCE</w:t>
      </w:r>
      <w:r w:rsidR="00AC0A8F" w:rsidRPr="0035568A">
        <w:rPr>
          <w:rFonts w:ascii="Arial" w:eastAsia="Calibri" w:hAnsi="Arial" w:cs="Arial"/>
          <w:sz w:val="23"/>
          <w:szCs w:val="23"/>
        </w:rPr>
        <w:t>)</w:t>
      </w:r>
      <w:r w:rsidR="00022E0E" w:rsidRPr="0035568A">
        <w:rPr>
          <w:rFonts w:ascii="Arial" w:eastAsia="Calibri" w:hAnsi="Arial" w:cs="Arial"/>
          <w:sz w:val="23"/>
          <w:szCs w:val="23"/>
        </w:rPr>
        <w:t xml:space="preserve"> or </w:t>
      </w:r>
      <w:r w:rsidR="00AC0A8F" w:rsidRPr="0035568A">
        <w:rPr>
          <w:rFonts w:ascii="Arial" w:eastAsia="Calibri" w:hAnsi="Arial" w:cs="Arial"/>
          <w:sz w:val="23"/>
          <w:szCs w:val="23"/>
        </w:rPr>
        <w:t>Crown Estate Scotland</w:t>
      </w:r>
      <w:r w:rsidR="00EA610D" w:rsidRPr="0035568A">
        <w:rPr>
          <w:rFonts w:ascii="Arial" w:eastAsia="Calibri" w:hAnsi="Arial" w:cs="Arial"/>
          <w:sz w:val="23"/>
          <w:szCs w:val="23"/>
        </w:rPr>
        <w:t xml:space="preserve"> (</w:t>
      </w:r>
      <w:r w:rsidR="00022E0E" w:rsidRPr="0035568A">
        <w:rPr>
          <w:rFonts w:ascii="Arial" w:eastAsia="Calibri" w:hAnsi="Arial" w:cs="Arial"/>
          <w:sz w:val="23"/>
          <w:szCs w:val="23"/>
        </w:rPr>
        <w:t>CES</w:t>
      </w:r>
      <w:r w:rsidR="00EA610D" w:rsidRPr="0035568A">
        <w:rPr>
          <w:rFonts w:ascii="Arial" w:eastAsia="Calibri" w:hAnsi="Arial" w:cs="Arial"/>
          <w:sz w:val="23"/>
          <w:szCs w:val="23"/>
        </w:rPr>
        <w:t>)</w:t>
      </w:r>
      <w:r w:rsidR="00022E0E" w:rsidRPr="0035568A">
        <w:rPr>
          <w:rFonts w:ascii="Arial" w:eastAsia="Calibri" w:hAnsi="Arial" w:cs="Arial"/>
          <w:sz w:val="23"/>
          <w:szCs w:val="23"/>
        </w:rPr>
        <w:t xml:space="preserve"> </w:t>
      </w:r>
      <w:r w:rsidR="004F7DAE" w:rsidRPr="0035568A">
        <w:rPr>
          <w:rFonts w:ascii="Arial" w:eastAsia="Calibri" w:hAnsi="Arial" w:cs="Arial"/>
          <w:sz w:val="23"/>
          <w:szCs w:val="23"/>
        </w:rPr>
        <w:t xml:space="preserve">wherever these payments </w:t>
      </w:r>
      <w:r w:rsidR="00C36824" w:rsidRPr="0035568A">
        <w:rPr>
          <w:rFonts w:ascii="Arial" w:eastAsia="Arial" w:hAnsi="Arial" w:cs="Arial"/>
          <w:color w:val="000000"/>
          <w:sz w:val="23"/>
          <w:szCs w:val="23"/>
        </w:rPr>
        <w:t>in a calendar year</w:t>
      </w:r>
      <w:r w:rsidR="00C36824" w:rsidRPr="0035568A">
        <w:rPr>
          <w:rFonts w:ascii="Arial" w:eastAsia="Calibri" w:hAnsi="Arial" w:cs="Arial"/>
          <w:sz w:val="23"/>
          <w:szCs w:val="23"/>
        </w:rPr>
        <w:t xml:space="preserve"> </w:t>
      </w:r>
      <w:r w:rsidR="004F7DAE" w:rsidRPr="0035568A">
        <w:rPr>
          <w:rFonts w:ascii="Arial" w:eastAsia="Calibri" w:hAnsi="Arial" w:cs="Arial"/>
          <w:sz w:val="23"/>
          <w:szCs w:val="23"/>
        </w:rPr>
        <w:t>exceed</w:t>
      </w:r>
      <w:r w:rsidR="00022E0E" w:rsidRPr="0035568A">
        <w:rPr>
          <w:rFonts w:ascii="Arial" w:eastAsia="Calibri" w:hAnsi="Arial" w:cs="Arial"/>
          <w:sz w:val="23"/>
          <w:szCs w:val="23"/>
        </w:rPr>
        <w:t xml:space="preserve"> </w:t>
      </w:r>
      <w:r w:rsidR="00E00D5C" w:rsidRPr="0035568A">
        <w:rPr>
          <w:rFonts w:ascii="Arial" w:eastAsia="Calibri" w:hAnsi="Arial" w:cs="Arial"/>
          <w:sz w:val="23"/>
          <w:szCs w:val="23"/>
        </w:rPr>
        <w:t>a</w:t>
      </w:r>
      <w:r w:rsidR="00022E0E" w:rsidRPr="0035568A">
        <w:rPr>
          <w:rFonts w:ascii="Arial" w:eastAsia="Calibri" w:hAnsi="Arial" w:cs="Arial"/>
          <w:sz w:val="23"/>
          <w:szCs w:val="23"/>
        </w:rPr>
        <w:t xml:space="preserve"> </w:t>
      </w:r>
      <w:r w:rsidR="00030C54" w:rsidRPr="0035568A">
        <w:rPr>
          <w:rFonts w:ascii="Arial" w:eastAsia="Calibri" w:hAnsi="Arial" w:cs="Arial"/>
          <w:sz w:val="23"/>
          <w:szCs w:val="23"/>
        </w:rPr>
        <w:t xml:space="preserve">given </w:t>
      </w:r>
      <w:r w:rsidR="00022E0E" w:rsidRPr="0035568A">
        <w:rPr>
          <w:rFonts w:ascii="Arial" w:eastAsia="Calibri" w:hAnsi="Arial" w:cs="Arial"/>
          <w:sz w:val="23"/>
          <w:szCs w:val="23"/>
        </w:rPr>
        <w:t xml:space="preserve">threshold (£86,000). Government agencies </w:t>
      </w:r>
      <w:r w:rsidR="00F00869" w:rsidRPr="0035568A">
        <w:rPr>
          <w:rFonts w:ascii="Arial" w:eastAsia="Calibri" w:hAnsi="Arial" w:cs="Arial"/>
          <w:sz w:val="23"/>
          <w:szCs w:val="23"/>
        </w:rPr>
        <w:t xml:space="preserve">are </w:t>
      </w:r>
      <w:r w:rsidR="00022E0E" w:rsidRPr="0035568A">
        <w:rPr>
          <w:rFonts w:ascii="Arial" w:eastAsia="Calibri" w:hAnsi="Arial" w:cs="Arial"/>
          <w:sz w:val="23"/>
          <w:szCs w:val="23"/>
        </w:rPr>
        <w:t xml:space="preserve">also asked to disclose </w:t>
      </w:r>
      <w:r w:rsidR="004F7DAE" w:rsidRPr="0035568A">
        <w:rPr>
          <w:rFonts w:ascii="Arial" w:eastAsia="Calibri" w:hAnsi="Arial" w:cs="Arial"/>
          <w:sz w:val="23"/>
          <w:szCs w:val="23"/>
        </w:rPr>
        <w:t>their receipts</w:t>
      </w:r>
      <w:r w:rsidR="00022E0E" w:rsidRPr="0035568A">
        <w:rPr>
          <w:rFonts w:ascii="Arial" w:eastAsia="Calibri" w:hAnsi="Arial" w:cs="Arial"/>
          <w:sz w:val="23"/>
          <w:szCs w:val="23"/>
        </w:rPr>
        <w:t xml:space="preserve"> from oil, gas, </w:t>
      </w:r>
      <w:r w:rsidR="00A86928" w:rsidRPr="0035568A">
        <w:rPr>
          <w:rFonts w:ascii="Arial" w:eastAsia="Calibri" w:hAnsi="Arial" w:cs="Arial"/>
          <w:sz w:val="23"/>
          <w:szCs w:val="23"/>
        </w:rPr>
        <w:t>mining</w:t>
      </w:r>
      <w:r w:rsidR="00022E0E" w:rsidRPr="0035568A">
        <w:rPr>
          <w:rFonts w:ascii="Arial" w:eastAsia="Calibri" w:hAnsi="Arial" w:cs="Arial"/>
          <w:sz w:val="23"/>
          <w:szCs w:val="23"/>
        </w:rPr>
        <w:t xml:space="preserve"> and quarrying </w:t>
      </w:r>
      <w:r w:rsidR="007967A3" w:rsidRPr="0035568A">
        <w:rPr>
          <w:rFonts w:ascii="Arial" w:eastAsia="Calibri" w:hAnsi="Arial" w:cs="Arial"/>
          <w:sz w:val="23"/>
          <w:szCs w:val="23"/>
        </w:rPr>
        <w:t>groups</w:t>
      </w:r>
      <w:r w:rsidR="00022E0E" w:rsidRPr="0035568A">
        <w:rPr>
          <w:rFonts w:ascii="Arial" w:eastAsia="Calibri" w:hAnsi="Arial" w:cs="Arial"/>
          <w:sz w:val="23"/>
          <w:szCs w:val="23"/>
        </w:rPr>
        <w:t xml:space="preserve">. </w:t>
      </w:r>
      <w:r w:rsidR="002D13FB" w:rsidRPr="0035568A">
        <w:rPr>
          <w:rFonts w:ascii="Arial" w:eastAsia="Calibri" w:hAnsi="Arial" w:cs="Arial"/>
          <w:sz w:val="23"/>
          <w:szCs w:val="23"/>
        </w:rPr>
        <w:t>The</w:t>
      </w:r>
      <w:r w:rsidR="002D55D2" w:rsidRPr="0035568A">
        <w:rPr>
          <w:rFonts w:ascii="Arial" w:eastAsia="Calibri" w:hAnsi="Arial" w:cs="Arial"/>
          <w:sz w:val="23"/>
          <w:szCs w:val="23"/>
        </w:rPr>
        <w:t xml:space="preserve"> independent administrator</w:t>
      </w:r>
      <w:r w:rsidR="002D13FB" w:rsidRPr="0035568A">
        <w:rPr>
          <w:rFonts w:ascii="Arial" w:eastAsia="Calibri" w:hAnsi="Arial" w:cs="Arial"/>
          <w:sz w:val="23"/>
          <w:szCs w:val="23"/>
        </w:rPr>
        <w:t xml:space="preserve"> </w:t>
      </w:r>
      <w:r w:rsidR="002D55D2" w:rsidRPr="0035568A">
        <w:rPr>
          <w:rFonts w:ascii="Arial" w:eastAsia="Calibri" w:hAnsi="Arial" w:cs="Arial"/>
          <w:sz w:val="23"/>
          <w:szCs w:val="23"/>
        </w:rPr>
        <w:t>reconcile</w:t>
      </w:r>
      <w:r w:rsidR="00B112E6" w:rsidRPr="0035568A">
        <w:rPr>
          <w:rFonts w:ascii="Arial" w:eastAsia="Calibri" w:hAnsi="Arial" w:cs="Arial"/>
          <w:sz w:val="23"/>
          <w:szCs w:val="23"/>
        </w:rPr>
        <w:t>s</w:t>
      </w:r>
      <w:r w:rsidR="002D55D2" w:rsidRPr="0035568A">
        <w:rPr>
          <w:rFonts w:ascii="Arial" w:eastAsia="Calibri" w:hAnsi="Arial" w:cs="Arial"/>
          <w:sz w:val="23"/>
          <w:szCs w:val="23"/>
        </w:rPr>
        <w:t xml:space="preserve"> the </w:t>
      </w:r>
      <w:r w:rsidR="004F7DAE" w:rsidRPr="0035568A">
        <w:rPr>
          <w:rFonts w:ascii="Arial" w:eastAsia="Calibri" w:hAnsi="Arial" w:cs="Arial"/>
          <w:sz w:val="23"/>
          <w:szCs w:val="23"/>
        </w:rPr>
        <w:t>declarations made by the companies with the data recorded by the government</w:t>
      </w:r>
      <w:r w:rsidR="00022E0E" w:rsidRPr="0035568A">
        <w:rPr>
          <w:rFonts w:ascii="Arial" w:eastAsia="Calibri" w:hAnsi="Arial" w:cs="Arial"/>
          <w:sz w:val="23"/>
          <w:szCs w:val="23"/>
        </w:rPr>
        <w:t xml:space="preserve">. </w:t>
      </w:r>
      <w:r w:rsidR="00086DAC" w:rsidRPr="0035568A">
        <w:rPr>
          <w:rFonts w:ascii="Arial" w:eastAsia="Calibri" w:hAnsi="Arial" w:cs="Arial"/>
          <w:sz w:val="23"/>
          <w:szCs w:val="23"/>
        </w:rPr>
        <w:t>The UK EITI website contains</w:t>
      </w:r>
      <w:r w:rsidR="002E6E64" w:rsidRPr="0035568A">
        <w:rPr>
          <w:rFonts w:ascii="Arial" w:eastAsia="Calibri" w:hAnsi="Arial" w:cs="Arial"/>
          <w:sz w:val="23"/>
          <w:szCs w:val="23"/>
        </w:rPr>
        <w:t xml:space="preserve"> information</w:t>
      </w:r>
      <w:r w:rsidR="00CA0CC3" w:rsidRPr="0035568A">
        <w:rPr>
          <w:rFonts w:ascii="Arial" w:eastAsia="Calibri" w:hAnsi="Arial" w:cs="Arial"/>
          <w:sz w:val="23"/>
          <w:szCs w:val="23"/>
        </w:rPr>
        <w:t xml:space="preserve"> on the </w:t>
      </w:r>
      <w:hyperlink r:id="rId14" w:history="1">
        <w:r w:rsidR="0032420F" w:rsidRPr="0035568A">
          <w:rPr>
            <w:rStyle w:val="Hyperlink"/>
            <w:rFonts w:ascii="Arial" w:eastAsia="Calibri" w:hAnsi="Arial" w:cs="Arial"/>
            <w:sz w:val="23"/>
            <w:szCs w:val="23"/>
          </w:rPr>
          <w:t>oil and gas</w:t>
        </w:r>
      </w:hyperlink>
      <w:r w:rsidR="0032420F" w:rsidRPr="0035568A">
        <w:rPr>
          <w:rFonts w:ascii="Arial" w:eastAsia="Calibri" w:hAnsi="Arial" w:cs="Arial"/>
          <w:sz w:val="23"/>
          <w:szCs w:val="23"/>
        </w:rPr>
        <w:t xml:space="preserve"> and </w:t>
      </w:r>
      <w:hyperlink r:id="rId15" w:history="1">
        <w:r w:rsidR="0032420F" w:rsidRPr="0035568A">
          <w:rPr>
            <w:rStyle w:val="Hyperlink"/>
            <w:rFonts w:ascii="Arial" w:eastAsia="Calibri" w:hAnsi="Arial" w:cs="Arial"/>
            <w:sz w:val="23"/>
            <w:szCs w:val="23"/>
          </w:rPr>
          <w:t>mining and quarrying</w:t>
        </w:r>
      </w:hyperlink>
      <w:r w:rsidR="0032420F" w:rsidRPr="0035568A">
        <w:rPr>
          <w:rFonts w:ascii="Arial" w:eastAsia="Calibri" w:hAnsi="Arial" w:cs="Arial"/>
          <w:sz w:val="23"/>
          <w:szCs w:val="23"/>
        </w:rPr>
        <w:t xml:space="preserve"> tax </w:t>
      </w:r>
      <w:r w:rsidR="00E602F1" w:rsidRPr="0035568A">
        <w:rPr>
          <w:rFonts w:ascii="Arial" w:eastAsia="Calibri" w:hAnsi="Arial" w:cs="Arial"/>
          <w:sz w:val="23"/>
          <w:szCs w:val="23"/>
        </w:rPr>
        <w:t xml:space="preserve">and licensing </w:t>
      </w:r>
      <w:r w:rsidR="0032420F" w:rsidRPr="0035568A">
        <w:rPr>
          <w:rFonts w:ascii="Arial" w:eastAsia="Calibri" w:hAnsi="Arial" w:cs="Arial"/>
          <w:sz w:val="23"/>
          <w:szCs w:val="23"/>
        </w:rPr>
        <w:t>regimes</w:t>
      </w:r>
      <w:r w:rsidR="00770C22" w:rsidRPr="0035568A">
        <w:rPr>
          <w:rFonts w:ascii="Arial" w:eastAsia="Calibri" w:hAnsi="Arial" w:cs="Arial"/>
          <w:sz w:val="23"/>
          <w:szCs w:val="23"/>
        </w:rPr>
        <w:t>.</w:t>
      </w:r>
    </w:p>
    <w:p w14:paraId="11BCCCF1" w14:textId="6F723955" w:rsidR="00022E0E" w:rsidRPr="0035568A" w:rsidRDefault="00E00261"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 xml:space="preserve">This is the </w:t>
      </w:r>
      <w:r w:rsidR="004F7DAE" w:rsidRPr="0035568A">
        <w:rPr>
          <w:rFonts w:ascii="Arial" w:eastAsia="Calibri" w:hAnsi="Arial" w:cs="Arial"/>
          <w:sz w:val="23"/>
          <w:szCs w:val="23"/>
        </w:rPr>
        <w:t xml:space="preserve">UK EITI’s </w:t>
      </w:r>
      <w:r w:rsidR="00FA2971" w:rsidRPr="0035568A">
        <w:rPr>
          <w:rFonts w:ascii="Arial" w:eastAsia="Calibri" w:hAnsi="Arial" w:cs="Arial"/>
          <w:sz w:val="23"/>
          <w:szCs w:val="23"/>
        </w:rPr>
        <w:t xml:space="preserve">tenth </w:t>
      </w:r>
      <w:r w:rsidR="00C37ECA" w:rsidRPr="0035568A">
        <w:rPr>
          <w:rFonts w:ascii="Arial" w:eastAsia="Calibri" w:hAnsi="Arial" w:cs="Arial"/>
          <w:sz w:val="23"/>
          <w:szCs w:val="23"/>
        </w:rPr>
        <w:t>payments</w:t>
      </w:r>
      <w:r w:rsidR="00022E0E" w:rsidRPr="0035568A">
        <w:rPr>
          <w:rFonts w:ascii="Arial" w:eastAsia="Calibri" w:hAnsi="Arial" w:cs="Arial"/>
          <w:sz w:val="23"/>
          <w:szCs w:val="23"/>
        </w:rPr>
        <w:t xml:space="preserve"> report</w:t>
      </w:r>
      <w:r w:rsidRPr="0035568A">
        <w:rPr>
          <w:rFonts w:ascii="Arial" w:eastAsia="Calibri" w:hAnsi="Arial" w:cs="Arial"/>
          <w:sz w:val="23"/>
          <w:szCs w:val="23"/>
        </w:rPr>
        <w:t>. It</w:t>
      </w:r>
      <w:r w:rsidR="00FC4A68"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provides detailed information on </w:t>
      </w:r>
      <w:r w:rsidR="00030C54" w:rsidRPr="0035568A">
        <w:rPr>
          <w:rFonts w:ascii="Arial" w:eastAsia="Calibri" w:hAnsi="Arial" w:cs="Arial"/>
          <w:sz w:val="23"/>
          <w:szCs w:val="23"/>
        </w:rPr>
        <w:t xml:space="preserve">the </w:t>
      </w:r>
      <w:r w:rsidR="00022E0E" w:rsidRPr="0035568A">
        <w:rPr>
          <w:rFonts w:ascii="Arial" w:eastAsia="Calibri" w:hAnsi="Arial" w:cs="Arial"/>
          <w:sz w:val="23"/>
          <w:szCs w:val="23"/>
        </w:rPr>
        <w:t xml:space="preserve">reconciliation of payment streams between </w:t>
      </w:r>
      <w:r w:rsidR="00F85EC1" w:rsidRPr="0035568A">
        <w:rPr>
          <w:rFonts w:ascii="Arial" w:eastAsia="Calibri" w:hAnsi="Arial" w:cs="Arial"/>
          <w:sz w:val="23"/>
          <w:szCs w:val="23"/>
        </w:rPr>
        <w:t xml:space="preserve">companies </w:t>
      </w:r>
      <w:r w:rsidR="00022E0E" w:rsidRPr="0035568A">
        <w:rPr>
          <w:rFonts w:ascii="Arial" w:eastAsia="Calibri" w:hAnsi="Arial" w:cs="Arial"/>
          <w:sz w:val="23"/>
          <w:szCs w:val="23"/>
        </w:rPr>
        <w:t xml:space="preserve">operating in the UK extractive sector and the relevant government agencies in </w:t>
      </w:r>
      <w:r w:rsidR="00347D9C" w:rsidRPr="0035568A">
        <w:rPr>
          <w:rFonts w:ascii="Arial" w:eastAsia="Calibri" w:hAnsi="Arial" w:cs="Arial"/>
          <w:sz w:val="23"/>
          <w:szCs w:val="23"/>
        </w:rPr>
        <w:t>2023</w:t>
      </w:r>
      <w:r w:rsidR="00022E0E" w:rsidRPr="0035568A">
        <w:rPr>
          <w:rFonts w:ascii="Arial" w:eastAsia="Calibri" w:hAnsi="Arial" w:cs="Arial"/>
          <w:sz w:val="23"/>
          <w:szCs w:val="23"/>
        </w:rPr>
        <w:t>.</w:t>
      </w:r>
      <w:r w:rsidR="00791316" w:rsidRPr="0035568A">
        <w:rPr>
          <w:rFonts w:ascii="Arial" w:eastAsia="Calibri" w:hAnsi="Arial" w:cs="Arial"/>
          <w:sz w:val="23"/>
          <w:szCs w:val="23"/>
        </w:rPr>
        <w:t xml:space="preserve"> </w:t>
      </w:r>
      <w:r w:rsidR="00500F05" w:rsidRPr="0035568A">
        <w:rPr>
          <w:rFonts w:ascii="Arial" w:eastAsia="Calibri" w:hAnsi="Arial" w:cs="Arial"/>
          <w:sz w:val="23"/>
          <w:szCs w:val="23"/>
        </w:rPr>
        <w:t xml:space="preserve">The detailed </w:t>
      </w:r>
      <w:r w:rsidR="00791316" w:rsidRPr="0035568A">
        <w:rPr>
          <w:rFonts w:ascii="Arial" w:eastAsia="Calibri" w:hAnsi="Arial" w:cs="Arial"/>
          <w:sz w:val="23"/>
          <w:szCs w:val="23"/>
        </w:rPr>
        <w:t xml:space="preserve">data </w:t>
      </w:r>
      <w:r w:rsidR="00EE1966" w:rsidRPr="0035568A">
        <w:rPr>
          <w:rFonts w:ascii="Arial" w:eastAsia="Calibri" w:hAnsi="Arial" w:cs="Arial"/>
          <w:sz w:val="23"/>
          <w:szCs w:val="23"/>
        </w:rPr>
        <w:t xml:space="preserve">will be </w:t>
      </w:r>
      <w:r w:rsidR="00791316" w:rsidRPr="0035568A">
        <w:rPr>
          <w:rFonts w:ascii="Arial" w:eastAsia="Calibri" w:hAnsi="Arial" w:cs="Arial"/>
          <w:sz w:val="23"/>
          <w:szCs w:val="23"/>
        </w:rPr>
        <w:t xml:space="preserve">published on the UK EITI </w:t>
      </w:r>
      <w:hyperlink r:id="rId16" w:history="1">
        <w:r w:rsidR="00791316" w:rsidRPr="0035568A">
          <w:rPr>
            <w:rStyle w:val="Hyperlink"/>
            <w:rFonts w:ascii="Arial" w:eastAsia="Calibri" w:hAnsi="Arial" w:cs="Arial"/>
            <w:sz w:val="23"/>
            <w:szCs w:val="23"/>
          </w:rPr>
          <w:t>website</w:t>
        </w:r>
      </w:hyperlink>
      <w:r w:rsidR="000B6BBB" w:rsidRPr="0035568A">
        <w:rPr>
          <w:rFonts w:ascii="Arial" w:eastAsia="Calibri" w:hAnsi="Arial" w:cs="Arial"/>
          <w:sz w:val="23"/>
          <w:szCs w:val="23"/>
        </w:rPr>
        <w:t>.</w:t>
      </w:r>
    </w:p>
    <w:p w14:paraId="130EFB7E" w14:textId="77777777" w:rsidR="00022E0E" w:rsidRPr="0035568A" w:rsidRDefault="00022E0E"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The reconciliation process consisted of the following steps:</w:t>
      </w:r>
    </w:p>
    <w:p w14:paraId="40D2BE41" w14:textId="4E8B4790" w:rsidR="00022E0E" w:rsidRPr="0035568A" w:rsidRDefault="00022E0E" w:rsidP="001E36F1">
      <w:pPr>
        <w:numPr>
          <w:ilvl w:val="0"/>
          <w:numId w:val="12"/>
        </w:numPr>
        <w:spacing w:after="180" w:line="240" w:lineRule="auto"/>
        <w:ind w:left="714" w:hanging="357"/>
        <w:contextualSpacing/>
        <w:jc w:val="both"/>
        <w:rPr>
          <w:rFonts w:ascii="Arial" w:eastAsia="Calibri" w:hAnsi="Arial" w:cs="Arial"/>
          <w:sz w:val="23"/>
          <w:szCs w:val="23"/>
        </w:rPr>
      </w:pPr>
      <w:r w:rsidRPr="0035568A">
        <w:rPr>
          <w:rFonts w:ascii="Arial" w:eastAsia="Calibri" w:hAnsi="Arial" w:cs="Arial"/>
          <w:sz w:val="23"/>
          <w:szCs w:val="23"/>
        </w:rPr>
        <w:t>analysis of the reconciliation scope prepared by the</w:t>
      </w:r>
      <w:r w:rsidR="00C565DB" w:rsidRPr="0035568A">
        <w:rPr>
          <w:rFonts w:ascii="Arial" w:eastAsia="Calibri" w:hAnsi="Arial" w:cs="Arial"/>
          <w:sz w:val="23"/>
          <w:szCs w:val="23"/>
        </w:rPr>
        <w:t xml:space="preserve"> UK EITI</w:t>
      </w:r>
      <w:r w:rsidRPr="0035568A">
        <w:rPr>
          <w:rFonts w:ascii="Arial" w:eastAsia="Calibri" w:hAnsi="Arial" w:cs="Arial"/>
          <w:sz w:val="23"/>
          <w:szCs w:val="23"/>
        </w:rPr>
        <w:t xml:space="preserve"> </w:t>
      </w:r>
      <w:r w:rsidR="00A2311F" w:rsidRPr="0035568A">
        <w:rPr>
          <w:rFonts w:ascii="Arial" w:eastAsia="Calibri" w:hAnsi="Arial" w:cs="Arial"/>
          <w:sz w:val="23"/>
          <w:szCs w:val="23"/>
        </w:rPr>
        <w:t>Multi-Stakeholder Group (</w:t>
      </w:r>
      <w:r w:rsidRPr="0035568A">
        <w:rPr>
          <w:rFonts w:ascii="Arial" w:eastAsia="Calibri" w:hAnsi="Arial" w:cs="Arial"/>
          <w:sz w:val="23"/>
          <w:szCs w:val="23"/>
        </w:rPr>
        <w:t>MSG</w:t>
      </w:r>
      <w:r w:rsidR="00FA4B3F" w:rsidRPr="0035568A">
        <w:rPr>
          <w:rFonts w:ascii="Arial" w:eastAsia="Calibri" w:hAnsi="Arial" w:cs="Arial"/>
          <w:sz w:val="23"/>
          <w:szCs w:val="23"/>
        </w:rPr>
        <w:t>).</w:t>
      </w:r>
    </w:p>
    <w:p w14:paraId="6FD9A744" w14:textId="3F312ABA" w:rsidR="00022E0E" w:rsidRPr="0035568A" w:rsidRDefault="00022E0E" w:rsidP="001E36F1">
      <w:pPr>
        <w:numPr>
          <w:ilvl w:val="0"/>
          <w:numId w:val="12"/>
        </w:numPr>
        <w:spacing w:after="180" w:line="240" w:lineRule="auto"/>
        <w:ind w:left="714" w:hanging="357"/>
        <w:contextualSpacing/>
        <w:jc w:val="both"/>
        <w:rPr>
          <w:rFonts w:ascii="Arial" w:eastAsia="Calibri" w:hAnsi="Arial" w:cs="Arial"/>
          <w:sz w:val="23"/>
          <w:szCs w:val="23"/>
        </w:rPr>
      </w:pPr>
      <w:r w:rsidRPr="0035568A">
        <w:rPr>
          <w:rFonts w:ascii="Arial" w:eastAsia="Calibri" w:hAnsi="Arial" w:cs="Arial"/>
          <w:sz w:val="23"/>
          <w:szCs w:val="23"/>
        </w:rPr>
        <w:t xml:space="preserve">collection of payment data from government agencies and extractive </w:t>
      </w:r>
      <w:r w:rsidR="006C023C" w:rsidRPr="0035568A">
        <w:rPr>
          <w:rFonts w:ascii="Arial" w:eastAsia="Calibri" w:hAnsi="Arial" w:cs="Arial"/>
          <w:sz w:val="23"/>
          <w:szCs w:val="23"/>
        </w:rPr>
        <w:t xml:space="preserve">companies </w:t>
      </w:r>
      <w:r w:rsidRPr="0035568A">
        <w:rPr>
          <w:rFonts w:ascii="Arial" w:eastAsia="Calibri" w:hAnsi="Arial" w:cs="Arial"/>
          <w:sz w:val="23"/>
          <w:szCs w:val="23"/>
        </w:rPr>
        <w:t>which provide the basis for the reconciliation</w:t>
      </w:r>
      <w:r w:rsidR="00FC4A68" w:rsidRPr="0035568A">
        <w:rPr>
          <w:rFonts w:ascii="Arial" w:eastAsia="Calibri" w:hAnsi="Arial" w:cs="Arial"/>
          <w:sz w:val="23"/>
          <w:szCs w:val="23"/>
        </w:rPr>
        <w:t xml:space="preserve"> </w:t>
      </w:r>
      <w:r w:rsidR="00FA4B3F" w:rsidRPr="0035568A">
        <w:rPr>
          <w:rFonts w:ascii="Arial" w:eastAsia="Calibri" w:hAnsi="Arial" w:cs="Arial"/>
          <w:sz w:val="23"/>
          <w:szCs w:val="23"/>
        </w:rPr>
        <w:t>exercise.</w:t>
      </w:r>
    </w:p>
    <w:p w14:paraId="0BF2CBE0" w14:textId="2EA62042" w:rsidR="00022E0E" w:rsidRPr="0035568A" w:rsidRDefault="00022E0E" w:rsidP="001E36F1">
      <w:pPr>
        <w:numPr>
          <w:ilvl w:val="0"/>
          <w:numId w:val="12"/>
        </w:numPr>
        <w:spacing w:after="180" w:line="240" w:lineRule="auto"/>
        <w:ind w:left="714" w:hanging="357"/>
        <w:contextualSpacing/>
        <w:jc w:val="both"/>
        <w:rPr>
          <w:rFonts w:ascii="Arial" w:eastAsia="Calibri" w:hAnsi="Arial" w:cs="Arial"/>
          <w:sz w:val="23"/>
          <w:szCs w:val="23"/>
        </w:rPr>
      </w:pPr>
      <w:r w:rsidRPr="0035568A">
        <w:rPr>
          <w:rFonts w:ascii="Arial" w:eastAsia="Calibri" w:hAnsi="Arial" w:cs="Arial"/>
          <w:sz w:val="23"/>
          <w:szCs w:val="23"/>
        </w:rPr>
        <w:t xml:space="preserve">comparison of amounts reported by government agencies and extractive </w:t>
      </w:r>
      <w:r w:rsidR="006C023C" w:rsidRPr="0035568A">
        <w:rPr>
          <w:rFonts w:ascii="Arial" w:eastAsia="Calibri" w:hAnsi="Arial" w:cs="Arial"/>
          <w:sz w:val="23"/>
          <w:szCs w:val="23"/>
        </w:rPr>
        <w:t xml:space="preserve">companies </w:t>
      </w:r>
      <w:r w:rsidRPr="0035568A">
        <w:rPr>
          <w:rFonts w:ascii="Arial" w:eastAsia="Calibri" w:hAnsi="Arial" w:cs="Arial"/>
          <w:sz w:val="23"/>
          <w:szCs w:val="23"/>
        </w:rPr>
        <w:t>to determine if there were discrepancies between the two sources of information; and</w:t>
      </w:r>
    </w:p>
    <w:p w14:paraId="5CD5A66B" w14:textId="681F1ACF" w:rsidR="005D06C8" w:rsidRPr="0035568A" w:rsidRDefault="00022E0E" w:rsidP="00B16E1F">
      <w:pPr>
        <w:numPr>
          <w:ilvl w:val="0"/>
          <w:numId w:val="12"/>
        </w:numPr>
        <w:spacing w:after="180" w:line="240" w:lineRule="auto"/>
        <w:ind w:left="714" w:hanging="357"/>
        <w:contextualSpacing/>
        <w:jc w:val="both"/>
        <w:rPr>
          <w:rFonts w:ascii="Arial" w:eastAsia="Calibri" w:hAnsi="Arial" w:cs="Arial"/>
          <w:sz w:val="23"/>
          <w:szCs w:val="23"/>
        </w:rPr>
      </w:pPr>
      <w:r w:rsidRPr="0035568A">
        <w:rPr>
          <w:rFonts w:ascii="Arial" w:eastAsia="Calibri" w:hAnsi="Arial" w:cs="Arial"/>
          <w:sz w:val="23"/>
          <w:szCs w:val="23"/>
        </w:rPr>
        <w:t xml:space="preserve">contact with government agencies and extractive </w:t>
      </w:r>
      <w:r w:rsidR="006C023C" w:rsidRPr="0035568A">
        <w:rPr>
          <w:rFonts w:ascii="Arial" w:eastAsia="Calibri" w:hAnsi="Arial" w:cs="Arial"/>
          <w:sz w:val="23"/>
          <w:szCs w:val="23"/>
        </w:rPr>
        <w:t xml:space="preserve">companies </w:t>
      </w:r>
      <w:r w:rsidRPr="0035568A">
        <w:rPr>
          <w:rFonts w:ascii="Arial" w:eastAsia="Calibri" w:hAnsi="Arial" w:cs="Arial"/>
          <w:sz w:val="23"/>
          <w:szCs w:val="23"/>
        </w:rPr>
        <w:t xml:space="preserve">to resolve </w:t>
      </w:r>
      <w:r w:rsidR="00BD411D" w:rsidRPr="0035568A">
        <w:rPr>
          <w:rFonts w:ascii="Arial" w:eastAsia="Calibri" w:hAnsi="Arial" w:cs="Arial"/>
          <w:sz w:val="23"/>
          <w:szCs w:val="23"/>
        </w:rPr>
        <w:t xml:space="preserve">any </w:t>
      </w:r>
      <w:r w:rsidRPr="0035568A">
        <w:rPr>
          <w:rFonts w:ascii="Arial" w:eastAsia="Calibri" w:hAnsi="Arial" w:cs="Arial"/>
          <w:sz w:val="23"/>
          <w:szCs w:val="23"/>
        </w:rPr>
        <w:t>discrepancies.</w:t>
      </w:r>
    </w:p>
    <w:p w14:paraId="00EF906D" w14:textId="77777777" w:rsidR="00316310" w:rsidRPr="0035568A" w:rsidRDefault="00316310" w:rsidP="001E36F1">
      <w:pPr>
        <w:spacing w:line="259" w:lineRule="auto"/>
        <w:rPr>
          <w:rFonts w:ascii="Arial" w:eastAsiaTheme="majorEastAsia" w:hAnsi="Arial" w:cs="Arial"/>
          <w:b/>
          <w:color w:val="0070C0"/>
          <w:sz w:val="28"/>
          <w:szCs w:val="24"/>
        </w:rPr>
      </w:pPr>
      <w:r w:rsidRPr="0035568A">
        <w:rPr>
          <w:rFonts w:ascii="Arial" w:hAnsi="Arial" w:cs="Arial"/>
        </w:rPr>
        <w:br w:type="page"/>
      </w:r>
    </w:p>
    <w:p w14:paraId="1A6C25A2" w14:textId="31694F7D" w:rsidR="00022E0E" w:rsidRPr="0035568A" w:rsidRDefault="00803C80" w:rsidP="001E36F1">
      <w:pPr>
        <w:pStyle w:val="Heading1"/>
        <w:numPr>
          <w:ilvl w:val="0"/>
          <w:numId w:val="30"/>
        </w:numPr>
        <w:spacing w:after="180"/>
        <w:ind w:left="357" w:hanging="357"/>
        <w:rPr>
          <w:rFonts w:asciiTheme="minorBidi" w:hAnsiTheme="minorBidi" w:cstheme="minorBidi"/>
          <w:b/>
          <w:bCs/>
          <w:color w:val="244061" w:themeColor="accent1" w:themeShade="80"/>
          <w:sz w:val="30"/>
          <w:szCs w:val="30"/>
        </w:rPr>
      </w:pPr>
      <w:bookmarkStart w:id="6" w:name="_Toc183079149"/>
      <w:r w:rsidRPr="0035568A">
        <w:rPr>
          <w:rFonts w:asciiTheme="minorBidi" w:hAnsiTheme="minorBidi" w:cstheme="minorBidi"/>
          <w:b/>
          <w:bCs/>
          <w:color w:val="244061" w:themeColor="accent1" w:themeShade="80"/>
          <w:sz w:val="30"/>
          <w:szCs w:val="30"/>
        </w:rPr>
        <w:lastRenderedPageBreak/>
        <w:t xml:space="preserve">Reconciliation </w:t>
      </w:r>
      <w:r w:rsidR="00022E0E" w:rsidRPr="0035568A">
        <w:rPr>
          <w:rFonts w:asciiTheme="minorBidi" w:hAnsiTheme="minorBidi" w:cstheme="minorBidi"/>
          <w:b/>
          <w:bCs/>
          <w:color w:val="244061" w:themeColor="accent1" w:themeShade="80"/>
          <w:sz w:val="30"/>
          <w:szCs w:val="30"/>
        </w:rPr>
        <w:t>Scope</w:t>
      </w:r>
      <w:bookmarkEnd w:id="6"/>
    </w:p>
    <w:p w14:paraId="41EC766B" w14:textId="12757E95" w:rsidR="00022E0E" w:rsidRPr="0035568A" w:rsidRDefault="00C40AFF"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 xml:space="preserve">For the </w:t>
      </w:r>
      <w:r w:rsidR="00022E0E" w:rsidRPr="0035568A">
        <w:rPr>
          <w:rFonts w:ascii="Arial" w:eastAsia="Calibri" w:hAnsi="Arial" w:cs="Arial"/>
          <w:sz w:val="23"/>
          <w:szCs w:val="23"/>
        </w:rPr>
        <w:t xml:space="preserve">year </w:t>
      </w:r>
      <w:r w:rsidR="007E5AB1" w:rsidRPr="0035568A">
        <w:rPr>
          <w:rFonts w:ascii="Arial" w:eastAsia="Calibri" w:hAnsi="Arial" w:cs="Arial"/>
          <w:sz w:val="23"/>
          <w:szCs w:val="23"/>
        </w:rPr>
        <w:t xml:space="preserve">2023 </w:t>
      </w:r>
      <w:r w:rsidR="00022E0E" w:rsidRPr="0035568A">
        <w:rPr>
          <w:rFonts w:ascii="Arial" w:eastAsia="Calibri" w:hAnsi="Arial" w:cs="Arial"/>
          <w:sz w:val="23"/>
          <w:szCs w:val="23"/>
        </w:rPr>
        <w:t>the following payment streams</w:t>
      </w:r>
      <w:r w:rsidR="00E602F1" w:rsidRPr="0035568A">
        <w:rPr>
          <w:rFonts w:ascii="Arial" w:eastAsia="Calibri" w:hAnsi="Arial" w:cs="Arial"/>
          <w:sz w:val="23"/>
          <w:szCs w:val="23"/>
        </w:rPr>
        <w:t xml:space="preserve"> </w:t>
      </w:r>
      <w:r w:rsidR="00F048F7" w:rsidRPr="0035568A">
        <w:rPr>
          <w:rFonts w:ascii="Arial" w:eastAsia="Calibri" w:hAnsi="Arial" w:cs="Arial"/>
          <w:sz w:val="23"/>
          <w:szCs w:val="23"/>
        </w:rPr>
        <w:t>have been included</w:t>
      </w:r>
      <w:r w:rsidR="00E602F1" w:rsidRPr="0035568A">
        <w:rPr>
          <w:rFonts w:ascii="Arial" w:eastAsia="Calibri" w:hAnsi="Arial" w:cs="Arial"/>
          <w:sz w:val="23"/>
          <w:szCs w:val="23"/>
        </w:rPr>
        <w:t>:</w:t>
      </w:r>
    </w:p>
    <w:p w14:paraId="2787B40D" w14:textId="798A1FBC" w:rsidR="00022E0E" w:rsidRPr="0035568A" w:rsidRDefault="00022E0E" w:rsidP="001E36F1">
      <w:pPr>
        <w:numPr>
          <w:ilvl w:val="0"/>
          <w:numId w:val="12"/>
        </w:numPr>
        <w:spacing w:after="180" w:line="240" w:lineRule="auto"/>
        <w:contextualSpacing/>
        <w:jc w:val="both"/>
        <w:rPr>
          <w:rFonts w:ascii="Arial" w:eastAsia="Calibri" w:hAnsi="Arial" w:cs="Arial"/>
          <w:sz w:val="23"/>
          <w:szCs w:val="23"/>
        </w:rPr>
      </w:pPr>
      <w:r w:rsidRPr="0035568A">
        <w:rPr>
          <w:rFonts w:ascii="Arial" w:eastAsia="Calibri" w:hAnsi="Arial" w:cs="Arial"/>
          <w:b/>
          <w:bCs/>
          <w:sz w:val="23"/>
          <w:szCs w:val="23"/>
        </w:rPr>
        <w:t xml:space="preserve">Oil and </w:t>
      </w:r>
      <w:r w:rsidR="00093301" w:rsidRPr="0035568A">
        <w:rPr>
          <w:rFonts w:ascii="Arial" w:eastAsia="Calibri" w:hAnsi="Arial" w:cs="Arial"/>
          <w:b/>
          <w:bCs/>
          <w:sz w:val="23"/>
          <w:szCs w:val="23"/>
        </w:rPr>
        <w:t>G</w:t>
      </w:r>
      <w:r w:rsidRPr="0035568A">
        <w:rPr>
          <w:rFonts w:ascii="Arial" w:eastAsia="Calibri" w:hAnsi="Arial" w:cs="Arial"/>
          <w:b/>
          <w:bCs/>
          <w:sz w:val="23"/>
          <w:szCs w:val="23"/>
        </w:rPr>
        <w:t xml:space="preserve">as </w:t>
      </w:r>
      <w:r w:rsidR="00AE6957" w:rsidRPr="0035568A">
        <w:rPr>
          <w:rFonts w:ascii="Arial" w:eastAsia="Calibri" w:hAnsi="Arial" w:cs="Arial"/>
          <w:b/>
          <w:bCs/>
          <w:sz w:val="23"/>
          <w:szCs w:val="23"/>
        </w:rPr>
        <w:t xml:space="preserve">(O&amp;G) </w:t>
      </w:r>
      <w:r w:rsidRPr="0035568A">
        <w:rPr>
          <w:rFonts w:ascii="Arial" w:eastAsia="Calibri" w:hAnsi="Arial" w:cs="Arial"/>
          <w:b/>
          <w:bCs/>
          <w:sz w:val="23"/>
          <w:szCs w:val="23"/>
        </w:rPr>
        <w:t>sector:</w:t>
      </w:r>
      <w:r w:rsidRPr="0035568A">
        <w:rPr>
          <w:rFonts w:ascii="Arial" w:eastAsia="Calibri" w:hAnsi="Arial" w:cs="Arial"/>
          <w:sz w:val="23"/>
          <w:szCs w:val="23"/>
        </w:rPr>
        <w:t xml:space="preserve"> combined total for Ring-Fence Corporation Tax (RFCT) and Supplementary Charge (SC)</w:t>
      </w:r>
      <w:r w:rsidR="0037282F" w:rsidRPr="0035568A">
        <w:rPr>
          <w:rFonts w:ascii="Arial" w:eastAsia="Calibri" w:hAnsi="Arial" w:cs="Arial"/>
          <w:sz w:val="23"/>
          <w:szCs w:val="23"/>
        </w:rPr>
        <w:t>,</w:t>
      </w:r>
      <w:r w:rsidRPr="0035568A">
        <w:rPr>
          <w:rFonts w:ascii="Arial" w:eastAsia="Calibri" w:hAnsi="Arial" w:cs="Arial"/>
          <w:sz w:val="23"/>
          <w:szCs w:val="23"/>
        </w:rPr>
        <w:t xml:space="preserve"> Petroleum Revenue Tax </w:t>
      </w:r>
      <w:r w:rsidR="006B1807" w:rsidRPr="0035568A">
        <w:rPr>
          <w:rFonts w:ascii="Arial" w:eastAsia="Calibri" w:hAnsi="Arial" w:cs="Arial"/>
          <w:sz w:val="23"/>
          <w:szCs w:val="23"/>
        </w:rPr>
        <w:t>(PRT)</w:t>
      </w:r>
      <w:r w:rsidRPr="0035568A">
        <w:rPr>
          <w:rFonts w:ascii="Arial" w:eastAsia="Calibri" w:hAnsi="Arial" w:cs="Arial"/>
          <w:sz w:val="23"/>
          <w:szCs w:val="23"/>
        </w:rPr>
        <w:t xml:space="preserve"> and Advance Petroleum Revenue Tax</w:t>
      </w:r>
      <w:r w:rsidR="004D566F" w:rsidRPr="0035568A">
        <w:rPr>
          <w:rFonts w:ascii="Arial" w:eastAsia="Calibri" w:hAnsi="Arial" w:cs="Arial"/>
          <w:sz w:val="23"/>
          <w:szCs w:val="23"/>
        </w:rPr>
        <w:t xml:space="preserve"> (APRT)</w:t>
      </w:r>
      <w:r w:rsidR="0037282F" w:rsidRPr="0035568A">
        <w:rPr>
          <w:rFonts w:ascii="Arial" w:eastAsia="Calibri" w:hAnsi="Arial" w:cs="Arial"/>
          <w:sz w:val="23"/>
          <w:szCs w:val="23"/>
        </w:rPr>
        <w:t>,</w:t>
      </w:r>
      <w:r w:rsidRPr="0035568A">
        <w:rPr>
          <w:rFonts w:ascii="Arial" w:eastAsia="Calibri" w:hAnsi="Arial" w:cs="Arial"/>
          <w:sz w:val="23"/>
          <w:szCs w:val="23"/>
        </w:rPr>
        <w:t xml:space="preserve"> </w:t>
      </w:r>
      <w:r w:rsidR="002A4117" w:rsidRPr="0035568A">
        <w:rPr>
          <w:rFonts w:ascii="Arial" w:eastAsia="Calibri" w:hAnsi="Arial" w:cs="Arial"/>
          <w:sz w:val="23"/>
          <w:szCs w:val="23"/>
        </w:rPr>
        <w:t>Energy (Oil and Gas) Profits Levy (EPL)</w:t>
      </w:r>
      <w:r w:rsidR="00500F05" w:rsidRPr="0035568A">
        <w:rPr>
          <w:rFonts w:ascii="Arial" w:eastAsia="Calibri" w:hAnsi="Arial" w:cs="Arial"/>
          <w:sz w:val="23"/>
          <w:szCs w:val="23"/>
        </w:rPr>
        <w:t>,</w:t>
      </w:r>
      <w:r w:rsidRPr="0035568A">
        <w:rPr>
          <w:rFonts w:ascii="Arial" w:eastAsia="Calibri" w:hAnsi="Arial" w:cs="Arial"/>
          <w:sz w:val="23"/>
          <w:szCs w:val="23"/>
        </w:rPr>
        <w:t xml:space="preserve"> payments to T</w:t>
      </w:r>
      <w:r w:rsidR="00113512" w:rsidRPr="0035568A">
        <w:rPr>
          <w:rFonts w:ascii="Arial" w:eastAsia="Calibri" w:hAnsi="Arial" w:cs="Arial"/>
          <w:sz w:val="23"/>
          <w:szCs w:val="23"/>
        </w:rPr>
        <w:t>CE</w:t>
      </w:r>
      <w:r w:rsidRPr="0035568A">
        <w:rPr>
          <w:rFonts w:ascii="Arial" w:eastAsia="Calibri" w:hAnsi="Arial" w:cs="Arial"/>
          <w:sz w:val="23"/>
          <w:szCs w:val="23"/>
        </w:rPr>
        <w:t xml:space="preserve"> and </w:t>
      </w:r>
      <w:r w:rsidR="00113512" w:rsidRPr="0035568A">
        <w:rPr>
          <w:rFonts w:ascii="Arial" w:eastAsia="Calibri" w:hAnsi="Arial" w:cs="Arial"/>
          <w:sz w:val="23"/>
          <w:szCs w:val="23"/>
        </w:rPr>
        <w:t>CES</w:t>
      </w:r>
      <w:r w:rsidRPr="0035568A">
        <w:rPr>
          <w:rFonts w:ascii="Arial" w:eastAsia="Calibri" w:hAnsi="Arial" w:cs="Arial"/>
          <w:sz w:val="23"/>
          <w:szCs w:val="23"/>
        </w:rPr>
        <w:t xml:space="preserve"> in respect of pipelines operated by companies that </w:t>
      </w:r>
      <w:r w:rsidR="0037282F" w:rsidRPr="0035568A">
        <w:rPr>
          <w:rFonts w:ascii="Arial" w:eastAsia="Calibri" w:hAnsi="Arial" w:cs="Arial"/>
          <w:sz w:val="23"/>
          <w:szCs w:val="23"/>
        </w:rPr>
        <w:t>operate</w:t>
      </w:r>
      <w:r w:rsidRPr="0035568A">
        <w:rPr>
          <w:rFonts w:ascii="Arial" w:eastAsia="Calibri" w:hAnsi="Arial" w:cs="Arial"/>
          <w:sz w:val="23"/>
          <w:szCs w:val="23"/>
        </w:rPr>
        <w:t xml:space="preserve"> in UK extractive activities</w:t>
      </w:r>
      <w:r w:rsidR="002A4117" w:rsidRPr="0035568A">
        <w:rPr>
          <w:rFonts w:ascii="Arial" w:eastAsia="Calibri" w:hAnsi="Arial" w:cs="Arial"/>
          <w:sz w:val="23"/>
          <w:szCs w:val="23"/>
        </w:rPr>
        <w:t>.</w:t>
      </w:r>
    </w:p>
    <w:p w14:paraId="1C130DA6" w14:textId="42F070B3" w:rsidR="00022E0E" w:rsidRPr="0035568A" w:rsidRDefault="00022E0E" w:rsidP="001E36F1">
      <w:pPr>
        <w:numPr>
          <w:ilvl w:val="0"/>
          <w:numId w:val="12"/>
        </w:numPr>
        <w:spacing w:after="0" w:line="240" w:lineRule="auto"/>
        <w:ind w:left="714" w:hanging="357"/>
        <w:contextualSpacing/>
        <w:jc w:val="both"/>
        <w:rPr>
          <w:rFonts w:ascii="Arial" w:eastAsia="Calibri" w:hAnsi="Arial" w:cs="Arial"/>
          <w:sz w:val="23"/>
          <w:szCs w:val="23"/>
        </w:rPr>
      </w:pPr>
      <w:r w:rsidRPr="0035568A">
        <w:rPr>
          <w:rFonts w:ascii="Arial" w:eastAsia="Calibri" w:hAnsi="Arial" w:cs="Arial"/>
          <w:b/>
          <w:bCs/>
          <w:sz w:val="23"/>
          <w:szCs w:val="23"/>
        </w:rPr>
        <w:t xml:space="preserve">Mining and </w:t>
      </w:r>
      <w:r w:rsidR="00093301" w:rsidRPr="0035568A">
        <w:rPr>
          <w:rFonts w:ascii="Arial" w:eastAsia="Calibri" w:hAnsi="Arial" w:cs="Arial"/>
          <w:b/>
          <w:bCs/>
          <w:sz w:val="23"/>
          <w:szCs w:val="23"/>
        </w:rPr>
        <w:t>Q</w:t>
      </w:r>
      <w:r w:rsidRPr="0035568A">
        <w:rPr>
          <w:rFonts w:ascii="Arial" w:eastAsia="Calibri" w:hAnsi="Arial" w:cs="Arial"/>
          <w:b/>
          <w:bCs/>
          <w:sz w:val="23"/>
          <w:szCs w:val="23"/>
        </w:rPr>
        <w:t xml:space="preserve">uarrying </w:t>
      </w:r>
      <w:r w:rsidR="00AE6957" w:rsidRPr="0035568A">
        <w:rPr>
          <w:rFonts w:ascii="Arial" w:eastAsia="Calibri" w:hAnsi="Arial" w:cs="Arial"/>
          <w:b/>
          <w:bCs/>
          <w:sz w:val="23"/>
          <w:szCs w:val="23"/>
        </w:rPr>
        <w:t xml:space="preserve">(M&amp;Q) </w:t>
      </w:r>
      <w:r w:rsidRPr="0035568A">
        <w:rPr>
          <w:rFonts w:ascii="Arial" w:eastAsia="Calibri" w:hAnsi="Arial" w:cs="Arial"/>
          <w:b/>
          <w:bCs/>
          <w:sz w:val="23"/>
          <w:szCs w:val="23"/>
        </w:rPr>
        <w:t>sector:</w:t>
      </w:r>
      <w:r w:rsidRPr="0035568A">
        <w:rPr>
          <w:rFonts w:ascii="Arial" w:eastAsia="Calibri" w:hAnsi="Arial" w:cs="Arial"/>
          <w:sz w:val="23"/>
          <w:szCs w:val="23"/>
        </w:rPr>
        <w:t xml:space="preserve"> Corporation Tax</w:t>
      </w:r>
      <w:r w:rsidR="00825C2E" w:rsidRPr="0035568A">
        <w:rPr>
          <w:rFonts w:ascii="Arial" w:eastAsia="Calibri" w:hAnsi="Arial" w:cs="Arial"/>
          <w:sz w:val="23"/>
          <w:szCs w:val="23"/>
        </w:rPr>
        <w:t xml:space="preserve"> (CT)</w:t>
      </w:r>
      <w:r w:rsidR="008804AE" w:rsidRPr="0035568A">
        <w:rPr>
          <w:rFonts w:ascii="Arial" w:eastAsia="Calibri" w:hAnsi="Arial" w:cs="Arial"/>
          <w:sz w:val="23"/>
          <w:szCs w:val="23"/>
        </w:rPr>
        <w:t>,</w:t>
      </w:r>
      <w:r w:rsidRPr="0035568A">
        <w:rPr>
          <w:rFonts w:ascii="Arial" w:eastAsia="Calibri" w:hAnsi="Arial" w:cs="Arial"/>
          <w:sz w:val="23"/>
          <w:szCs w:val="23"/>
        </w:rPr>
        <w:t xml:space="preserve"> extractive-related payments to TCE and CES.</w:t>
      </w:r>
    </w:p>
    <w:p w14:paraId="5B033CE3" w14:textId="2F55752F" w:rsidR="00022E0E" w:rsidRPr="0035568A" w:rsidRDefault="0066387E" w:rsidP="001E36F1">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In line with</w:t>
      </w:r>
      <w:r w:rsidR="00C40AFF"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the Reports on Payments to Government Regulations 2014, the materiality threshold </w:t>
      </w:r>
      <w:r w:rsidR="00444D6E" w:rsidRPr="0035568A">
        <w:rPr>
          <w:rFonts w:ascii="Arial" w:eastAsia="Calibri" w:hAnsi="Arial" w:cs="Arial"/>
          <w:sz w:val="23"/>
          <w:szCs w:val="23"/>
        </w:rPr>
        <w:t xml:space="preserve">applied to each revenue stream at group level </w:t>
      </w:r>
      <w:r w:rsidR="00022E0E" w:rsidRPr="0035568A">
        <w:rPr>
          <w:rFonts w:ascii="Arial" w:eastAsia="Calibri" w:hAnsi="Arial" w:cs="Arial"/>
          <w:sz w:val="23"/>
          <w:szCs w:val="23"/>
        </w:rPr>
        <w:t xml:space="preserve">remained </w:t>
      </w:r>
      <w:r w:rsidR="00260CE0" w:rsidRPr="0035568A">
        <w:rPr>
          <w:rFonts w:ascii="Arial" w:eastAsia="Calibri" w:hAnsi="Arial" w:cs="Arial"/>
          <w:sz w:val="23"/>
          <w:szCs w:val="23"/>
        </w:rPr>
        <w:t xml:space="preserve">unchanged </w:t>
      </w:r>
      <w:r w:rsidR="00022E0E" w:rsidRPr="0035568A">
        <w:rPr>
          <w:rFonts w:ascii="Arial" w:eastAsia="Calibri" w:hAnsi="Arial" w:cs="Arial"/>
          <w:sz w:val="23"/>
          <w:szCs w:val="23"/>
        </w:rPr>
        <w:t>at £</w:t>
      </w:r>
      <w:r w:rsidR="00F551BA" w:rsidRPr="0035568A">
        <w:rPr>
          <w:rFonts w:ascii="Arial" w:eastAsia="Calibri" w:hAnsi="Arial" w:cs="Arial"/>
          <w:sz w:val="23"/>
          <w:szCs w:val="23"/>
        </w:rPr>
        <w:t>86,000</w:t>
      </w:r>
      <w:r w:rsidR="00A95352" w:rsidRPr="0035568A">
        <w:rPr>
          <w:rFonts w:ascii="Arial" w:eastAsia="Calibri" w:hAnsi="Arial" w:cs="Arial"/>
          <w:sz w:val="23"/>
          <w:szCs w:val="23"/>
        </w:rPr>
        <w:t>.</w:t>
      </w:r>
      <w:r w:rsidR="00022E0E" w:rsidRPr="0035568A">
        <w:rPr>
          <w:rFonts w:ascii="Arial" w:eastAsia="Calibri" w:hAnsi="Arial" w:cs="Arial"/>
          <w:sz w:val="23"/>
          <w:szCs w:val="23"/>
        </w:rPr>
        <w:t xml:space="preserve"> The government agencies </w:t>
      </w:r>
      <w:r w:rsidR="00E6222F" w:rsidRPr="0035568A">
        <w:rPr>
          <w:rFonts w:ascii="Arial" w:eastAsia="Calibri" w:hAnsi="Arial" w:cs="Arial"/>
          <w:sz w:val="23"/>
          <w:szCs w:val="23"/>
        </w:rPr>
        <w:t xml:space="preserve">that were </w:t>
      </w:r>
      <w:r w:rsidR="00022E0E" w:rsidRPr="0035568A">
        <w:rPr>
          <w:rFonts w:ascii="Arial" w:eastAsia="Calibri" w:hAnsi="Arial" w:cs="Arial"/>
          <w:sz w:val="23"/>
          <w:szCs w:val="23"/>
        </w:rPr>
        <w:t>required to report for</w:t>
      </w:r>
      <w:r w:rsidR="007B7010" w:rsidRPr="0035568A">
        <w:rPr>
          <w:rFonts w:ascii="Arial" w:eastAsia="Calibri" w:hAnsi="Arial" w:cs="Arial"/>
          <w:sz w:val="23"/>
          <w:szCs w:val="23"/>
        </w:rPr>
        <w:t xml:space="preserve"> the</w:t>
      </w:r>
      <w:r w:rsidR="00022E0E" w:rsidRPr="0035568A">
        <w:rPr>
          <w:rFonts w:ascii="Arial" w:eastAsia="Calibri" w:hAnsi="Arial" w:cs="Arial"/>
          <w:sz w:val="23"/>
          <w:szCs w:val="23"/>
        </w:rPr>
        <w:t xml:space="preserve"> </w:t>
      </w:r>
      <w:r w:rsidR="00EF7B0C" w:rsidRPr="0035568A">
        <w:rPr>
          <w:rFonts w:ascii="Arial" w:eastAsia="Calibri" w:hAnsi="Arial" w:cs="Arial"/>
          <w:sz w:val="23"/>
          <w:szCs w:val="23"/>
        </w:rPr>
        <w:t xml:space="preserve">2023 </w:t>
      </w:r>
      <w:r w:rsidR="00022E0E" w:rsidRPr="0035568A">
        <w:rPr>
          <w:rFonts w:ascii="Arial" w:eastAsia="Calibri" w:hAnsi="Arial" w:cs="Arial"/>
          <w:sz w:val="23"/>
          <w:szCs w:val="23"/>
        </w:rPr>
        <w:t>UK EITI</w:t>
      </w:r>
      <w:r w:rsidR="007B7010" w:rsidRPr="0035568A">
        <w:rPr>
          <w:rFonts w:ascii="Arial" w:eastAsia="Calibri" w:hAnsi="Arial" w:cs="Arial"/>
          <w:sz w:val="23"/>
          <w:szCs w:val="23"/>
        </w:rPr>
        <w:t xml:space="preserve"> reconciliation exercise</w:t>
      </w:r>
      <w:r w:rsidR="00022E0E" w:rsidRPr="0035568A">
        <w:rPr>
          <w:rFonts w:ascii="Arial" w:eastAsia="Calibri" w:hAnsi="Arial" w:cs="Arial"/>
          <w:sz w:val="23"/>
          <w:szCs w:val="23"/>
        </w:rPr>
        <w:t xml:space="preserve"> were HMRC, TCE and CES.</w:t>
      </w:r>
    </w:p>
    <w:p w14:paraId="6DFF01EF" w14:textId="012319D5" w:rsidR="00BE508B" w:rsidRPr="0035568A" w:rsidRDefault="00437DA9" w:rsidP="001E36F1">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Based on historical results of the reconciliation exercises, the MSG agreed that</w:t>
      </w:r>
      <w:r w:rsidR="00F032F5" w:rsidRPr="0035568A">
        <w:rPr>
          <w:rFonts w:ascii="Arial" w:eastAsia="Calibri" w:hAnsi="Arial" w:cs="Arial"/>
          <w:sz w:val="23"/>
          <w:szCs w:val="23"/>
        </w:rPr>
        <w:t>,</w:t>
      </w:r>
      <w:r w:rsidR="00547CA9" w:rsidRPr="0035568A">
        <w:rPr>
          <w:rFonts w:ascii="Arial" w:eastAsia="Calibri" w:hAnsi="Arial" w:cs="Arial"/>
          <w:sz w:val="23"/>
          <w:szCs w:val="23"/>
        </w:rPr>
        <w:t xml:space="preserve"> for payments from 2022 onwards</w:t>
      </w:r>
      <w:r w:rsidR="00F032F5" w:rsidRPr="0035568A">
        <w:rPr>
          <w:rFonts w:ascii="Arial" w:eastAsia="Calibri" w:hAnsi="Arial" w:cs="Arial"/>
          <w:sz w:val="23"/>
          <w:szCs w:val="23"/>
        </w:rPr>
        <w:t>,</w:t>
      </w:r>
      <w:r w:rsidRPr="0035568A">
        <w:rPr>
          <w:rFonts w:ascii="Arial" w:eastAsia="Calibri" w:hAnsi="Arial" w:cs="Arial"/>
          <w:sz w:val="23"/>
          <w:szCs w:val="23"/>
        </w:rPr>
        <w:t xml:space="preserve"> petroleum</w:t>
      </w:r>
      <w:r w:rsidR="005F662F" w:rsidRPr="0035568A">
        <w:rPr>
          <w:rFonts w:ascii="Arial" w:eastAsia="Calibri" w:hAnsi="Arial" w:cs="Arial"/>
          <w:sz w:val="23"/>
          <w:szCs w:val="23"/>
        </w:rPr>
        <w:t xml:space="preserve"> </w:t>
      </w:r>
      <w:r w:rsidRPr="0035568A">
        <w:rPr>
          <w:rFonts w:ascii="Arial" w:eastAsia="Calibri" w:hAnsi="Arial" w:cs="Arial"/>
          <w:sz w:val="23"/>
          <w:szCs w:val="23"/>
        </w:rPr>
        <w:t>licen</w:t>
      </w:r>
      <w:r w:rsidR="005F662F" w:rsidRPr="0035568A">
        <w:rPr>
          <w:rFonts w:ascii="Arial" w:eastAsia="Calibri" w:hAnsi="Arial" w:cs="Arial"/>
          <w:sz w:val="23"/>
          <w:szCs w:val="23"/>
        </w:rPr>
        <w:t>c</w:t>
      </w:r>
      <w:r w:rsidRPr="0035568A">
        <w:rPr>
          <w:rFonts w:ascii="Arial" w:eastAsia="Calibri" w:hAnsi="Arial" w:cs="Arial"/>
          <w:sz w:val="23"/>
          <w:szCs w:val="23"/>
        </w:rPr>
        <w:t>e</w:t>
      </w:r>
      <w:r w:rsidR="005F662F" w:rsidRPr="0035568A">
        <w:rPr>
          <w:rFonts w:ascii="Arial" w:eastAsia="Calibri" w:hAnsi="Arial" w:cs="Arial"/>
          <w:sz w:val="23"/>
          <w:szCs w:val="23"/>
        </w:rPr>
        <w:t xml:space="preserve"> </w:t>
      </w:r>
      <w:r w:rsidRPr="0035568A">
        <w:rPr>
          <w:rFonts w:ascii="Arial" w:eastAsia="Calibri" w:hAnsi="Arial" w:cs="Arial"/>
          <w:sz w:val="23"/>
          <w:szCs w:val="23"/>
        </w:rPr>
        <w:t xml:space="preserve">fees and the OGA </w:t>
      </w:r>
      <w:r w:rsidR="005D377E" w:rsidRPr="0035568A">
        <w:rPr>
          <w:rFonts w:ascii="Arial" w:eastAsia="Calibri" w:hAnsi="Arial" w:cs="Arial"/>
          <w:sz w:val="23"/>
          <w:szCs w:val="23"/>
        </w:rPr>
        <w:t>L</w:t>
      </w:r>
      <w:r w:rsidRPr="0035568A">
        <w:rPr>
          <w:rFonts w:ascii="Arial" w:eastAsia="Calibri" w:hAnsi="Arial" w:cs="Arial"/>
          <w:sz w:val="23"/>
          <w:szCs w:val="23"/>
        </w:rPr>
        <w:t>evy should be disclosed unilaterally by the North Sea Transition Authority (NSTA).</w:t>
      </w:r>
    </w:p>
    <w:p w14:paraId="3FB143F8" w14:textId="420CB206" w:rsidR="00B81118" w:rsidRPr="0035568A" w:rsidRDefault="00B81118" w:rsidP="001E36F1">
      <w:pPr>
        <w:spacing w:before="180" w:after="180" w:line="240" w:lineRule="auto"/>
        <w:jc w:val="both"/>
        <w:rPr>
          <w:rFonts w:ascii="Arial" w:eastAsia="Calibri" w:hAnsi="Arial" w:cs="Arial"/>
          <w:sz w:val="23"/>
          <w:szCs w:val="23"/>
        </w:rPr>
      </w:pPr>
      <w:r w:rsidRPr="0035568A">
        <w:rPr>
          <w:rFonts w:ascii="Arial" w:eastAsia="Arial" w:hAnsi="Arial" w:cs="Arial"/>
          <w:color w:val="000000"/>
          <w:sz w:val="23"/>
          <w:szCs w:val="23"/>
        </w:rPr>
        <w:t>In addition, as in previous years, monetary</w:t>
      </w:r>
      <w:r w:rsidRPr="0035568A">
        <w:rPr>
          <w:rFonts w:ascii="Arial" w:eastAsia="Arial" w:hAnsi="Arial" w:cs="Arial"/>
          <w:color w:val="000000"/>
          <w:spacing w:val="15"/>
          <w:sz w:val="23"/>
          <w:szCs w:val="23"/>
        </w:rPr>
        <w:t xml:space="preserve"> </w:t>
      </w:r>
      <w:r w:rsidRPr="0035568A">
        <w:rPr>
          <w:rFonts w:ascii="Arial" w:eastAsia="Arial" w:hAnsi="Arial" w:cs="Arial"/>
          <w:color w:val="000000"/>
          <w:sz w:val="23"/>
          <w:szCs w:val="23"/>
        </w:rPr>
        <w:t>pa</w:t>
      </w:r>
      <w:r w:rsidRPr="0035568A">
        <w:rPr>
          <w:rFonts w:ascii="Arial" w:eastAsia="Arial" w:hAnsi="Arial" w:cs="Arial"/>
          <w:color w:val="000000"/>
          <w:spacing w:val="1"/>
          <w:sz w:val="23"/>
          <w:szCs w:val="23"/>
        </w:rPr>
        <w:t>y</w:t>
      </w:r>
      <w:r w:rsidRPr="0035568A">
        <w:rPr>
          <w:rFonts w:ascii="Arial" w:eastAsia="Arial" w:hAnsi="Arial" w:cs="Arial"/>
          <w:color w:val="000000"/>
          <w:sz w:val="23"/>
          <w:szCs w:val="23"/>
        </w:rPr>
        <w:t>ments</w:t>
      </w:r>
      <w:r w:rsidRPr="0035568A">
        <w:rPr>
          <w:rFonts w:ascii="Arial" w:eastAsia="Arial" w:hAnsi="Arial" w:cs="Arial"/>
          <w:color w:val="000000"/>
          <w:spacing w:val="15"/>
          <w:sz w:val="23"/>
          <w:szCs w:val="23"/>
        </w:rPr>
        <w:t xml:space="preserve"> </w:t>
      </w:r>
      <w:r w:rsidRPr="0035568A">
        <w:rPr>
          <w:rFonts w:ascii="Arial" w:eastAsia="Arial" w:hAnsi="Arial" w:cs="Arial"/>
          <w:color w:val="000000"/>
          <w:sz w:val="23"/>
          <w:szCs w:val="23"/>
        </w:rPr>
        <w:t>to</w:t>
      </w:r>
      <w:r w:rsidRPr="0035568A">
        <w:rPr>
          <w:rFonts w:ascii="Arial" w:eastAsia="Arial" w:hAnsi="Arial" w:cs="Arial"/>
          <w:color w:val="000000"/>
          <w:spacing w:val="14"/>
          <w:sz w:val="23"/>
          <w:szCs w:val="23"/>
        </w:rPr>
        <w:t xml:space="preserve"> </w:t>
      </w:r>
      <w:r w:rsidRPr="0035568A">
        <w:rPr>
          <w:rFonts w:ascii="Arial" w:eastAsia="Arial" w:hAnsi="Arial" w:cs="Arial"/>
          <w:color w:val="000000"/>
          <w:sz w:val="23"/>
          <w:szCs w:val="23"/>
        </w:rPr>
        <w:t>loc</w:t>
      </w:r>
      <w:r w:rsidRPr="0035568A">
        <w:rPr>
          <w:rFonts w:ascii="Arial" w:eastAsia="Arial" w:hAnsi="Arial" w:cs="Arial"/>
          <w:color w:val="000000"/>
          <w:spacing w:val="-1"/>
          <w:sz w:val="23"/>
          <w:szCs w:val="23"/>
        </w:rPr>
        <w:t>a</w:t>
      </w:r>
      <w:r w:rsidRPr="0035568A">
        <w:rPr>
          <w:rFonts w:ascii="Arial" w:eastAsia="Arial" w:hAnsi="Arial" w:cs="Arial"/>
          <w:color w:val="000000"/>
          <w:sz w:val="23"/>
          <w:szCs w:val="23"/>
        </w:rPr>
        <w:t>l</w:t>
      </w:r>
      <w:r w:rsidRPr="0035568A">
        <w:rPr>
          <w:rFonts w:ascii="Arial" w:eastAsia="Arial" w:hAnsi="Arial" w:cs="Arial"/>
          <w:color w:val="000000"/>
          <w:spacing w:val="14"/>
          <w:sz w:val="23"/>
          <w:szCs w:val="23"/>
        </w:rPr>
        <w:t xml:space="preserve"> </w:t>
      </w:r>
      <w:r w:rsidRPr="0035568A">
        <w:rPr>
          <w:rFonts w:ascii="Arial" w:eastAsia="Arial" w:hAnsi="Arial" w:cs="Arial"/>
          <w:color w:val="000000"/>
          <w:spacing w:val="2"/>
          <w:sz w:val="23"/>
          <w:szCs w:val="23"/>
        </w:rPr>
        <w:t>p</w:t>
      </w:r>
      <w:r w:rsidRPr="0035568A">
        <w:rPr>
          <w:rFonts w:ascii="Arial" w:eastAsia="Arial" w:hAnsi="Arial" w:cs="Arial"/>
          <w:color w:val="000000"/>
          <w:sz w:val="23"/>
          <w:szCs w:val="23"/>
        </w:rPr>
        <w:t>l</w:t>
      </w:r>
      <w:r w:rsidRPr="0035568A">
        <w:rPr>
          <w:rFonts w:ascii="Arial" w:eastAsia="Arial" w:hAnsi="Arial" w:cs="Arial"/>
          <w:color w:val="000000"/>
          <w:spacing w:val="-1"/>
          <w:sz w:val="23"/>
          <w:szCs w:val="23"/>
        </w:rPr>
        <w:t>a</w:t>
      </w:r>
      <w:r w:rsidRPr="0035568A">
        <w:rPr>
          <w:rFonts w:ascii="Arial" w:eastAsia="Arial" w:hAnsi="Arial" w:cs="Arial"/>
          <w:color w:val="000000"/>
          <w:spacing w:val="1"/>
          <w:sz w:val="23"/>
          <w:szCs w:val="23"/>
        </w:rPr>
        <w:t>n</w:t>
      </w:r>
      <w:r w:rsidRPr="0035568A">
        <w:rPr>
          <w:rFonts w:ascii="Arial" w:eastAsia="Arial" w:hAnsi="Arial" w:cs="Arial"/>
          <w:color w:val="000000"/>
          <w:sz w:val="23"/>
          <w:szCs w:val="23"/>
        </w:rPr>
        <w:t>ni</w:t>
      </w:r>
      <w:r w:rsidRPr="0035568A">
        <w:rPr>
          <w:rFonts w:ascii="Arial" w:eastAsia="Arial" w:hAnsi="Arial" w:cs="Arial"/>
          <w:color w:val="000000"/>
          <w:spacing w:val="-1"/>
          <w:sz w:val="23"/>
          <w:szCs w:val="23"/>
        </w:rPr>
        <w:t>n</w:t>
      </w:r>
      <w:r w:rsidRPr="0035568A">
        <w:rPr>
          <w:rFonts w:ascii="Arial" w:eastAsia="Arial" w:hAnsi="Arial" w:cs="Arial"/>
          <w:color w:val="000000"/>
          <w:sz w:val="23"/>
          <w:szCs w:val="23"/>
        </w:rPr>
        <w:t>g</w:t>
      </w:r>
      <w:r w:rsidRPr="0035568A">
        <w:rPr>
          <w:rFonts w:ascii="Arial" w:eastAsia="Arial" w:hAnsi="Arial" w:cs="Arial"/>
          <w:color w:val="000000"/>
          <w:spacing w:val="16"/>
          <w:sz w:val="23"/>
          <w:szCs w:val="23"/>
        </w:rPr>
        <w:t xml:space="preserve"> </w:t>
      </w:r>
      <w:r w:rsidRPr="0035568A">
        <w:rPr>
          <w:rFonts w:ascii="Arial" w:eastAsia="Arial" w:hAnsi="Arial" w:cs="Arial"/>
          <w:color w:val="000000"/>
          <w:sz w:val="23"/>
          <w:szCs w:val="23"/>
        </w:rPr>
        <w:t>authorities as p</w:t>
      </w:r>
      <w:r w:rsidRPr="0035568A">
        <w:rPr>
          <w:rFonts w:ascii="Arial" w:eastAsia="Arial" w:hAnsi="Arial" w:cs="Arial"/>
          <w:color w:val="000000"/>
          <w:spacing w:val="-1"/>
          <w:sz w:val="23"/>
          <w:szCs w:val="23"/>
        </w:rPr>
        <w:t>a</w:t>
      </w:r>
      <w:r w:rsidRPr="0035568A">
        <w:rPr>
          <w:rFonts w:ascii="Arial" w:eastAsia="Arial" w:hAnsi="Arial" w:cs="Arial"/>
          <w:color w:val="000000"/>
          <w:sz w:val="23"/>
          <w:szCs w:val="23"/>
        </w:rPr>
        <w:t>rt</w:t>
      </w:r>
      <w:r w:rsidRPr="0035568A">
        <w:rPr>
          <w:rFonts w:ascii="Arial" w:eastAsia="Arial" w:hAnsi="Arial" w:cs="Arial"/>
          <w:color w:val="000000"/>
          <w:spacing w:val="1"/>
          <w:sz w:val="23"/>
          <w:szCs w:val="23"/>
        </w:rPr>
        <w:t xml:space="preserve"> </w:t>
      </w:r>
      <w:r w:rsidRPr="0035568A">
        <w:rPr>
          <w:rFonts w:ascii="Arial" w:eastAsia="Arial" w:hAnsi="Arial" w:cs="Arial"/>
          <w:color w:val="000000"/>
          <w:sz w:val="23"/>
          <w:szCs w:val="23"/>
        </w:rPr>
        <w:t>of planning o</w:t>
      </w:r>
      <w:r w:rsidRPr="0035568A">
        <w:rPr>
          <w:rFonts w:ascii="Arial" w:eastAsia="Arial" w:hAnsi="Arial" w:cs="Arial"/>
          <w:color w:val="000000"/>
          <w:spacing w:val="-1"/>
          <w:sz w:val="23"/>
          <w:szCs w:val="23"/>
        </w:rPr>
        <w:t>b</w:t>
      </w:r>
      <w:r w:rsidRPr="0035568A">
        <w:rPr>
          <w:rFonts w:ascii="Arial" w:eastAsia="Arial" w:hAnsi="Arial" w:cs="Arial"/>
          <w:color w:val="000000"/>
          <w:sz w:val="23"/>
          <w:szCs w:val="23"/>
        </w:rPr>
        <w:t>li</w:t>
      </w:r>
      <w:r w:rsidRPr="0035568A">
        <w:rPr>
          <w:rFonts w:ascii="Arial" w:eastAsia="Arial" w:hAnsi="Arial" w:cs="Arial"/>
          <w:color w:val="000000"/>
          <w:spacing w:val="2"/>
          <w:sz w:val="23"/>
          <w:szCs w:val="23"/>
        </w:rPr>
        <w:t>g</w:t>
      </w:r>
      <w:r w:rsidRPr="0035568A">
        <w:rPr>
          <w:rFonts w:ascii="Arial" w:eastAsia="Arial" w:hAnsi="Arial" w:cs="Arial"/>
          <w:color w:val="000000"/>
          <w:sz w:val="23"/>
          <w:szCs w:val="23"/>
        </w:rPr>
        <w:t>ati</w:t>
      </w:r>
      <w:r w:rsidRPr="0035568A">
        <w:rPr>
          <w:rFonts w:ascii="Arial" w:eastAsia="Arial" w:hAnsi="Arial" w:cs="Arial"/>
          <w:color w:val="000000"/>
          <w:spacing w:val="-1"/>
          <w:sz w:val="23"/>
          <w:szCs w:val="23"/>
        </w:rPr>
        <w:t>on</w:t>
      </w:r>
      <w:r w:rsidRPr="0035568A">
        <w:rPr>
          <w:rFonts w:ascii="Arial" w:eastAsia="Arial" w:hAnsi="Arial" w:cs="Arial"/>
          <w:color w:val="000000"/>
          <w:sz w:val="23"/>
          <w:szCs w:val="23"/>
        </w:rPr>
        <w:t>s have been disclosed unilaterally by companies.</w:t>
      </w:r>
    </w:p>
    <w:p w14:paraId="2643AFED" w14:textId="593A9DC2" w:rsidR="00022E0E" w:rsidRPr="0035568A" w:rsidRDefault="00022E0E" w:rsidP="001E36F1">
      <w:pPr>
        <w:pStyle w:val="Headin1"/>
        <w:numPr>
          <w:ilvl w:val="1"/>
          <w:numId w:val="31"/>
        </w:numPr>
        <w:ind w:left="431" w:hanging="431"/>
        <w:rPr>
          <w:rFonts w:ascii="Arial" w:hAnsi="Arial" w:cs="Arial"/>
          <w:sz w:val="26"/>
          <w:szCs w:val="26"/>
          <w:lang w:eastAsia="en-GB"/>
        </w:rPr>
      </w:pPr>
      <w:bookmarkStart w:id="7" w:name="_Toc183079150"/>
      <w:r w:rsidRPr="0035568A">
        <w:rPr>
          <w:rFonts w:ascii="Arial" w:hAnsi="Arial" w:cs="Arial"/>
          <w:sz w:val="26"/>
          <w:szCs w:val="26"/>
          <w:lang w:eastAsia="en-GB"/>
        </w:rPr>
        <w:t>Extractive Industries Payments to/</w:t>
      </w:r>
      <w:r w:rsidR="008106EB" w:rsidRPr="0035568A">
        <w:rPr>
          <w:rFonts w:ascii="Arial" w:hAnsi="Arial" w:cs="Arial"/>
          <w:sz w:val="26"/>
          <w:szCs w:val="26"/>
          <w:lang w:eastAsia="en-GB"/>
        </w:rPr>
        <w:t>R</w:t>
      </w:r>
      <w:r w:rsidRPr="0035568A">
        <w:rPr>
          <w:rFonts w:ascii="Arial" w:hAnsi="Arial" w:cs="Arial"/>
          <w:sz w:val="26"/>
          <w:szCs w:val="26"/>
          <w:lang w:eastAsia="en-GB"/>
        </w:rPr>
        <w:t>efunds from UK Government</w:t>
      </w:r>
      <w:bookmarkEnd w:id="7"/>
    </w:p>
    <w:p w14:paraId="542AB3BD" w14:textId="6B0FBE3B" w:rsidR="005A4293" w:rsidRPr="0035568A" w:rsidRDefault="005A4293" w:rsidP="001E36F1">
      <w:pPr>
        <w:autoSpaceDE w:val="0"/>
        <w:autoSpaceDN w:val="0"/>
        <w:adjustRightInd w:val="0"/>
        <w:spacing w:after="180" w:line="240" w:lineRule="auto"/>
        <w:jc w:val="both"/>
        <w:rPr>
          <w:rFonts w:ascii="Arial" w:eastAsia="Calibri" w:hAnsi="Arial" w:cs="Arial"/>
          <w:sz w:val="23"/>
          <w:szCs w:val="23"/>
        </w:rPr>
      </w:pPr>
      <w:r w:rsidRPr="0035568A">
        <w:rPr>
          <w:rFonts w:ascii="Arial" w:eastAsia="Calibri" w:hAnsi="Arial" w:cs="Arial"/>
          <w:sz w:val="23"/>
          <w:szCs w:val="23"/>
        </w:rPr>
        <w:t xml:space="preserve">A total of </w:t>
      </w:r>
      <w:r w:rsidR="007A2360" w:rsidRPr="0035568A">
        <w:rPr>
          <w:rFonts w:ascii="Arial" w:eastAsia="Calibri" w:hAnsi="Arial" w:cs="Arial"/>
          <w:sz w:val="23"/>
          <w:szCs w:val="23"/>
        </w:rPr>
        <w:t>3</w:t>
      </w:r>
      <w:r w:rsidR="007A2360">
        <w:rPr>
          <w:rFonts w:ascii="Arial" w:eastAsia="Calibri" w:hAnsi="Arial" w:cs="Arial"/>
          <w:sz w:val="23"/>
          <w:szCs w:val="23"/>
        </w:rPr>
        <w:t>6</w:t>
      </w:r>
      <w:r w:rsidR="007A2360" w:rsidRPr="0035568A">
        <w:rPr>
          <w:rFonts w:ascii="Arial" w:eastAsia="Calibri" w:hAnsi="Arial" w:cs="Arial"/>
          <w:sz w:val="23"/>
          <w:szCs w:val="23"/>
        </w:rPr>
        <w:t xml:space="preserve"> </w:t>
      </w:r>
      <w:r w:rsidRPr="0035568A">
        <w:rPr>
          <w:rFonts w:ascii="Arial" w:eastAsia="Calibri" w:hAnsi="Arial" w:cs="Arial"/>
          <w:sz w:val="23"/>
          <w:szCs w:val="23"/>
        </w:rPr>
        <w:t xml:space="preserve">oil and gas companies and 13 mining and quarrying companies participated in the reconciliation exercise and formed the basis of the report compilation. This represents high industry participation covering </w:t>
      </w:r>
      <w:r w:rsidR="00D15BD2" w:rsidRPr="0035568A">
        <w:rPr>
          <w:rFonts w:ascii="Arial" w:eastAsia="Calibri" w:hAnsi="Arial" w:cs="Arial"/>
          <w:sz w:val="23"/>
          <w:szCs w:val="23"/>
        </w:rPr>
        <w:t>9</w:t>
      </w:r>
      <w:r w:rsidR="00D15BD2">
        <w:rPr>
          <w:rFonts w:ascii="Arial" w:eastAsia="Calibri" w:hAnsi="Arial" w:cs="Arial"/>
          <w:sz w:val="23"/>
          <w:szCs w:val="23"/>
        </w:rPr>
        <w:t>8</w:t>
      </w:r>
      <w:r w:rsidRPr="0035568A">
        <w:rPr>
          <w:rFonts w:ascii="Arial" w:eastAsia="Calibri" w:hAnsi="Arial" w:cs="Arial"/>
          <w:sz w:val="23"/>
          <w:szCs w:val="23"/>
        </w:rPr>
        <w:t>.</w:t>
      </w:r>
      <w:r w:rsidR="00D15BD2">
        <w:rPr>
          <w:rFonts w:ascii="Arial" w:eastAsia="Calibri" w:hAnsi="Arial" w:cs="Arial"/>
          <w:sz w:val="23"/>
          <w:szCs w:val="23"/>
        </w:rPr>
        <w:t>92</w:t>
      </w:r>
      <w:r w:rsidRPr="0035568A">
        <w:rPr>
          <w:rFonts w:ascii="Arial" w:eastAsia="Calibri" w:hAnsi="Arial" w:cs="Arial"/>
          <w:sz w:val="23"/>
          <w:szCs w:val="23"/>
        </w:rPr>
        <w:t>% of potential in-scope payments</w:t>
      </w:r>
      <w:r w:rsidRPr="0035568A">
        <w:rPr>
          <w:rFonts w:ascii="Arial" w:eastAsia="Arial" w:hAnsi="Arial" w:cs="Arial"/>
          <w:color w:val="000000"/>
          <w:sz w:val="23"/>
          <w:szCs w:val="23"/>
        </w:rPr>
        <w:t xml:space="preserve"> as reported by government agencies</w:t>
      </w:r>
      <w:r w:rsidRPr="0035568A">
        <w:rPr>
          <w:rFonts w:ascii="Arial" w:eastAsia="Calibri" w:hAnsi="Arial" w:cs="Arial"/>
          <w:sz w:val="23"/>
          <w:szCs w:val="23"/>
        </w:rPr>
        <w:t xml:space="preserve">. The MSG is grateful to all those companies that participated in the process this year. This report incorporates information collected up to </w:t>
      </w:r>
      <w:r w:rsidR="00397899">
        <w:rPr>
          <w:rFonts w:ascii="Arial" w:eastAsia="Calibri" w:hAnsi="Arial" w:cs="Arial"/>
          <w:sz w:val="23"/>
          <w:szCs w:val="23"/>
        </w:rPr>
        <w:t>20</w:t>
      </w:r>
      <w:r w:rsidR="00397899" w:rsidRPr="0035568A">
        <w:rPr>
          <w:rFonts w:ascii="Arial" w:eastAsia="Calibri" w:hAnsi="Arial" w:cs="Arial"/>
          <w:sz w:val="23"/>
          <w:szCs w:val="23"/>
        </w:rPr>
        <w:t xml:space="preserve"> </w:t>
      </w:r>
      <w:r w:rsidR="00397899">
        <w:rPr>
          <w:rFonts w:ascii="Arial" w:eastAsia="Calibri" w:hAnsi="Arial" w:cs="Arial"/>
          <w:sz w:val="23"/>
          <w:szCs w:val="23"/>
        </w:rPr>
        <w:t>November</w:t>
      </w:r>
      <w:r w:rsidR="00397899" w:rsidRPr="0035568A">
        <w:rPr>
          <w:rFonts w:ascii="Arial" w:eastAsia="Calibri" w:hAnsi="Arial" w:cs="Arial"/>
          <w:sz w:val="23"/>
          <w:szCs w:val="23"/>
        </w:rPr>
        <w:t xml:space="preserve"> </w:t>
      </w:r>
      <w:r w:rsidRPr="0035568A">
        <w:rPr>
          <w:rFonts w:ascii="Arial" w:eastAsia="Calibri" w:hAnsi="Arial" w:cs="Arial"/>
          <w:sz w:val="23"/>
          <w:szCs w:val="23"/>
        </w:rPr>
        <w:t>2024</w:t>
      </w:r>
      <w:r w:rsidR="00166B4C" w:rsidRPr="0035568A">
        <w:rPr>
          <w:rFonts w:ascii="Arial" w:eastAsia="Calibri" w:hAnsi="Arial" w:cs="Arial"/>
          <w:sz w:val="23"/>
          <w:szCs w:val="23"/>
        </w:rPr>
        <w:t>.</w:t>
      </w:r>
    </w:p>
    <w:p w14:paraId="10C78345" w14:textId="66913068" w:rsidR="00BB691D" w:rsidRPr="0035568A" w:rsidRDefault="00022E0E" w:rsidP="00166B4C">
      <w:pPr>
        <w:autoSpaceDE w:val="0"/>
        <w:autoSpaceDN w:val="0"/>
        <w:adjustRightInd w:val="0"/>
        <w:spacing w:after="180" w:line="240" w:lineRule="auto"/>
        <w:jc w:val="both"/>
        <w:rPr>
          <w:rFonts w:ascii="Arial" w:eastAsia="Calibri" w:hAnsi="Arial" w:cs="Arial"/>
          <w:color w:val="000000"/>
          <w:sz w:val="23"/>
          <w:szCs w:val="23"/>
        </w:rPr>
      </w:pPr>
      <w:r w:rsidRPr="0035568A">
        <w:rPr>
          <w:rFonts w:ascii="Arial" w:eastAsia="Calibri" w:hAnsi="Arial" w:cs="Arial"/>
          <w:color w:val="000000"/>
          <w:sz w:val="23"/>
          <w:szCs w:val="23"/>
        </w:rPr>
        <w:t>The table below summarise</w:t>
      </w:r>
      <w:r w:rsidR="005A4293" w:rsidRPr="0035568A">
        <w:rPr>
          <w:rFonts w:ascii="Arial" w:eastAsia="Calibri" w:hAnsi="Arial" w:cs="Arial"/>
          <w:color w:val="000000"/>
          <w:sz w:val="23"/>
          <w:szCs w:val="23"/>
        </w:rPr>
        <w:t>s</w:t>
      </w:r>
      <w:r w:rsidRPr="0035568A">
        <w:rPr>
          <w:rFonts w:ascii="Arial" w:eastAsia="Calibri" w:hAnsi="Arial" w:cs="Arial"/>
          <w:color w:val="000000"/>
          <w:sz w:val="23"/>
          <w:szCs w:val="23"/>
        </w:rPr>
        <w:t xml:space="preserve"> the reconciled extractive industries payments to and </w:t>
      </w:r>
      <w:r w:rsidR="008106EB" w:rsidRPr="0035568A">
        <w:rPr>
          <w:rFonts w:ascii="Arial" w:eastAsia="Calibri" w:hAnsi="Arial" w:cs="Arial"/>
          <w:color w:val="000000"/>
          <w:sz w:val="23"/>
          <w:szCs w:val="23"/>
        </w:rPr>
        <w:t>refunds from</w:t>
      </w:r>
      <w:r w:rsidRPr="0035568A">
        <w:rPr>
          <w:rFonts w:ascii="Arial" w:eastAsia="Calibri" w:hAnsi="Arial" w:cs="Arial"/>
          <w:color w:val="000000"/>
          <w:sz w:val="23"/>
          <w:szCs w:val="23"/>
        </w:rPr>
        <w:t xml:space="preserve"> UK government agencies in </w:t>
      </w:r>
      <w:r w:rsidR="00190058" w:rsidRPr="0035568A">
        <w:rPr>
          <w:rFonts w:ascii="Arial" w:eastAsia="Calibri" w:hAnsi="Arial" w:cs="Arial"/>
          <w:color w:val="000000"/>
          <w:sz w:val="23"/>
          <w:szCs w:val="23"/>
        </w:rPr>
        <w:t>2023</w:t>
      </w:r>
      <w:r w:rsidR="00F728F9" w:rsidRPr="0035568A">
        <w:rPr>
          <w:rFonts w:ascii="Arial" w:eastAsia="Calibri" w:hAnsi="Arial" w:cs="Arial"/>
          <w:color w:val="000000"/>
          <w:sz w:val="23"/>
          <w:szCs w:val="23"/>
        </w:rPr>
        <w:t xml:space="preserve"> </w:t>
      </w:r>
      <w:r w:rsidR="00166B4C" w:rsidRPr="0035568A">
        <w:rPr>
          <w:rFonts w:ascii="Arial" w:eastAsia="Calibri" w:hAnsi="Arial" w:cs="Arial"/>
          <w:color w:val="000000"/>
          <w:sz w:val="23"/>
          <w:szCs w:val="23"/>
        </w:rPr>
        <w:t xml:space="preserve">and provides </w:t>
      </w:r>
      <w:r w:rsidR="00F728F9" w:rsidRPr="0035568A">
        <w:rPr>
          <w:rFonts w:ascii="Arial" w:eastAsia="Calibri" w:hAnsi="Arial" w:cs="Arial"/>
          <w:color w:val="000000"/>
          <w:sz w:val="23"/>
          <w:szCs w:val="23"/>
        </w:rPr>
        <w:t>a breakdown of payments and refunds by sector and government agency</w:t>
      </w:r>
      <w:r w:rsidRPr="0035568A">
        <w:rPr>
          <w:rFonts w:ascii="Arial" w:eastAsia="Calibri" w:hAnsi="Arial" w:cs="Arial"/>
          <w:color w:val="000000"/>
          <w:sz w:val="23"/>
          <w:szCs w:val="23"/>
        </w:rPr>
        <w:t>.</w:t>
      </w:r>
      <w:r w:rsidR="00FC67E6" w:rsidRPr="0035568A">
        <w:rPr>
          <w:rFonts w:ascii="Arial" w:eastAsia="Calibri" w:hAnsi="Arial" w:cs="Arial"/>
          <w:color w:val="000000"/>
          <w:sz w:val="23"/>
          <w:szCs w:val="23"/>
        </w:rPr>
        <w:t xml:space="preserve"> All</w:t>
      </w:r>
      <w:r w:rsidRPr="0035568A">
        <w:rPr>
          <w:rFonts w:ascii="Arial" w:eastAsia="Calibri" w:hAnsi="Arial" w:cs="Arial"/>
          <w:color w:val="000000"/>
          <w:sz w:val="23"/>
          <w:szCs w:val="23"/>
        </w:rPr>
        <w:t xml:space="preserve"> material </w:t>
      </w:r>
      <w:r w:rsidR="00167709" w:rsidRPr="0035568A">
        <w:rPr>
          <w:rFonts w:ascii="Arial" w:eastAsia="Calibri" w:hAnsi="Arial" w:cs="Arial"/>
          <w:color w:val="000000"/>
          <w:sz w:val="23"/>
          <w:szCs w:val="23"/>
        </w:rPr>
        <w:t xml:space="preserve">identified </w:t>
      </w:r>
      <w:r w:rsidRPr="0035568A">
        <w:rPr>
          <w:rFonts w:ascii="Arial" w:eastAsia="Calibri" w:hAnsi="Arial" w:cs="Arial"/>
          <w:color w:val="000000"/>
          <w:sz w:val="23"/>
          <w:szCs w:val="23"/>
        </w:rPr>
        <w:t>differences have been reconciled.</w:t>
      </w:r>
    </w:p>
    <w:p w14:paraId="3058B816" w14:textId="3BD7D896" w:rsidR="007B0E20" w:rsidRPr="0035568A" w:rsidRDefault="007B0E20" w:rsidP="001E36F1">
      <w:pPr>
        <w:pStyle w:val="Caption"/>
        <w:jc w:val="both"/>
        <w:rPr>
          <w:rFonts w:asciiTheme="minorBidi" w:eastAsia="Calibri" w:hAnsiTheme="minorBidi"/>
          <w:color w:val="auto"/>
        </w:rPr>
      </w:pPr>
      <w:bookmarkStart w:id="8" w:name="_Toc177118481"/>
      <w:r w:rsidRPr="0035568A">
        <w:rPr>
          <w:rFonts w:asciiTheme="minorBidi" w:eastAsia="Calibri" w:hAnsiTheme="minorBidi"/>
          <w:iCs/>
          <w:smallCaps w:val="0"/>
          <w:color w:val="auto"/>
          <w:spacing w:val="0"/>
          <w:sz w:val="22"/>
          <w:szCs w:val="22"/>
          <w:lang w:eastAsia="x-none"/>
        </w:rPr>
        <w:t xml:space="preserve">Table </w:t>
      </w:r>
      <w:r w:rsidRPr="0035568A">
        <w:rPr>
          <w:rFonts w:asciiTheme="minorBidi" w:hAnsiTheme="minorBidi"/>
          <w:color w:val="auto"/>
        </w:rPr>
        <w:fldChar w:fldCharType="begin"/>
      </w:r>
      <w:r w:rsidRPr="0035568A">
        <w:rPr>
          <w:rFonts w:asciiTheme="minorBidi" w:hAnsiTheme="minorBidi"/>
          <w:color w:val="auto"/>
        </w:rPr>
        <w:instrText xml:space="preserve"> SEQ Table \* ARABIC </w:instrText>
      </w:r>
      <w:r w:rsidRPr="0035568A">
        <w:rPr>
          <w:rFonts w:asciiTheme="minorBidi" w:hAnsiTheme="minorBidi"/>
          <w:color w:val="auto"/>
        </w:rPr>
        <w:fldChar w:fldCharType="separate"/>
      </w:r>
      <w:r w:rsidR="009A3FF3">
        <w:rPr>
          <w:rFonts w:asciiTheme="minorBidi" w:hAnsiTheme="minorBidi"/>
          <w:noProof/>
          <w:color w:val="auto"/>
        </w:rPr>
        <w:t>1</w:t>
      </w:r>
      <w:r w:rsidRPr="0035568A">
        <w:rPr>
          <w:rFonts w:asciiTheme="minorBidi" w:hAnsiTheme="minorBidi"/>
          <w:color w:val="auto"/>
        </w:rPr>
        <w:fldChar w:fldCharType="end"/>
      </w:r>
      <w:r w:rsidRPr="0035568A">
        <w:rPr>
          <w:rFonts w:asciiTheme="minorBidi" w:hAnsiTheme="minorBidi"/>
          <w:color w:val="auto"/>
        </w:rPr>
        <w:t xml:space="preserve">: </w:t>
      </w:r>
      <w:r w:rsidRPr="0035568A">
        <w:rPr>
          <w:rFonts w:asciiTheme="minorBidi" w:eastAsia="Calibri" w:hAnsiTheme="minorBidi"/>
          <w:iCs/>
          <w:smallCaps w:val="0"/>
          <w:color w:val="auto"/>
          <w:spacing w:val="0"/>
          <w:sz w:val="22"/>
          <w:szCs w:val="22"/>
          <w:lang w:eastAsia="x-none"/>
        </w:rPr>
        <w:t xml:space="preserve">Detailed Extractive Industries Payments to/Refunds from UK Government in </w:t>
      </w:r>
      <w:r w:rsidR="00190058" w:rsidRPr="0035568A">
        <w:rPr>
          <w:rFonts w:asciiTheme="minorBidi" w:eastAsia="Calibri" w:hAnsiTheme="minorBidi"/>
          <w:iCs/>
          <w:smallCaps w:val="0"/>
          <w:color w:val="auto"/>
          <w:spacing w:val="0"/>
          <w:sz w:val="22"/>
          <w:szCs w:val="22"/>
          <w:lang w:eastAsia="x-none"/>
        </w:rPr>
        <w:t>2023</w:t>
      </w:r>
      <w:r w:rsidRPr="0035568A">
        <w:rPr>
          <w:rFonts w:asciiTheme="minorBidi" w:eastAsia="Calibri" w:hAnsiTheme="minorBidi"/>
          <w:iCs/>
          <w:color w:val="auto"/>
          <w:vertAlign w:val="superscript"/>
          <w:lang w:eastAsia="x-none"/>
        </w:rPr>
        <w:footnoteReference w:id="2"/>
      </w:r>
      <w:bookmarkEnd w:id="8"/>
    </w:p>
    <w:p w14:paraId="40324F55" w14:textId="6960836F" w:rsidR="004A5600" w:rsidRPr="0035568A" w:rsidRDefault="00022E0E" w:rsidP="00BC32E4">
      <w:pPr>
        <w:autoSpaceDE w:val="0"/>
        <w:autoSpaceDN w:val="0"/>
        <w:adjustRightInd w:val="0"/>
        <w:spacing w:after="180" w:line="240" w:lineRule="auto"/>
        <w:jc w:val="both"/>
        <w:rPr>
          <w:rFonts w:ascii="Arial" w:eastAsia="Calibri" w:hAnsi="Arial" w:cs="Arial"/>
          <w:color w:val="000000"/>
          <w:sz w:val="23"/>
          <w:szCs w:val="23"/>
        </w:rPr>
        <w:sectPr w:rsidR="004A5600" w:rsidRPr="0035568A" w:rsidSect="00A255F5">
          <w:headerReference w:type="default" r:id="rId17"/>
          <w:footerReference w:type="default" r:id="rId18"/>
          <w:footnotePr>
            <w:numRestart w:val="eachPage"/>
          </w:footnotePr>
          <w:pgSz w:w="11906" w:h="16838"/>
          <w:pgMar w:top="1440" w:right="1440" w:bottom="1440" w:left="1440" w:header="709" w:footer="709" w:gutter="0"/>
          <w:cols w:space="708"/>
          <w:docGrid w:linePitch="360"/>
        </w:sectPr>
      </w:pPr>
      <w:r w:rsidRPr="0035568A">
        <w:rPr>
          <w:rFonts w:ascii="Arial" w:eastAsia="Calibri" w:hAnsi="Arial" w:cs="Arial"/>
          <w:color w:val="000000"/>
          <w:sz w:val="23"/>
          <w:szCs w:val="23"/>
        </w:rPr>
        <w:t xml:space="preserve">This table provides an overview of the payments and refunds reported by government agencies in </w:t>
      </w:r>
      <w:r w:rsidR="00435F4E" w:rsidRPr="0035568A">
        <w:rPr>
          <w:rFonts w:ascii="Arial" w:eastAsia="Calibri" w:hAnsi="Arial" w:cs="Arial"/>
          <w:color w:val="000000"/>
          <w:sz w:val="23"/>
          <w:szCs w:val="23"/>
        </w:rPr>
        <w:t>2023</w:t>
      </w:r>
      <w:r w:rsidRPr="0035568A">
        <w:rPr>
          <w:rFonts w:ascii="Arial" w:eastAsia="Calibri" w:hAnsi="Arial" w:cs="Arial"/>
          <w:color w:val="000000"/>
          <w:sz w:val="23"/>
          <w:szCs w:val="23"/>
        </w:rPr>
        <w:t xml:space="preserve">, </w:t>
      </w:r>
      <w:r w:rsidR="00717A2F" w:rsidRPr="0035568A">
        <w:rPr>
          <w:rFonts w:ascii="Arial" w:eastAsia="Calibri" w:hAnsi="Arial" w:cs="Arial"/>
          <w:color w:val="000000"/>
          <w:sz w:val="23"/>
          <w:szCs w:val="23"/>
        </w:rPr>
        <w:t>showing</w:t>
      </w:r>
      <w:r w:rsidRPr="0035568A">
        <w:rPr>
          <w:rFonts w:ascii="Arial" w:eastAsia="Calibri" w:hAnsi="Arial" w:cs="Arial"/>
          <w:color w:val="000000"/>
          <w:sz w:val="23"/>
          <w:szCs w:val="23"/>
        </w:rPr>
        <w:t xml:space="preserve"> a net total £</w:t>
      </w:r>
      <w:r w:rsidR="00736B17" w:rsidRPr="0035568A">
        <w:rPr>
          <w:rFonts w:ascii="Arial" w:eastAsia="Calibri" w:hAnsi="Arial" w:cs="Arial"/>
          <w:color w:val="000000"/>
          <w:sz w:val="23"/>
          <w:szCs w:val="23"/>
        </w:rPr>
        <w:t>7</w:t>
      </w:r>
      <w:r w:rsidR="00DF6F4D" w:rsidRPr="0035568A">
        <w:rPr>
          <w:rFonts w:ascii="Arial" w:eastAsia="Calibri" w:hAnsi="Arial" w:cs="Arial"/>
          <w:color w:val="000000"/>
          <w:sz w:val="23"/>
          <w:szCs w:val="23"/>
        </w:rPr>
        <w:t>.</w:t>
      </w:r>
      <w:r w:rsidR="00E149DC" w:rsidRPr="0035568A">
        <w:rPr>
          <w:rFonts w:ascii="Arial" w:eastAsia="Calibri" w:hAnsi="Arial" w:cs="Arial"/>
          <w:color w:val="000000"/>
          <w:sz w:val="23"/>
          <w:szCs w:val="23"/>
        </w:rPr>
        <w:t xml:space="preserve">64 </w:t>
      </w:r>
      <w:r w:rsidR="003C09A5" w:rsidRPr="0035568A">
        <w:rPr>
          <w:rFonts w:ascii="Arial" w:eastAsia="Calibri" w:hAnsi="Arial" w:cs="Arial"/>
          <w:color w:val="000000"/>
          <w:sz w:val="23"/>
          <w:szCs w:val="23"/>
        </w:rPr>
        <w:t>bi</w:t>
      </w:r>
      <w:r w:rsidR="00E75DA7" w:rsidRPr="0035568A">
        <w:rPr>
          <w:rFonts w:ascii="Arial" w:eastAsia="Calibri" w:hAnsi="Arial" w:cs="Arial"/>
          <w:color w:val="000000"/>
          <w:sz w:val="23"/>
          <w:szCs w:val="23"/>
        </w:rPr>
        <w:t>llion</w:t>
      </w:r>
      <w:r w:rsidR="00EC58A3" w:rsidRPr="0035568A">
        <w:rPr>
          <w:rFonts w:ascii="Arial" w:eastAsia="Calibri" w:hAnsi="Arial" w:cs="Arial"/>
          <w:color w:val="000000"/>
          <w:sz w:val="23"/>
          <w:szCs w:val="23"/>
        </w:rPr>
        <w:t>, made up of tax flows of over £</w:t>
      </w:r>
      <w:r w:rsidR="00352343" w:rsidRPr="0035568A">
        <w:rPr>
          <w:rFonts w:ascii="Arial" w:eastAsia="Calibri" w:hAnsi="Arial" w:cs="Arial"/>
          <w:color w:val="000000"/>
          <w:sz w:val="23"/>
          <w:szCs w:val="23"/>
        </w:rPr>
        <w:t>7</w:t>
      </w:r>
      <w:r w:rsidR="00EC58A3" w:rsidRPr="0035568A">
        <w:rPr>
          <w:rFonts w:ascii="Arial" w:eastAsia="Calibri" w:hAnsi="Arial" w:cs="Arial"/>
          <w:color w:val="000000"/>
          <w:sz w:val="23"/>
          <w:szCs w:val="23"/>
        </w:rPr>
        <w:t>.</w:t>
      </w:r>
      <w:r w:rsidR="00734352" w:rsidRPr="0035568A">
        <w:rPr>
          <w:rFonts w:ascii="Arial" w:eastAsia="Calibri" w:hAnsi="Arial" w:cs="Arial"/>
          <w:color w:val="000000"/>
          <w:sz w:val="23"/>
          <w:szCs w:val="23"/>
        </w:rPr>
        <w:t>99</w:t>
      </w:r>
      <w:r w:rsidR="00734352" w:rsidRPr="0035568A">
        <w:rPr>
          <w:b/>
          <w:bCs/>
          <w:iCs/>
          <w:sz w:val="24"/>
          <w:szCs w:val="24"/>
        </w:rPr>
        <w:t> </w:t>
      </w:r>
      <w:r w:rsidR="008200A2" w:rsidRPr="0035568A">
        <w:rPr>
          <w:rFonts w:ascii="Arial" w:eastAsia="Calibri" w:hAnsi="Arial" w:cs="Arial"/>
          <w:color w:val="000000"/>
          <w:sz w:val="23"/>
          <w:szCs w:val="23"/>
        </w:rPr>
        <w:t>billion</w:t>
      </w:r>
      <w:r w:rsidR="00EC58A3" w:rsidRPr="0035568A">
        <w:rPr>
          <w:rFonts w:ascii="Arial" w:eastAsia="Calibri" w:hAnsi="Arial" w:cs="Arial"/>
          <w:color w:val="000000"/>
          <w:sz w:val="23"/>
          <w:szCs w:val="23"/>
        </w:rPr>
        <w:t xml:space="preserve"> offset by repayments of</w:t>
      </w:r>
      <w:r w:rsidR="00071802" w:rsidRPr="0035568A">
        <w:rPr>
          <w:rFonts w:ascii="Arial" w:eastAsia="Calibri" w:hAnsi="Arial" w:cs="Arial"/>
          <w:color w:val="000000"/>
          <w:sz w:val="23"/>
          <w:szCs w:val="23"/>
        </w:rPr>
        <w:t xml:space="preserve"> £0.</w:t>
      </w:r>
      <w:r w:rsidR="00417A0E" w:rsidRPr="0035568A">
        <w:rPr>
          <w:rFonts w:ascii="Arial" w:eastAsia="Calibri" w:hAnsi="Arial" w:cs="Arial"/>
          <w:color w:val="000000"/>
          <w:sz w:val="23"/>
          <w:szCs w:val="23"/>
        </w:rPr>
        <w:t xml:space="preserve">35 </w:t>
      </w:r>
      <w:r w:rsidR="00071802" w:rsidRPr="0035568A">
        <w:rPr>
          <w:rFonts w:ascii="Arial" w:eastAsia="Calibri" w:hAnsi="Arial" w:cs="Arial"/>
          <w:color w:val="000000"/>
          <w:sz w:val="23"/>
          <w:szCs w:val="23"/>
        </w:rPr>
        <w:t>billion</w:t>
      </w:r>
      <w:r w:rsidR="00E75DA7" w:rsidRPr="0035568A">
        <w:rPr>
          <w:rFonts w:ascii="Arial" w:eastAsia="Calibri" w:hAnsi="Arial" w:cs="Arial"/>
          <w:color w:val="000000"/>
          <w:sz w:val="23"/>
          <w:szCs w:val="23"/>
        </w:rPr>
        <w:t>.</w:t>
      </w:r>
      <w:r w:rsidRPr="0035568A">
        <w:rPr>
          <w:rFonts w:ascii="Arial" w:eastAsia="Calibri" w:hAnsi="Arial" w:cs="Arial"/>
          <w:color w:val="000000"/>
          <w:sz w:val="23"/>
          <w:szCs w:val="23"/>
        </w:rPr>
        <w:t xml:space="preserve"> Most of these transactions cover </w:t>
      </w:r>
      <w:r w:rsidR="00825C2E" w:rsidRPr="0035568A">
        <w:rPr>
          <w:rFonts w:ascii="Arial" w:eastAsia="Calibri" w:hAnsi="Arial" w:cs="Arial"/>
          <w:color w:val="000000"/>
          <w:sz w:val="23"/>
          <w:szCs w:val="23"/>
        </w:rPr>
        <w:t>RFCT</w:t>
      </w:r>
      <w:r w:rsidR="00071802" w:rsidRPr="0035568A">
        <w:rPr>
          <w:rFonts w:ascii="Arial" w:eastAsia="Calibri" w:hAnsi="Arial" w:cs="Arial"/>
          <w:color w:val="000000"/>
          <w:sz w:val="23"/>
          <w:szCs w:val="23"/>
        </w:rPr>
        <w:t>/</w:t>
      </w:r>
      <w:r w:rsidR="00825C2E" w:rsidRPr="0035568A">
        <w:rPr>
          <w:rFonts w:ascii="Arial" w:eastAsia="Calibri" w:hAnsi="Arial" w:cs="Arial"/>
          <w:color w:val="000000"/>
          <w:sz w:val="23"/>
          <w:szCs w:val="23"/>
        </w:rPr>
        <w:t xml:space="preserve">SC and </w:t>
      </w:r>
      <w:r w:rsidR="00357B67" w:rsidRPr="0035568A">
        <w:rPr>
          <w:rFonts w:ascii="Arial" w:eastAsia="Calibri" w:hAnsi="Arial" w:cs="Arial"/>
          <w:color w:val="000000"/>
          <w:sz w:val="23"/>
          <w:szCs w:val="23"/>
        </w:rPr>
        <w:t xml:space="preserve">EPL </w:t>
      </w:r>
      <w:r w:rsidRPr="0035568A">
        <w:rPr>
          <w:rFonts w:ascii="Arial" w:eastAsia="Calibri" w:hAnsi="Arial" w:cs="Arial"/>
          <w:color w:val="000000"/>
          <w:sz w:val="23"/>
          <w:szCs w:val="23"/>
        </w:rPr>
        <w:t xml:space="preserve">payments to HMRC. </w:t>
      </w:r>
      <w:r w:rsidR="002C006F" w:rsidRPr="0035568A">
        <w:rPr>
          <w:rFonts w:ascii="Arial" w:eastAsia="Calibri" w:hAnsi="Arial" w:cs="Arial"/>
          <w:color w:val="000000"/>
          <w:sz w:val="23"/>
          <w:szCs w:val="23"/>
        </w:rPr>
        <w:t xml:space="preserve">A </w:t>
      </w:r>
      <w:r w:rsidR="009F17FA" w:rsidRPr="0035568A">
        <w:rPr>
          <w:rFonts w:ascii="Arial" w:eastAsia="Calibri" w:hAnsi="Arial" w:cs="Arial"/>
          <w:color w:val="000000"/>
          <w:sz w:val="23"/>
          <w:szCs w:val="23"/>
        </w:rPr>
        <w:t xml:space="preserve">net </w:t>
      </w:r>
      <w:r w:rsidR="002C006F" w:rsidRPr="0035568A">
        <w:rPr>
          <w:rFonts w:ascii="Arial" w:eastAsia="Calibri" w:hAnsi="Arial" w:cs="Arial"/>
          <w:color w:val="000000"/>
          <w:sz w:val="23"/>
          <w:szCs w:val="23"/>
        </w:rPr>
        <w:t>total of £70.</w:t>
      </w:r>
      <w:r w:rsidR="00667B6C">
        <w:rPr>
          <w:rFonts w:ascii="Arial" w:eastAsia="Calibri" w:hAnsi="Arial" w:cs="Arial"/>
          <w:color w:val="000000"/>
          <w:sz w:val="23"/>
          <w:szCs w:val="23"/>
        </w:rPr>
        <w:t>53</w:t>
      </w:r>
      <w:r w:rsidR="00667B6C" w:rsidRPr="0035568A">
        <w:rPr>
          <w:rFonts w:ascii="Arial" w:eastAsia="Calibri" w:hAnsi="Arial" w:cs="Arial"/>
          <w:color w:val="000000"/>
          <w:sz w:val="23"/>
          <w:szCs w:val="23"/>
        </w:rPr>
        <w:t xml:space="preserve"> </w:t>
      </w:r>
      <w:r w:rsidR="002C006F" w:rsidRPr="0035568A">
        <w:rPr>
          <w:rFonts w:ascii="Arial" w:eastAsia="Calibri" w:hAnsi="Arial" w:cs="Arial"/>
          <w:color w:val="000000"/>
          <w:sz w:val="23"/>
          <w:szCs w:val="23"/>
        </w:rPr>
        <w:t>million was reported by government agencies in respect of out-of-scope revenues, non-participating and out-of-scope companies</w:t>
      </w:r>
      <w:r w:rsidR="00202811" w:rsidRPr="0035568A">
        <w:rPr>
          <w:rFonts w:ascii="Arial" w:eastAsia="Calibri" w:hAnsi="Arial" w:cs="Arial"/>
          <w:color w:val="000000"/>
          <w:sz w:val="23"/>
          <w:szCs w:val="23"/>
        </w:rPr>
        <w:t xml:space="preserve"> and th</w:t>
      </w:r>
      <w:r w:rsidR="000439FD" w:rsidRPr="0035568A">
        <w:rPr>
          <w:rFonts w:ascii="Arial" w:eastAsia="Calibri" w:hAnsi="Arial" w:cs="Arial"/>
          <w:color w:val="000000"/>
          <w:sz w:val="23"/>
          <w:szCs w:val="23"/>
        </w:rPr>
        <w:t>i</w:t>
      </w:r>
      <w:r w:rsidR="00202811" w:rsidRPr="0035568A">
        <w:rPr>
          <w:rFonts w:ascii="Arial" w:eastAsia="Calibri" w:hAnsi="Arial" w:cs="Arial"/>
          <w:color w:val="000000"/>
          <w:sz w:val="23"/>
          <w:szCs w:val="23"/>
        </w:rPr>
        <w:t xml:space="preserve">s </w:t>
      </w:r>
      <w:r w:rsidR="000439FD" w:rsidRPr="0035568A">
        <w:rPr>
          <w:rFonts w:ascii="Arial" w:eastAsia="Calibri" w:hAnsi="Arial" w:cs="Arial"/>
          <w:color w:val="000000"/>
          <w:sz w:val="23"/>
          <w:szCs w:val="23"/>
        </w:rPr>
        <w:t>is</w:t>
      </w:r>
      <w:r w:rsidR="00202811" w:rsidRPr="0035568A">
        <w:rPr>
          <w:rFonts w:ascii="Arial" w:eastAsia="Calibri" w:hAnsi="Arial" w:cs="Arial"/>
          <w:color w:val="000000"/>
          <w:sz w:val="23"/>
          <w:szCs w:val="23"/>
        </w:rPr>
        <w:t xml:space="preserve"> subtracted from the overall total</w:t>
      </w:r>
      <w:r w:rsidRPr="0035568A">
        <w:rPr>
          <w:rFonts w:ascii="Arial" w:eastAsia="Calibri" w:hAnsi="Arial" w:cs="Arial"/>
          <w:color w:val="000000"/>
          <w:sz w:val="23"/>
          <w:szCs w:val="23"/>
        </w:rPr>
        <w:t xml:space="preserve">, </w:t>
      </w:r>
      <w:r w:rsidR="005B3A9D" w:rsidRPr="0035568A">
        <w:rPr>
          <w:rFonts w:ascii="Arial" w:eastAsia="Calibri" w:hAnsi="Arial" w:cs="Arial"/>
          <w:color w:val="000000"/>
          <w:sz w:val="23"/>
          <w:szCs w:val="23"/>
        </w:rPr>
        <w:t>resulting in a net total of £</w:t>
      </w:r>
      <w:r w:rsidR="00952F23" w:rsidRPr="0035568A">
        <w:rPr>
          <w:rFonts w:ascii="Arial" w:eastAsia="Calibri" w:hAnsi="Arial" w:cs="Arial"/>
          <w:color w:val="000000"/>
          <w:sz w:val="23"/>
          <w:szCs w:val="23"/>
        </w:rPr>
        <w:t>7</w:t>
      </w:r>
      <w:r w:rsidR="005B3A9D" w:rsidRPr="0035568A">
        <w:rPr>
          <w:rFonts w:ascii="Arial" w:eastAsia="Calibri" w:hAnsi="Arial" w:cs="Arial"/>
          <w:color w:val="000000"/>
          <w:sz w:val="23"/>
          <w:szCs w:val="23"/>
        </w:rPr>
        <w:t>.</w:t>
      </w:r>
      <w:r w:rsidR="006638AA" w:rsidRPr="0035568A">
        <w:rPr>
          <w:rFonts w:ascii="Arial" w:eastAsia="Calibri" w:hAnsi="Arial" w:cs="Arial"/>
          <w:color w:val="000000"/>
          <w:sz w:val="23"/>
          <w:szCs w:val="23"/>
        </w:rPr>
        <w:t xml:space="preserve">57 </w:t>
      </w:r>
      <w:r w:rsidR="005B3A9D" w:rsidRPr="0035568A">
        <w:rPr>
          <w:rFonts w:ascii="Arial" w:eastAsia="Calibri" w:hAnsi="Arial" w:cs="Arial"/>
          <w:color w:val="000000"/>
          <w:sz w:val="23"/>
          <w:szCs w:val="23"/>
        </w:rPr>
        <w:t>billion reported by government and almost the same cumulative figure reported by in-scope companies</w:t>
      </w:r>
      <w:r w:rsidRPr="0035568A">
        <w:rPr>
          <w:rFonts w:ascii="Arial" w:eastAsia="Calibri" w:hAnsi="Arial" w:cs="Arial"/>
          <w:color w:val="000000"/>
          <w:sz w:val="23"/>
          <w:szCs w:val="23"/>
        </w:rPr>
        <w:t xml:space="preserve">. </w:t>
      </w:r>
      <w:r w:rsidR="006D6495" w:rsidRPr="0035568A">
        <w:rPr>
          <w:rFonts w:ascii="Arial" w:eastAsia="Calibri" w:hAnsi="Arial" w:cs="Arial"/>
          <w:color w:val="000000"/>
          <w:sz w:val="23"/>
          <w:szCs w:val="23"/>
        </w:rPr>
        <w:t>The final reconciliation shows a</w:t>
      </w:r>
      <w:r w:rsidR="00B83A17" w:rsidRPr="0035568A">
        <w:rPr>
          <w:rFonts w:ascii="Arial" w:eastAsia="Calibri" w:hAnsi="Arial" w:cs="Arial"/>
          <w:color w:val="000000"/>
          <w:sz w:val="23"/>
          <w:szCs w:val="23"/>
        </w:rPr>
        <w:t xml:space="preserve"> slight discrepancy</w:t>
      </w:r>
      <w:r w:rsidR="006D6495" w:rsidRPr="0035568A">
        <w:rPr>
          <w:rFonts w:ascii="Arial" w:eastAsia="Calibri" w:hAnsi="Arial" w:cs="Arial"/>
          <w:color w:val="000000"/>
          <w:sz w:val="23"/>
          <w:szCs w:val="23"/>
        </w:rPr>
        <w:t xml:space="preserve"> of £</w:t>
      </w:r>
      <w:r w:rsidR="004304E6">
        <w:rPr>
          <w:rFonts w:ascii="Arial" w:eastAsia="Calibri" w:hAnsi="Arial" w:cs="Arial"/>
          <w:color w:val="000000"/>
          <w:sz w:val="23"/>
          <w:szCs w:val="23"/>
        </w:rPr>
        <w:t>215</w:t>
      </w:r>
      <w:r w:rsidR="007D3E05" w:rsidRPr="0035568A">
        <w:rPr>
          <w:rFonts w:ascii="Arial" w:eastAsia="Calibri" w:hAnsi="Arial" w:cs="Arial"/>
          <w:color w:val="000000"/>
          <w:sz w:val="23"/>
          <w:szCs w:val="23"/>
        </w:rPr>
        <w:t xml:space="preserve">, which represents </w:t>
      </w:r>
      <w:r w:rsidR="00BC32E4" w:rsidRPr="0035568A">
        <w:rPr>
          <w:rFonts w:ascii="Arial" w:eastAsia="Calibri" w:hAnsi="Arial" w:cs="Arial"/>
          <w:color w:val="000000"/>
          <w:sz w:val="23"/>
          <w:szCs w:val="23"/>
        </w:rPr>
        <w:t>0.</w:t>
      </w:r>
      <w:r w:rsidR="004304E6" w:rsidRPr="0035568A">
        <w:rPr>
          <w:rFonts w:ascii="Arial" w:eastAsia="Calibri" w:hAnsi="Arial" w:cs="Arial"/>
          <w:color w:val="000000"/>
          <w:sz w:val="23"/>
          <w:szCs w:val="23"/>
        </w:rPr>
        <w:t>000</w:t>
      </w:r>
      <w:r w:rsidR="004304E6">
        <w:rPr>
          <w:rFonts w:ascii="Arial" w:eastAsia="Calibri" w:hAnsi="Arial" w:cs="Arial"/>
          <w:color w:val="000000"/>
          <w:sz w:val="23"/>
          <w:szCs w:val="23"/>
        </w:rPr>
        <w:t>003</w:t>
      </w:r>
      <w:r w:rsidR="00BC32E4" w:rsidRPr="0035568A">
        <w:rPr>
          <w:rFonts w:ascii="Arial" w:eastAsia="Calibri" w:hAnsi="Arial" w:cs="Arial"/>
          <w:color w:val="000000"/>
          <w:sz w:val="23"/>
          <w:szCs w:val="23"/>
        </w:rPr>
        <w:t xml:space="preserve">% </w:t>
      </w:r>
      <w:r w:rsidR="006D6495" w:rsidRPr="0035568A">
        <w:rPr>
          <w:rFonts w:ascii="Arial" w:eastAsia="Calibri" w:hAnsi="Arial" w:cs="Arial"/>
          <w:color w:val="000000"/>
          <w:sz w:val="23"/>
          <w:szCs w:val="23"/>
        </w:rPr>
        <w:t xml:space="preserve">of the overall total of payments made in </w:t>
      </w:r>
      <w:r w:rsidR="000521DF" w:rsidRPr="0035568A">
        <w:rPr>
          <w:rFonts w:ascii="Arial" w:eastAsia="Calibri" w:hAnsi="Arial" w:cs="Arial"/>
          <w:color w:val="000000"/>
          <w:sz w:val="23"/>
          <w:szCs w:val="23"/>
        </w:rPr>
        <w:t>2023</w:t>
      </w:r>
      <w:r w:rsidR="006D6495" w:rsidRPr="0035568A">
        <w:rPr>
          <w:rFonts w:ascii="Arial" w:eastAsia="Calibri" w:hAnsi="Arial" w:cs="Arial"/>
          <w:color w:val="000000"/>
          <w:sz w:val="23"/>
          <w:szCs w:val="23"/>
        </w:rPr>
        <w:t>.</w:t>
      </w:r>
    </w:p>
    <w:tbl>
      <w:tblPr>
        <w:tblW w:w="5000" w:type="pct"/>
        <w:tblLook w:val="04A0" w:firstRow="1" w:lastRow="0" w:firstColumn="1" w:lastColumn="0" w:noHBand="0" w:noVBand="1"/>
      </w:tblPr>
      <w:tblGrid>
        <w:gridCol w:w="3817"/>
        <w:gridCol w:w="1036"/>
        <w:gridCol w:w="1500"/>
        <w:gridCol w:w="1825"/>
        <w:gridCol w:w="848"/>
      </w:tblGrid>
      <w:tr w:rsidR="00734B7A" w:rsidRPr="00DA4CC8" w14:paraId="0BC90B7E" w14:textId="3A623A5C" w:rsidTr="00DA4CC8">
        <w:trPr>
          <w:trHeight w:val="227"/>
        </w:trPr>
        <w:tc>
          <w:tcPr>
            <w:tcW w:w="5000" w:type="pct"/>
            <w:gridSpan w:val="5"/>
            <w:tcBorders>
              <w:top w:val="nil"/>
              <w:left w:val="nil"/>
              <w:bottom w:val="nil"/>
              <w:right w:val="nil"/>
            </w:tcBorders>
            <w:shd w:val="clear" w:color="auto" w:fill="auto"/>
            <w:noWrap/>
            <w:vAlign w:val="center"/>
          </w:tcPr>
          <w:p w14:paraId="6565A885" w14:textId="49E17517" w:rsidR="00734B7A" w:rsidRPr="00DA4CC8" w:rsidRDefault="00734B7A" w:rsidP="000D3A8D">
            <w:pPr>
              <w:spacing w:after="0" w:line="240" w:lineRule="auto"/>
              <w:jc w:val="right"/>
              <w:rPr>
                <w:rFonts w:asciiTheme="minorBidi" w:eastAsia="Times New Roman" w:hAnsiTheme="minorBidi"/>
                <w:i/>
                <w:iCs/>
                <w:sz w:val="16"/>
                <w:szCs w:val="16"/>
                <w:lang w:eastAsia="en-GB"/>
              </w:rPr>
            </w:pPr>
            <w:r w:rsidRPr="00DA4CC8">
              <w:rPr>
                <w:rFonts w:asciiTheme="minorBidi" w:eastAsia="Times New Roman" w:hAnsiTheme="minorBidi"/>
                <w:i/>
                <w:iCs/>
                <w:sz w:val="16"/>
                <w:szCs w:val="16"/>
                <w:lang w:eastAsia="en-GB"/>
              </w:rPr>
              <w:lastRenderedPageBreak/>
              <w:t>(in £ million)</w:t>
            </w:r>
          </w:p>
        </w:tc>
      </w:tr>
      <w:tr w:rsidR="00276B02" w:rsidRPr="00DA4CC8" w14:paraId="7FD869AD" w14:textId="2051DB71" w:rsidTr="00DA4CC8">
        <w:trPr>
          <w:trHeight w:val="227"/>
        </w:trPr>
        <w:tc>
          <w:tcPr>
            <w:tcW w:w="2114" w:type="pct"/>
            <w:tcBorders>
              <w:top w:val="nil"/>
              <w:left w:val="nil"/>
              <w:bottom w:val="nil"/>
              <w:right w:val="nil"/>
            </w:tcBorders>
            <w:shd w:val="clear" w:color="000000" w:fill="203764"/>
            <w:noWrap/>
            <w:vAlign w:val="center"/>
            <w:hideMark/>
          </w:tcPr>
          <w:p w14:paraId="523C6EB8" w14:textId="77777777" w:rsidR="00865F5B" w:rsidRPr="00DA4CC8" w:rsidRDefault="00865F5B" w:rsidP="00894453">
            <w:pPr>
              <w:spacing w:after="0" w:line="240" w:lineRule="auto"/>
              <w:rPr>
                <w:rFonts w:asciiTheme="minorBidi" w:eastAsia="Times New Roman" w:hAnsiTheme="minorBidi"/>
                <w:b/>
                <w:bCs/>
                <w:color w:val="FFFFFF"/>
                <w:sz w:val="16"/>
                <w:szCs w:val="16"/>
                <w:lang w:eastAsia="en-GB"/>
              </w:rPr>
            </w:pPr>
            <w:r w:rsidRPr="00DA4CC8">
              <w:rPr>
                <w:rFonts w:asciiTheme="minorBidi" w:eastAsia="Times New Roman" w:hAnsiTheme="minorBidi"/>
                <w:b/>
                <w:bCs/>
                <w:color w:val="FFFFFF"/>
                <w:sz w:val="16"/>
                <w:szCs w:val="16"/>
                <w:lang w:eastAsia="en-GB"/>
              </w:rPr>
              <w:t>Payment stream</w:t>
            </w:r>
          </w:p>
        </w:tc>
        <w:tc>
          <w:tcPr>
            <w:tcW w:w="574" w:type="pct"/>
            <w:tcBorders>
              <w:top w:val="nil"/>
              <w:left w:val="nil"/>
              <w:bottom w:val="nil"/>
              <w:right w:val="nil"/>
            </w:tcBorders>
            <w:shd w:val="clear" w:color="000000" w:fill="203764"/>
            <w:noWrap/>
            <w:vAlign w:val="center"/>
            <w:hideMark/>
          </w:tcPr>
          <w:p w14:paraId="737065FA" w14:textId="77777777" w:rsidR="00865F5B" w:rsidRPr="00DA4CC8" w:rsidRDefault="00865F5B" w:rsidP="00894453">
            <w:pPr>
              <w:spacing w:after="0" w:line="240" w:lineRule="auto"/>
              <w:rPr>
                <w:rFonts w:asciiTheme="minorBidi" w:eastAsia="Times New Roman" w:hAnsiTheme="minorBidi"/>
                <w:b/>
                <w:bCs/>
                <w:color w:val="FFFFFF"/>
                <w:sz w:val="16"/>
                <w:szCs w:val="16"/>
                <w:lang w:eastAsia="en-GB"/>
              </w:rPr>
            </w:pPr>
            <w:r w:rsidRPr="00DA4CC8">
              <w:rPr>
                <w:rFonts w:asciiTheme="minorBidi" w:eastAsia="Times New Roman" w:hAnsiTheme="minorBidi"/>
                <w:b/>
                <w:bCs/>
                <w:color w:val="FFFFFF"/>
                <w:sz w:val="16"/>
                <w:szCs w:val="16"/>
                <w:lang w:eastAsia="en-GB"/>
              </w:rPr>
              <w:t>Sector</w:t>
            </w:r>
          </w:p>
        </w:tc>
        <w:tc>
          <w:tcPr>
            <w:tcW w:w="831" w:type="pct"/>
            <w:tcBorders>
              <w:top w:val="nil"/>
              <w:left w:val="nil"/>
              <w:bottom w:val="nil"/>
              <w:right w:val="nil"/>
            </w:tcBorders>
            <w:shd w:val="clear" w:color="auto" w:fill="203764"/>
            <w:noWrap/>
            <w:vAlign w:val="center"/>
            <w:hideMark/>
          </w:tcPr>
          <w:p w14:paraId="3A051F8E" w14:textId="77777777" w:rsidR="00865F5B" w:rsidRPr="00DA4CC8" w:rsidRDefault="00865F5B" w:rsidP="00894453">
            <w:pPr>
              <w:spacing w:after="0" w:line="240" w:lineRule="auto"/>
              <w:rPr>
                <w:rFonts w:asciiTheme="minorBidi" w:eastAsia="Times New Roman" w:hAnsiTheme="minorBidi"/>
                <w:b/>
                <w:bCs/>
                <w:color w:val="FFFFFF"/>
                <w:sz w:val="16"/>
                <w:szCs w:val="16"/>
                <w:lang w:eastAsia="en-GB"/>
              </w:rPr>
            </w:pPr>
            <w:r w:rsidRPr="00DA4CC8">
              <w:rPr>
                <w:rFonts w:asciiTheme="minorBidi" w:eastAsia="Times New Roman" w:hAnsiTheme="minorBidi"/>
                <w:b/>
                <w:bCs/>
                <w:color w:val="FFFFFF"/>
                <w:sz w:val="16"/>
                <w:szCs w:val="16"/>
                <w:lang w:eastAsia="en-GB"/>
              </w:rPr>
              <w:t>Recipient</w:t>
            </w:r>
          </w:p>
        </w:tc>
        <w:tc>
          <w:tcPr>
            <w:tcW w:w="1011" w:type="pct"/>
            <w:tcBorders>
              <w:top w:val="nil"/>
              <w:left w:val="nil"/>
              <w:bottom w:val="nil"/>
              <w:right w:val="nil"/>
            </w:tcBorders>
            <w:shd w:val="clear" w:color="000000" w:fill="203764"/>
            <w:noWrap/>
            <w:vAlign w:val="center"/>
            <w:hideMark/>
          </w:tcPr>
          <w:p w14:paraId="71986E9D" w14:textId="77777777" w:rsidR="00865F5B" w:rsidRPr="00DA4CC8" w:rsidRDefault="00865F5B" w:rsidP="000D3A8D">
            <w:pPr>
              <w:spacing w:after="0" w:line="240" w:lineRule="auto"/>
              <w:jc w:val="right"/>
              <w:rPr>
                <w:rFonts w:asciiTheme="minorBidi" w:eastAsia="Times New Roman" w:hAnsiTheme="minorBidi"/>
                <w:b/>
                <w:bCs/>
                <w:color w:val="FFFFFF"/>
                <w:sz w:val="16"/>
                <w:szCs w:val="16"/>
                <w:lang w:eastAsia="en-GB"/>
              </w:rPr>
            </w:pPr>
            <w:r w:rsidRPr="00DA4CC8">
              <w:rPr>
                <w:rFonts w:asciiTheme="minorBidi" w:eastAsia="Times New Roman" w:hAnsiTheme="minorBidi"/>
                <w:b/>
                <w:bCs/>
                <w:color w:val="FFFFFF"/>
                <w:sz w:val="16"/>
                <w:szCs w:val="16"/>
                <w:lang w:eastAsia="en-GB"/>
              </w:rPr>
              <w:t>As per Government</w:t>
            </w:r>
          </w:p>
        </w:tc>
        <w:tc>
          <w:tcPr>
            <w:tcW w:w="470" w:type="pct"/>
            <w:tcBorders>
              <w:top w:val="nil"/>
              <w:left w:val="nil"/>
              <w:bottom w:val="nil"/>
              <w:right w:val="nil"/>
            </w:tcBorders>
            <w:shd w:val="clear" w:color="000000" w:fill="203764"/>
          </w:tcPr>
          <w:p w14:paraId="7F5C3AAA" w14:textId="1069CFBB" w:rsidR="00865F5B" w:rsidRPr="00DA4CC8" w:rsidRDefault="00734B7A" w:rsidP="000D3A8D">
            <w:pPr>
              <w:spacing w:after="0" w:line="240" w:lineRule="auto"/>
              <w:jc w:val="right"/>
              <w:rPr>
                <w:rFonts w:asciiTheme="minorBidi" w:eastAsia="Times New Roman" w:hAnsiTheme="minorBidi"/>
                <w:b/>
                <w:bCs/>
                <w:color w:val="FFFFFF"/>
                <w:sz w:val="16"/>
                <w:szCs w:val="16"/>
                <w:lang w:eastAsia="en-GB"/>
              </w:rPr>
            </w:pPr>
            <w:r w:rsidRPr="00DA4CC8">
              <w:rPr>
                <w:rFonts w:asciiTheme="minorBidi" w:eastAsia="Times New Roman" w:hAnsiTheme="minorBidi"/>
                <w:b/>
                <w:bCs/>
                <w:color w:val="FFFFFF"/>
                <w:sz w:val="16"/>
                <w:szCs w:val="16"/>
                <w:lang w:eastAsia="en-GB"/>
              </w:rPr>
              <w:t>%</w:t>
            </w:r>
          </w:p>
        </w:tc>
      </w:tr>
      <w:tr w:rsidR="00E575FC" w:rsidRPr="00DA4CC8" w14:paraId="4B798F7D" w14:textId="124EE3FA" w:rsidTr="00DA4CC8">
        <w:trPr>
          <w:trHeight w:val="227"/>
        </w:trPr>
        <w:tc>
          <w:tcPr>
            <w:tcW w:w="2688" w:type="pct"/>
            <w:gridSpan w:val="2"/>
            <w:tcBorders>
              <w:top w:val="nil"/>
              <w:left w:val="nil"/>
              <w:bottom w:val="nil"/>
              <w:right w:val="nil"/>
            </w:tcBorders>
            <w:shd w:val="clear" w:color="000000" w:fill="BFBFBF"/>
            <w:noWrap/>
            <w:vAlign w:val="center"/>
            <w:hideMark/>
          </w:tcPr>
          <w:p w14:paraId="2C5B20BD" w14:textId="16D04B7C"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FF0000"/>
                <w:sz w:val="16"/>
                <w:szCs w:val="16"/>
                <w:lang w:eastAsia="en-GB"/>
              </w:rPr>
              <w:t>(1)</w:t>
            </w:r>
            <w:r w:rsidRPr="00DA4CC8">
              <w:rPr>
                <w:rFonts w:asciiTheme="minorBidi" w:eastAsia="Times New Roman" w:hAnsiTheme="minorBidi"/>
                <w:b/>
                <w:bCs/>
                <w:color w:val="000000"/>
                <w:sz w:val="16"/>
                <w:szCs w:val="16"/>
                <w:lang w:eastAsia="en-GB"/>
              </w:rPr>
              <w:t xml:space="preserve"> In-scope revenues (reconciled)</w:t>
            </w:r>
            <w:r w:rsidRPr="00DA4CC8">
              <w:rPr>
                <w:rFonts w:asciiTheme="minorBidi" w:eastAsia="Calibri" w:hAnsiTheme="minorBidi"/>
                <w:sz w:val="15"/>
                <w:szCs w:val="15"/>
                <w:vertAlign w:val="superscript"/>
              </w:rPr>
              <w:t xml:space="preserve"> (a)</w:t>
            </w:r>
          </w:p>
        </w:tc>
        <w:tc>
          <w:tcPr>
            <w:tcW w:w="831" w:type="pct"/>
            <w:tcBorders>
              <w:top w:val="nil"/>
              <w:left w:val="nil"/>
              <w:bottom w:val="nil"/>
              <w:right w:val="nil"/>
            </w:tcBorders>
            <w:shd w:val="clear" w:color="000000" w:fill="BFBFBF"/>
            <w:noWrap/>
            <w:vAlign w:val="center"/>
            <w:hideMark/>
          </w:tcPr>
          <w:p w14:paraId="3F03B51F"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011" w:type="pct"/>
            <w:tcBorders>
              <w:top w:val="nil"/>
              <w:left w:val="nil"/>
              <w:bottom w:val="nil"/>
              <w:right w:val="nil"/>
            </w:tcBorders>
            <w:shd w:val="clear" w:color="000000" w:fill="BFBFBF"/>
            <w:noWrap/>
            <w:vAlign w:val="center"/>
            <w:hideMark/>
          </w:tcPr>
          <w:p w14:paraId="0C484486"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470" w:type="pct"/>
            <w:tcBorders>
              <w:top w:val="nil"/>
              <w:left w:val="nil"/>
              <w:bottom w:val="nil"/>
              <w:right w:val="nil"/>
            </w:tcBorders>
            <w:shd w:val="clear" w:color="000000" w:fill="BFBFBF"/>
            <w:vAlign w:val="center"/>
          </w:tcPr>
          <w:p w14:paraId="778CB1ED" w14:textId="77777777" w:rsidR="00865F5B" w:rsidRPr="00DA4CC8" w:rsidRDefault="00865F5B" w:rsidP="00DA4CC8">
            <w:pPr>
              <w:spacing w:after="0" w:line="240" w:lineRule="auto"/>
              <w:jc w:val="right"/>
              <w:rPr>
                <w:rFonts w:asciiTheme="minorBidi" w:eastAsia="Times New Roman" w:hAnsiTheme="minorBidi"/>
                <w:b/>
                <w:bCs/>
                <w:color w:val="000000"/>
                <w:sz w:val="16"/>
                <w:szCs w:val="16"/>
                <w:lang w:eastAsia="en-GB"/>
              </w:rPr>
            </w:pPr>
          </w:p>
        </w:tc>
      </w:tr>
      <w:tr w:rsidR="00276B02" w:rsidRPr="00DA4CC8" w14:paraId="7640B3E5" w14:textId="67C14F2C" w:rsidTr="00DA4CC8">
        <w:trPr>
          <w:trHeight w:val="227"/>
        </w:trPr>
        <w:tc>
          <w:tcPr>
            <w:tcW w:w="2114" w:type="pct"/>
            <w:tcBorders>
              <w:top w:val="nil"/>
              <w:left w:val="nil"/>
              <w:bottom w:val="nil"/>
              <w:right w:val="nil"/>
            </w:tcBorders>
            <w:shd w:val="clear" w:color="000000" w:fill="B4C6E7"/>
            <w:noWrap/>
            <w:vAlign w:val="center"/>
            <w:hideMark/>
          </w:tcPr>
          <w:p w14:paraId="11827AD7"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RFCT &amp; SC</w:t>
            </w:r>
          </w:p>
        </w:tc>
        <w:tc>
          <w:tcPr>
            <w:tcW w:w="574" w:type="pct"/>
            <w:tcBorders>
              <w:top w:val="nil"/>
              <w:left w:val="nil"/>
              <w:bottom w:val="nil"/>
              <w:right w:val="nil"/>
            </w:tcBorders>
            <w:shd w:val="clear" w:color="000000" w:fill="B4C6E7"/>
            <w:vAlign w:val="center"/>
            <w:hideMark/>
          </w:tcPr>
          <w:p w14:paraId="55AF4812"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406CBCB2"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000000" w:fill="B4C6E7"/>
            <w:noWrap/>
            <w:vAlign w:val="center"/>
            <w:hideMark/>
          </w:tcPr>
          <w:p w14:paraId="268FD08F" w14:textId="5EAE457D"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3,848.3</w:t>
            </w:r>
          </w:p>
        </w:tc>
        <w:tc>
          <w:tcPr>
            <w:tcW w:w="470" w:type="pct"/>
            <w:tcBorders>
              <w:top w:val="nil"/>
              <w:left w:val="nil"/>
              <w:bottom w:val="nil"/>
              <w:right w:val="nil"/>
            </w:tcBorders>
            <w:shd w:val="clear" w:color="000000" w:fill="B4C6E7"/>
            <w:vAlign w:val="center"/>
          </w:tcPr>
          <w:p w14:paraId="7E07359B" w14:textId="703885F0"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771D331A" w14:textId="01CAB8F6" w:rsidTr="00DA4CC8">
        <w:trPr>
          <w:trHeight w:val="227"/>
        </w:trPr>
        <w:tc>
          <w:tcPr>
            <w:tcW w:w="2114" w:type="pct"/>
            <w:tcBorders>
              <w:top w:val="nil"/>
              <w:left w:val="nil"/>
              <w:bottom w:val="nil"/>
              <w:right w:val="nil"/>
            </w:tcBorders>
            <w:shd w:val="clear" w:color="auto" w:fill="auto"/>
            <w:noWrap/>
            <w:vAlign w:val="center"/>
            <w:hideMark/>
          </w:tcPr>
          <w:p w14:paraId="2B425001"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EPL</w:t>
            </w:r>
          </w:p>
        </w:tc>
        <w:tc>
          <w:tcPr>
            <w:tcW w:w="574" w:type="pct"/>
            <w:tcBorders>
              <w:top w:val="nil"/>
              <w:left w:val="nil"/>
              <w:bottom w:val="nil"/>
              <w:right w:val="nil"/>
            </w:tcBorders>
            <w:shd w:val="clear" w:color="auto" w:fill="auto"/>
            <w:vAlign w:val="center"/>
            <w:hideMark/>
          </w:tcPr>
          <w:p w14:paraId="2A03FAED"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75BE114A"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auto"/>
            <w:noWrap/>
            <w:vAlign w:val="center"/>
            <w:hideMark/>
          </w:tcPr>
          <w:p w14:paraId="17AA30C2"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3,915.8</w:t>
            </w:r>
          </w:p>
        </w:tc>
        <w:tc>
          <w:tcPr>
            <w:tcW w:w="470" w:type="pct"/>
            <w:tcBorders>
              <w:top w:val="nil"/>
              <w:left w:val="nil"/>
              <w:bottom w:val="nil"/>
              <w:right w:val="nil"/>
            </w:tcBorders>
            <w:vAlign w:val="center"/>
          </w:tcPr>
          <w:p w14:paraId="59266A44" w14:textId="437741A6"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77B02973" w14:textId="61FA73F7" w:rsidTr="00DA4CC8">
        <w:trPr>
          <w:trHeight w:val="227"/>
        </w:trPr>
        <w:tc>
          <w:tcPr>
            <w:tcW w:w="2114" w:type="pct"/>
            <w:tcBorders>
              <w:top w:val="nil"/>
              <w:left w:val="nil"/>
              <w:bottom w:val="nil"/>
              <w:right w:val="nil"/>
            </w:tcBorders>
            <w:shd w:val="clear" w:color="000000" w:fill="B4C6E7"/>
            <w:noWrap/>
            <w:vAlign w:val="center"/>
            <w:hideMark/>
          </w:tcPr>
          <w:p w14:paraId="363E683A"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PRT</w:t>
            </w:r>
          </w:p>
        </w:tc>
        <w:tc>
          <w:tcPr>
            <w:tcW w:w="574" w:type="pct"/>
            <w:tcBorders>
              <w:top w:val="nil"/>
              <w:left w:val="nil"/>
              <w:bottom w:val="nil"/>
              <w:right w:val="nil"/>
            </w:tcBorders>
            <w:shd w:val="clear" w:color="000000" w:fill="B4C6E7"/>
            <w:vAlign w:val="center"/>
            <w:hideMark/>
          </w:tcPr>
          <w:p w14:paraId="1331559C"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66AE01A9"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000000" w:fill="B4C6E7"/>
            <w:noWrap/>
            <w:vAlign w:val="center"/>
            <w:hideMark/>
          </w:tcPr>
          <w:p w14:paraId="3C828EE1" w14:textId="5008B929" w:rsidR="00EA1BAC" w:rsidRPr="00DA4CC8" w:rsidRDefault="00EA1BAC" w:rsidP="00EA1BAC">
            <w:pPr>
              <w:spacing w:after="0" w:line="240" w:lineRule="auto"/>
              <w:jc w:val="right"/>
              <w:rPr>
                <w:rFonts w:asciiTheme="minorBidi" w:eastAsia="Times New Roman" w:hAnsiTheme="minorBidi"/>
                <w:color w:val="FF0000"/>
                <w:sz w:val="16"/>
                <w:szCs w:val="16"/>
                <w:lang w:eastAsia="en-GB"/>
              </w:rPr>
            </w:pPr>
            <w:r w:rsidRPr="00DA4CC8">
              <w:rPr>
                <w:rFonts w:asciiTheme="minorBidi" w:eastAsia="Times New Roman" w:hAnsiTheme="minorBidi"/>
                <w:color w:val="FF0000"/>
                <w:sz w:val="16"/>
                <w:szCs w:val="16"/>
                <w:lang w:eastAsia="en-GB"/>
              </w:rPr>
              <w:t>-349.5</w:t>
            </w:r>
          </w:p>
        </w:tc>
        <w:tc>
          <w:tcPr>
            <w:tcW w:w="470" w:type="pct"/>
            <w:tcBorders>
              <w:top w:val="nil"/>
              <w:left w:val="nil"/>
              <w:bottom w:val="nil"/>
              <w:right w:val="nil"/>
            </w:tcBorders>
            <w:shd w:val="clear" w:color="000000" w:fill="B4C6E7"/>
            <w:vAlign w:val="center"/>
          </w:tcPr>
          <w:p w14:paraId="603FC77C" w14:textId="511E58A4" w:rsidR="00EA1BAC" w:rsidRPr="00DA4CC8" w:rsidRDefault="00EA1BAC" w:rsidP="00276B02">
            <w:pPr>
              <w:spacing w:after="0" w:line="240" w:lineRule="auto"/>
              <w:jc w:val="right"/>
              <w:rPr>
                <w:rFonts w:asciiTheme="minorBidi" w:eastAsia="Times New Roman" w:hAnsiTheme="minorBidi"/>
                <w:color w:val="FF0000"/>
                <w:sz w:val="16"/>
                <w:szCs w:val="16"/>
                <w:lang w:eastAsia="en-GB"/>
              </w:rPr>
            </w:pPr>
          </w:p>
        </w:tc>
      </w:tr>
      <w:tr w:rsidR="00276B02" w:rsidRPr="00DA4CC8" w14:paraId="186221E3" w14:textId="6D3D80F0" w:rsidTr="00DA4CC8">
        <w:trPr>
          <w:trHeight w:val="227"/>
        </w:trPr>
        <w:tc>
          <w:tcPr>
            <w:tcW w:w="2114" w:type="pct"/>
            <w:tcBorders>
              <w:top w:val="nil"/>
              <w:left w:val="nil"/>
              <w:bottom w:val="nil"/>
              <w:right w:val="nil"/>
            </w:tcBorders>
            <w:shd w:val="clear" w:color="auto" w:fill="auto"/>
            <w:noWrap/>
            <w:vAlign w:val="center"/>
            <w:hideMark/>
          </w:tcPr>
          <w:p w14:paraId="3C330734"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Payments to TCE</w:t>
            </w:r>
          </w:p>
        </w:tc>
        <w:tc>
          <w:tcPr>
            <w:tcW w:w="574" w:type="pct"/>
            <w:tcBorders>
              <w:top w:val="nil"/>
              <w:left w:val="nil"/>
              <w:bottom w:val="nil"/>
              <w:right w:val="nil"/>
            </w:tcBorders>
            <w:shd w:val="clear" w:color="auto" w:fill="auto"/>
            <w:noWrap/>
            <w:vAlign w:val="center"/>
            <w:hideMark/>
          </w:tcPr>
          <w:p w14:paraId="0CA83B6C"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O&amp;G</w:t>
            </w:r>
          </w:p>
        </w:tc>
        <w:tc>
          <w:tcPr>
            <w:tcW w:w="831" w:type="pct"/>
            <w:tcBorders>
              <w:top w:val="nil"/>
              <w:left w:val="nil"/>
              <w:bottom w:val="nil"/>
              <w:right w:val="nil"/>
            </w:tcBorders>
            <w:shd w:val="clear" w:color="auto" w:fill="auto"/>
            <w:noWrap/>
            <w:vAlign w:val="center"/>
            <w:hideMark/>
          </w:tcPr>
          <w:p w14:paraId="2CFC566F"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TCE</w:t>
            </w:r>
          </w:p>
        </w:tc>
        <w:tc>
          <w:tcPr>
            <w:tcW w:w="1011" w:type="pct"/>
            <w:tcBorders>
              <w:top w:val="nil"/>
              <w:left w:val="nil"/>
              <w:bottom w:val="nil"/>
              <w:right w:val="nil"/>
            </w:tcBorders>
            <w:shd w:val="clear" w:color="auto" w:fill="auto"/>
            <w:noWrap/>
            <w:vAlign w:val="center"/>
            <w:hideMark/>
          </w:tcPr>
          <w:p w14:paraId="678C9CA4"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1.9</w:t>
            </w:r>
          </w:p>
        </w:tc>
        <w:tc>
          <w:tcPr>
            <w:tcW w:w="470" w:type="pct"/>
            <w:tcBorders>
              <w:top w:val="nil"/>
              <w:left w:val="nil"/>
              <w:bottom w:val="nil"/>
              <w:right w:val="nil"/>
            </w:tcBorders>
            <w:vAlign w:val="center"/>
          </w:tcPr>
          <w:p w14:paraId="6B8871D8" w14:textId="143B7588"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61B5997D" w14:textId="1EC3CB63" w:rsidTr="00DA4CC8">
        <w:trPr>
          <w:trHeight w:val="227"/>
        </w:trPr>
        <w:tc>
          <w:tcPr>
            <w:tcW w:w="2114" w:type="pct"/>
            <w:tcBorders>
              <w:top w:val="nil"/>
              <w:left w:val="nil"/>
              <w:bottom w:val="nil"/>
              <w:right w:val="nil"/>
            </w:tcBorders>
            <w:shd w:val="clear" w:color="000000" w:fill="B4C6E7"/>
            <w:noWrap/>
            <w:vAlign w:val="center"/>
            <w:hideMark/>
          </w:tcPr>
          <w:p w14:paraId="07BAC0EF"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CES</w:t>
            </w:r>
          </w:p>
        </w:tc>
        <w:tc>
          <w:tcPr>
            <w:tcW w:w="574" w:type="pct"/>
            <w:tcBorders>
              <w:top w:val="nil"/>
              <w:left w:val="nil"/>
              <w:bottom w:val="nil"/>
              <w:right w:val="nil"/>
            </w:tcBorders>
            <w:shd w:val="clear" w:color="000000" w:fill="B4C6E7"/>
            <w:vAlign w:val="center"/>
            <w:hideMark/>
          </w:tcPr>
          <w:p w14:paraId="22883E88"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5FD3B99A"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CES</w:t>
            </w:r>
          </w:p>
        </w:tc>
        <w:tc>
          <w:tcPr>
            <w:tcW w:w="1011" w:type="pct"/>
            <w:tcBorders>
              <w:top w:val="nil"/>
              <w:left w:val="nil"/>
              <w:bottom w:val="nil"/>
              <w:right w:val="nil"/>
            </w:tcBorders>
            <w:shd w:val="clear" w:color="000000" w:fill="B4C6E7"/>
            <w:noWrap/>
            <w:vAlign w:val="center"/>
            <w:hideMark/>
          </w:tcPr>
          <w:p w14:paraId="58842CC0"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1.6</w:t>
            </w:r>
          </w:p>
        </w:tc>
        <w:tc>
          <w:tcPr>
            <w:tcW w:w="470" w:type="pct"/>
            <w:tcBorders>
              <w:top w:val="nil"/>
              <w:left w:val="nil"/>
              <w:bottom w:val="nil"/>
              <w:right w:val="nil"/>
            </w:tcBorders>
            <w:shd w:val="clear" w:color="000000" w:fill="B4C6E7"/>
            <w:vAlign w:val="center"/>
          </w:tcPr>
          <w:p w14:paraId="585E5BFF" w14:textId="48188FBD"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5D32926A" w14:textId="168DB2BB" w:rsidTr="00DA4CC8">
        <w:trPr>
          <w:trHeight w:val="227"/>
        </w:trPr>
        <w:tc>
          <w:tcPr>
            <w:tcW w:w="2114" w:type="pct"/>
            <w:tcBorders>
              <w:top w:val="nil"/>
              <w:left w:val="nil"/>
              <w:bottom w:val="nil"/>
              <w:right w:val="nil"/>
            </w:tcBorders>
            <w:shd w:val="clear" w:color="auto" w:fill="auto"/>
            <w:noWrap/>
            <w:vAlign w:val="center"/>
            <w:hideMark/>
          </w:tcPr>
          <w:p w14:paraId="0ECE4527"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CT</w:t>
            </w:r>
          </w:p>
        </w:tc>
        <w:tc>
          <w:tcPr>
            <w:tcW w:w="574" w:type="pct"/>
            <w:tcBorders>
              <w:top w:val="nil"/>
              <w:left w:val="nil"/>
              <w:bottom w:val="nil"/>
              <w:right w:val="nil"/>
            </w:tcBorders>
            <w:shd w:val="clear" w:color="auto" w:fill="auto"/>
            <w:noWrap/>
            <w:vAlign w:val="center"/>
            <w:hideMark/>
          </w:tcPr>
          <w:p w14:paraId="1A3F9C7F"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M&amp;Q</w:t>
            </w:r>
          </w:p>
        </w:tc>
        <w:tc>
          <w:tcPr>
            <w:tcW w:w="831" w:type="pct"/>
            <w:tcBorders>
              <w:top w:val="nil"/>
              <w:left w:val="nil"/>
              <w:bottom w:val="nil"/>
              <w:right w:val="nil"/>
            </w:tcBorders>
            <w:shd w:val="clear" w:color="auto" w:fill="auto"/>
            <w:noWrap/>
            <w:vAlign w:val="center"/>
            <w:hideMark/>
          </w:tcPr>
          <w:p w14:paraId="156377E0"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HMRC</w:t>
            </w:r>
          </w:p>
        </w:tc>
        <w:tc>
          <w:tcPr>
            <w:tcW w:w="1011" w:type="pct"/>
            <w:tcBorders>
              <w:top w:val="nil"/>
              <w:left w:val="nil"/>
              <w:bottom w:val="nil"/>
              <w:right w:val="nil"/>
            </w:tcBorders>
            <w:shd w:val="clear" w:color="auto" w:fill="auto"/>
            <w:noWrap/>
            <w:vAlign w:val="center"/>
            <w:hideMark/>
          </w:tcPr>
          <w:p w14:paraId="23FA87A5"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119.1</w:t>
            </w:r>
          </w:p>
        </w:tc>
        <w:tc>
          <w:tcPr>
            <w:tcW w:w="470" w:type="pct"/>
            <w:tcBorders>
              <w:top w:val="nil"/>
              <w:left w:val="nil"/>
              <w:bottom w:val="nil"/>
              <w:right w:val="nil"/>
            </w:tcBorders>
            <w:vAlign w:val="center"/>
          </w:tcPr>
          <w:p w14:paraId="550E7D43" w14:textId="714F1B60"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5BDAB499" w14:textId="48F3470A" w:rsidTr="00DA4CC8">
        <w:trPr>
          <w:trHeight w:val="227"/>
        </w:trPr>
        <w:tc>
          <w:tcPr>
            <w:tcW w:w="2114" w:type="pct"/>
            <w:tcBorders>
              <w:top w:val="nil"/>
              <w:left w:val="nil"/>
              <w:bottom w:val="nil"/>
              <w:right w:val="nil"/>
            </w:tcBorders>
            <w:shd w:val="clear" w:color="000000" w:fill="B4C6E7"/>
            <w:noWrap/>
            <w:vAlign w:val="center"/>
            <w:hideMark/>
          </w:tcPr>
          <w:p w14:paraId="7827E5AA"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TCE</w:t>
            </w:r>
          </w:p>
        </w:tc>
        <w:tc>
          <w:tcPr>
            <w:tcW w:w="574" w:type="pct"/>
            <w:tcBorders>
              <w:top w:val="nil"/>
              <w:left w:val="nil"/>
              <w:bottom w:val="nil"/>
              <w:right w:val="nil"/>
            </w:tcBorders>
            <w:shd w:val="clear" w:color="000000" w:fill="B4C6E7"/>
            <w:vAlign w:val="center"/>
            <w:hideMark/>
          </w:tcPr>
          <w:p w14:paraId="2DA29FF2"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000000" w:fill="B4C6E7"/>
            <w:vAlign w:val="center"/>
            <w:hideMark/>
          </w:tcPr>
          <w:p w14:paraId="52DEE40D" w14:textId="77777777" w:rsidR="00EA1BAC" w:rsidRPr="00DA4CC8" w:rsidRDefault="00EA1BAC" w:rsidP="00EA1BAC">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TCE</w:t>
            </w:r>
          </w:p>
        </w:tc>
        <w:tc>
          <w:tcPr>
            <w:tcW w:w="1011" w:type="pct"/>
            <w:tcBorders>
              <w:top w:val="nil"/>
              <w:left w:val="nil"/>
              <w:bottom w:val="nil"/>
              <w:right w:val="nil"/>
            </w:tcBorders>
            <w:shd w:val="clear" w:color="000000" w:fill="B4C6E7"/>
            <w:noWrap/>
            <w:vAlign w:val="center"/>
            <w:hideMark/>
          </w:tcPr>
          <w:p w14:paraId="4BDF9818"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24.4</w:t>
            </w:r>
          </w:p>
        </w:tc>
        <w:tc>
          <w:tcPr>
            <w:tcW w:w="470" w:type="pct"/>
            <w:tcBorders>
              <w:top w:val="nil"/>
              <w:left w:val="nil"/>
              <w:bottom w:val="nil"/>
              <w:right w:val="nil"/>
            </w:tcBorders>
            <w:shd w:val="clear" w:color="000000" w:fill="B4C6E7"/>
            <w:vAlign w:val="center"/>
          </w:tcPr>
          <w:p w14:paraId="37F922F9" w14:textId="02DA2A4A"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276B02" w:rsidRPr="00DA4CC8" w14:paraId="0C0C4EE6" w14:textId="0C4E35FD" w:rsidTr="00DA4CC8">
        <w:trPr>
          <w:trHeight w:val="227"/>
        </w:trPr>
        <w:tc>
          <w:tcPr>
            <w:tcW w:w="2114" w:type="pct"/>
            <w:tcBorders>
              <w:top w:val="nil"/>
              <w:left w:val="nil"/>
              <w:bottom w:val="nil"/>
              <w:right w:val="nil"/>
            </w:tcBorders>
            <w:shd w:val="clear" w:color="auto" w:fill="auto"/>
            <w:noWrap/>
            <w:vAlign w:val="center"/>
            <w:hideMark/>
          </w:tcPr>
          <w:p w14:paraId="704F304A"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Payments to CES</w:t>
            </w:r>
          </w:p>
        </w:tc>
        <w:tc>
          <w:tcPr>
            <w:tcW w:w="574" w:type="pct"/>
            <w:tcBorders>
              <w:top w:val="nil"/>
              <w:left w:val="nil"/>
              <w:bottom w:val="nil"/>
              <w:right w:val="nil"/>
            </w:tcBorders>
            <w:shd w:val="clear" w:color="auto" w:fill="auto"/>
            <w:noWrap/>
            <w:vAlign w:val="center"/>
            <w:hideMark/>
          </w:tcPr>
          <w:p w14:paraId="28FC7780"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M&amp;Q</w:t>
            </w:r>
          </w:p>
        </w:tc>
        <w:tc>
          <w:tcPr>
            <w:tcW w:w="831" w:type="pct"/>
            <w:tcBorders>
              <w:top w:val="nil"/>
              <w:left w:val="nil"/>
              <w:bottom w:val="nil"/>
              <w:right w:val="nil"/>
            </w:tcBorders>
            <w:shd w:val="clear" w:color="auto" w:fill="auto"/>
            <w:noWrap/>
            <w:vAlign w:val="center"/>
            <w:hideMark/>
          </w:tcPr>
          <w:p w14:paraId="788143A3" w14:textId="77777777" w:rsidR="00EA1BAC" w:rsidRPr="00DA4CC8" w:rsidRDefault="00EA1BAC" w:rsidP="00EA1BAC">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CES</w:t>
            </w:r>
          </w:p>
        </w:tc>
        <w:tc>
          <w:tcPr>
            <w:tcW w:w="1011" w:type="pct"/>
            <w:tcBorders>
              <w:top w:val="nil"/>
              <w:left w:val="nil"/>
              <w:bottom w:val="nil"/>
              <w:right w:val="nil"/>
            </w:tcBorders>
            <w:shd w:val="clear" w:color="auto" w:fill="auto"/>
            <w:noWrap/>
            <w:vAlign w:val="center"/>
            <w:hideMark/>
          </w:tcPr>
          <w:p w14:paraId="120CB1C3" w14:textId="77777777" w:rsidR="00EA1BAC" w:rsidRPr="00DA4CC8" w:rsidRDefault="00EA1BAC" w:rsidP="00EA1BAC">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w:t>
            </w:r>
          </w:p>
        </w:tc>
        <w:tc>
          <w:tcPr>
            <w:tcW w:w="470" w:type="pct"/>
            <w:tcBorders>
              <w:top w:val="nil"/>
              <w:left w:val="nil"/>
              <w:bottom w:val="nil"/>
              <w:right w:val="nil"/>
            </w:tcBorders>
            <w:vAlign w:val="center"/>
          </w:tcPr>
          <w:p w14:paraId="2F79D0FA" w14:textId="06950877" w:rsidR="00EA1BAC" w:rsidRPr="00DA4CC8" w:rsidRDefault="00EA1BAC" w:rsidP="00276B02">
            <w:pPr>
              <w:spacing w:after="0" w:line="240" w:lineRule="auto"/>
              <w:jc w:val="right"/>
              <w:rPr>
                <w:rFonts w:asciiTheme="minorBidi" w:eastAsia="Times New Roman" w:hAnsiTheme="minorBidi"/>
                <w:sz w:val="16"/>
                <w:szCs w:val="16"/>
                <w:lang w:eastAsia="en-GB"/>
              </w:rPr>
            </w:pPr>
          </w:p>
        </w:tc>
      </w:tr>
      <w:tr w:rsidR="00E575FC" w:rsidRPr="00DA4CC8" w14:paraId="40F0FB19" w14:textId="1A88D764" w:rsidTr="00DA4CC8">
        <w:trPr>
          <w:trHeight w:val="227"/>
        </w:trPr>
        <w:tc>
          <w:tcPr>
            <w:tcW w:w="2114" w:type="pct"/>
            <w:tcBorders>
              <w:top w:val="nil"/>
              <w:left w:val="nil"/>
              <w:bottom w:val="nil"/>
              <w:right w:val="nil"/>
            </w:tcBorders>
            <w:shd w:val="clear" w:color="000000" w:fill="BFBFBF"/>
            <w:noWrap/>
            <w:vAlign w:val="center"/>
            <w:hideMark/>
          </w:tcPr>
          <w:p w14:paraId="4F3B84DA"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405" w:type="pct"/>
            <w:gridSpan w:val="2"/>
            <w:tcBorders>
              <w:top w:val="nil"/>
              <w:left w:val="nil"/>
              <w:bottom w:val="nil"/>
              <w:right w:val="nil"/>
            </w:tcBorders>
            <w:shd w:val="clear" w:color="000000" w:fill="BFBFBF"/>
            <w:noWrap/>
            <w:vAlign w:val="center"/>
            <w:hideMark/>
          </w:tcPr>
          <w:p w14:paraId="39647AFC" w14:textId="79B43873"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Sub-total (1)</w:t>
            </w:r>
          </w:p>
        </w:tc>
        <w:tc>
          <w:tcPr>
            <w:tcW w:w="1011" w:type="pct"/>
            <w:tcBorders>
              <w:top w:val="nil"/>
              <w:left w:val="nil"/>
              <w:bottom w:val="nil"/>
              <w:right w:val="nil"/>
            </w:tcBorders>
            <w:shd w:val="clear" w:color="000000" w:fill="BFBFBF"/>
            <w:noWrap/>
            <w:vAlign w:val="center"/>
            <w:hideMark/>
          </w:tcPr>
          <w:p w14:paraId="5ECEDC94" w14:textId="571B06AB" w:rsidR="00865F5B" w:rsidRPr="00DA4CC8" w:rsidRDefault="00865F5B" w:rsidP="00894453">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7,561.6</w:t>
            </w:r>
          </w:p>
        </w:tc>
        <w:tc>
          <w:tcPr>
            <w:tcW w:w="470" w:type="pct"/>
            <w:tcBorders>
              <w:top w:val="nil"/>
              <w:left w:val="nil"/>
              <w:bottom w:val="nil"/>
              <w:right w:val="nil"/>
            </w:tcBorders>
            <w:shd w:val="clear" w:color="000000" w:fill="BFBFBF"/>
            <w:vAlign w:val="center"/>
          </w:tcPr>
          <w:p w14:paraId="0EBBDB37" w14:textId="61D0B019" w:rsidR="00857697" w:rsidRPr="00DA4CC8" w:rsidRDefault="00857697" w:rsidP="00276B02">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98.9%</w:t>
            </w:r>
          </w:p>
        </w:tc>
      </w:tr>
      <w:tr w:rsidR="0059729E" w:rsidRPr="00DA4CC8" w14:paraId="59E85278" w14:textId="77777777" w:rsidTr="00DA4CC8">
        <w:trPr>
          <w:trHeight w:val="63"/>
        </w:trPr>
        <w:tc>
          <w:tcPr>
            <w:tcW w:w="5000" w:type="pct"/>
            <w:gridSpan w:val="5"/>
            <w:tcBorders>
              <w:top w:val="nil"/>
              <w:left w:val="nil"/>
              <w:bottom w:val="nil"/>
              <w:right w:val="nil"/>
            </w:tcBorders>
            <w:shd w:val="clear" w:color="auto" w:fill="auto"/>
            <w:noWrap/>
            <w:vAlign w:val="center"/>
          </w:tcPr>
          <w:p w14:paraId="6C8F8B85" w14:textId="77777777" w:rsidR="00EA1BAC" w:rsidRPr="00DA4CC8" w:rsidRDefault="00EA1BAC" w:rsidP="00276B02">
            <w:pPr>
              <w:spacing w:after="0" w:line="240" w:lineRule="auto"/>
              <w:jc w:val="right"/>
              <w:rPr>
                <w:rFonts w:asciiTheme="minorBidi" w:eastAsia="Times New Roman" w:hAnsiTheme="minorBidi"/>
                <w:b/>
                <w:bCs/>
                <w:sz w:val="2"/>
                <w:szCs w:val="2"/>
                <w:lang w:eastAsia="en-GB"/>
              </w:rPr>
            </w:pPr>
          </w:p>
        </w:tc>
      </w:tr>
      <w:tr w:rsidR="00276B02" w:rsidRPr="00DA4CC8" w14:paraId="14B76A45" w14:textId="77777777" w:rsidTr="00DA4CC8">
        <w:trPr>
          <w:trHeight w:val="227"/>
        </w:trPr>
        <w:tc>
          <w:tcPr>
            <w:tcW w:w="2688" w:type="pct"/>
            <w:gridSpan w:val="2"/>
            <w:tcBorders>
              <w:top w:val="nil"/>
              <w:left w:val="nil"/>
              <w:bottom w:val="nil"/>
              <w:right w:val="nil"/>
            </w:tcBorders>
            <w:shd w:val="clear" w:color="000000" w:fill="BFBFBF"/>
            <w:noWrap/>
            <w:vAlign w:val="center"/>
            <w:hideMark/>
          </w:tcPr>
          <w:p w14:paraId="1111EBCF" w14:textId="0302BE5B" w:rsidR="00865F5B" w:rsidRPr="00DA4CC8" w:rsidRDefault="00865F5B" w:rsidP="00D954CE">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FF0000"/>
                <w:sz w:val="16"/>
                <w:szCs w:val="16"/>
                <w:lang w:eastAsia="en-GB"/>
              </w:rPr>
              <w:t>(2)</w:t>
            </w:r>
            <w:r w:rsidRPr="00DA4CC8">
              <w:rPr>
                <w:rFonts w:asciiTheme="minorBidi" w:eastAsia="Times New Roman" w:hAnsiTheme="minorBidi"/>
                <w:b/>
                <w:bCs/>
                <w:color w:val="000000"/>
                <w:sz w:val="16"/>
                <w:szCs w:val="16"/>
                <w:lang w:eastAsia="en-GB"/>
              </w:rPr>
              <w:t xml:space="preserve"> Non-participating companies (unilateral disclosure)</w:t>
            </w:r>
            <w:r w:rsidRPr="00DA4CC8">
              <w:rPr>
                <w:rFonts w:asciiTheme="minorBidi" w:eastAsia="Calibri" w:hAnsiTheme="minorBidi"/>
                <w:sz w:val="16"/>
                <w:szCs w:val="16"/>
                <w:vertAlign w:val="superscript"/>
              </w:rPr>
              <w:t xml:space="preserve"> (b)</w:t>
            </w:r>
          </w:p>
        </w:tc>
        <w:tc>
          <w:tcPr>
            <w:tcW w:w="831" w:type="pct"/>
            <w:tcBorders>
              <w:top w:val="nil"/>
              <w:left w:val="nil"/>
              <w:bottom w:val="nil"/>
              <w:right w:val="nil"/>
            </w:tcBorders>
            <w:shd w:val="clear" w:color="000000" w:fill="BFBFBF"/>
            <w:noWrap/>
            <w:vAlign w:val="center"/>
            <w:hideMark/>
          </w:tcPr>
          <w:p w14:paraId="77900EFB" w14:textId="77777777" w:rsidR="00865F5B" w:rsidRPr="00DA4CC8" w:rsidRDefault="00865F5B" w:rsidP="00D954CE">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011" w:type="pct"/>
            <w:tcBorders>
              <w:top w:val="nil"/>
              <w:left w:val="nil"/>
              <w:bottom w:val="nil"/>
              <w:right w:val="nil"/>
            </w:tcBorders>
            <w:shd w:val="clear" w:color="000000" w:fill="BFBFBF"/>
            <w:noWrap/>
            <w:vAlign w:val="center"/>
            <w:hideMark/>
          </w:tcPr>
          <w:p w14:paraId="6C9BA885" w14:textId="77777777" w:rsidR="00865F5B" w:rsidRPr="00DA4CC8" w:rsidRDefault="00865F5B" w:rsidP="00D954CE">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470" w:type="pct"/>
            <w:tcBorders>
              <w:top w:val="nil"/>
              <w:left w:val="nil"/>
              <w:bottom w:val="nil"/>
              <w:right w:val="nil"/>
            </w:tcBorders>
            <w:shd w:val="clear" w:color="000000" w:fill="BFBFBF"/>
            <w:vAlign w:val="center"/>
          </w:tcPr>
          <w:p w14:paraId="729600AF" w14:textId="77777777" w:rsidR="00865F5B" w:rsidRPr="00DA4CC8" w:rsidRDefault="00865F5B" w:rsidP="00DA4CC8">
            <w:pPr>
              <w:spacing w:after="0" w:line="240" w:lineRule="auto"/>
              <w:jc w:val="right"/>
              <w:rPr>
                <w:rFonts w:asciiTheme="minorBidi" w:eastAsia="Times New Roman" w:hAnsiTheme="minorBidi"/>
                <w:b/>
                <w:bCs/>
                <w:color w:val="000000"/>
                <w:sz w:val="16"/>
                <w:szCs w:val="16"/>
                <w:lang w:eastAsia="en-GB"/>
              </w:rPr>
            </w:pPr>
          </w:p>
        </w:tc>
      </w:tr>
      <w:tr w:rsidR="00276B02" w:rsidRPr="00DA4CC8" w14:paraId="022441AD" w14:textId="29B2FD7A" w:rsidTr="00DA4CC8">
        <w:trPr>
          <w:trHeight w:val="227"/>
        </w:trPr>
        <w:tc>
          <w:tcPr>
            <w:tcW w:w="2114" w:type="pct"/>
            <w:tcBorders>
              <w:top w:val="nil"/>
              <w:left w:val="nil"/>
              <w:bottom w:val="nil"/>
              <w:right w:val="nil"/>
            </w:tcBorders>
            <w:shd w:val="clear" w:color="auto" w:fill="B4C6E7"/>
            <w:noWrap/>
            <w:vAlign w:val="center"/>
            <w:hideMark/>
          </w:tcPr>
          <w:p w14:paraId="2FC369FB"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EPL</w:t>
            </w:r>
          </w:p>
        </w:tc>
        <w:tc>
          <w:tcPr>
            <w:tcW w:w="574" w:type="pct"/>
            <w:tcBorders>
              <w:top w:val="nil"/>
              <w:left w:val="nil"/>
              <w:bottom w:val="nil"/>
              <w:right w:val="nil"/>
            </w:tcBorders>
            <w:shd w:val="clear" w:color="auto" w:fill="B4C6E7"/>
            <w:vAlign w:val="center"/>
            <w:hideMark/>
          </w:tcPr>
          <w:p w14:paraId="76C58E02"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13E5DC0A"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000000" w:fill="B4C6E7"/>
            <w:noWrap/>
            <w:vAlign w:val="center"/>
            <w:hideMark/>
          </w:tcPr>
          <w:p w14:paraId="7437221A"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5.6</w:t>
            </w:r>
          </w:p>
        </w:tc>
        <w:tc>
          <w:tcPr>
            <w:tcW w:w="470" w:type="pct"/>
            <w:tcBorders>
              <w:top w:val="nil"/>
              <w:left w:val="nil"/>
              <w:bottom w:val="nil"/>
              <w:right w:val="nil"/>
            </w:tcBorders>
            <w:shd w:val="clear" w:color="000000" w:fill="B4C6E7"/>
            <w:vAlign w:val="center"/>
          </w:tcPr>
          <w:p w14:paraId="52B30CCF"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4EF88354" w14:textId="3BBE5FDD" w:rsidTr="00DA4CC8">
        <w:trPr>
          <w:trHeight w:val="227"/>
        </w:trPr>
        <w:tc>
          <w:tcPr>
            <w:tcW w:w="2114" w:type="pct"/>
            <w:tcBorders>
              <w:top w:val="nil"/>
              <w:left w:val="nil"/>
              <w:bottom w:val="nil"/>
              <w:right w:val="nil"/>
            </w:tcBorders>
            <w:shd w:val="clear" w:color="auto" w:fill="auto"/>
            <w:vAlign w:val="center"/>
            <w:hideMark/>
          </w:tcPr>
          <w:p w14:paraId="43F831A2"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RFCT &amp; SC</w:t>
            </w:r>
          </w:p>
        </w:tc>
        <w:tc>
          <w:tcPr>
            <w:tcW w:w="574" w:type="pct"/>
            <w:tcBorders>
              <w:top w:val="nil"/>
              <w:left w:val="nil"/>
              <w:bottom w:val="nil"/>
              <w:right w:val="nil"/>
            </w:tcBorders>
            <w:shd w:val="clear" w:color="auto" w:fill="auto"/>
            <w:vAlign w:val="center"/>
            <w:hideMark/>
          </w:tcPr>
          <w:p w14:paraId="2394FF01"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26078A1A"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auto"/>
            <w:noWrap/>
            <w:vAlign w:val="center"/>
            <w:hideMark/>
          </w:tcPr>
          <w:p w14:paraId="0A49DEE4" w14:textId="42DBBAEB" w:rsidR="00865F5B" w:rsidRPr="00DA4CC8" w:rsidRDefault="00865F5B" w:rsidP="00894453">
            <w:pPr>
              <w:spacing w:after="0" w:line="240" w:lineRule="auto"/>
              <w:jc w:val="right"/>
              <w:rPr>
                <w:rFonts w:asciiTheme="minorBidi" w:eastAsia="Times New Roman" w:hAnsiTheme="minorBidi"/>
                <w:color w:val="FF0000"/>
                <w:sz w:val="16"/>
                <w:szCs w:val="16"/>
                <w:lang w:eastAsia="en-GB"/>
              </w:rPr>
            </w:pPr>
            <w:r w:rsidRPr="00DA4CC8">
              <w:rPr>
                <w:rFonts w:asciiTheme="minorBidi" w:eastAsia="Times New Roman" w:hAnsiTheme="minorBidi"/>
                <w:color w:val="FF0000"/>
                <w:sz w:val="16"/>
                <w:szCs w:val="16"/>
                <w:lang w:eastAsia="en-GB"/>
              </w:rPr>
              <w:t>-5.3</w:t>
            </w:r>
          </w:p>
        </w:tc>
        <w:tc>
          <w:tcPr>
            <w:tcW w:w="470" w:type="pct"/>
            <w:tcBorders>
              <w:top w:val="nil"/>
              <w:left w:val="nil"/>
              <w:bottom w:val="nil"/>
              <w:right w:val="nil"/>
            </w:tcBorders>
            <w:vAlign w:val="center"/>
          </w:tcPr>
          <w:p w14:paraId="11706C4B" w14:textId="77777777" w:rsidR="00865F5B" w:rsidRPr="00DA4CC8" w:rsidRDefault="00865F5B" w:rsidP="00276B02">
            <w:pPr>
              <w:spacing w:after="0" w:line="240" w:lineRule="auto"/>
              <w:jc w:val="right"/>
              <w:rPr>
                <w:rFonts w:asciiTheme="minorBidi" w:eastAsia="Times New Roman" w:hAnsiTheme="minorBidi"/>
                <w:color w:val="FF0000"/>
                <w:sz w:val="16"/>
                <w:szCs w:val="16"/>
                <w:lang w:eastAsia="en-GB"/>
              </w:rPr>
            </w:pPr>
          </w:p>
        </w:tc>
      </w:tr>
      <w:tr w:rsidR="00276B02" w:rsidRPr="00DA4CC8" w14:paraId="73F0D3E7" w14:textId="0E52B219" w:rsidTr="00DA4CC8">
        <w:trPr>
          <w:trHeight w:val="227"/>
        </w:trPr>
        <w:tc>
          <w:tcPr>
            <w:tcW w:w="2114" w:type="pct"/>
            <w:tcBorders>
              <w:top w:val="nil"/>
              <w:left w:val="nil"/>
              <w:bottom w:val="nil"/>
              <w:right w:val="nil"/>
            </w:tcBorders>
            <w:shd w:val="clear" w:color="auto" w:fill="B4C6E7"/>
            <w:vAlign w:val="center"/>
            <w:hideMark/>
          </w:tcPr>
          <w:p w14:paraId="6055FBBE"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CT</w:t>
            </w:r>
          </w:p>
        </w:tc>
        <w:tc>
          <w:tcPr>
            <w:tcW w:w="574" w:type="pct"/>
            <w:tcBorders>
              <w:top w:val="nil"/>
              <w:left w:val="nil"/>
              <w:bottom w:val="nil"/>
              <w:right w:val="nil"/>
            </w:tcBorders>
            <w:shd w:val="clear" w:color="auto" w:fill="B4C6E7"/>
            <w:vAlign w:val="center"/>
            <w:hideMark/>
          </w:tcPr>
          <w:p w14:paraId="5DA7A201"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auto" w:fill="B4C6E7"/>
            <w:vAlign w:val="center"/>
            <w:hideMark/>
          </w:tcPr>
          <w:p w14:paraId="02FEF57B"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B4C6E7"/>
            <w:noWrap/>
            <w:vAlign w:val="center"/>
            <w:hideMark/>
          </w:tcPr>
          <w:p w14:paraId="0A1C1F7E"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2.9</w:t>
            </w:r>
          </w:p>
        </w:tc>
        <w:tc>
          <w:tcPr>
            <w:tcW w:w="470" w:type="pct"/>
            <w:tcBorders>
              <w:top w:val="nil"/>
              <w:left w:val="nil"/>
              <w:bottom w:val="nil"/>
              <w:right w:val="nil"/>
            </w:tcBorders>
            <w:shd w:val="clear" w:color="auto" w:fill="B4C6E7"/>
            <w:vAlign w:val="center"/>
          </w:tcPr>
          <w:p w14:paraId="1587118C"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78DC4735" w14:textId="292B74BD" w:rsidTr="00DA4CC8">
        <w:trPr>
          <w:trHeight w:val="227"/>
        </w:trPr>
        <w:tc>
          <w:tcPr>
            <w:tcW w:w="2114" w:type="pct"/>
            <w:tcBorders>
              <w:top w:val="nil"/>
              <w:left w:val="nil"/>
              <w:bottom w:val="nil"/>
              <w:right w:val="nil"/>
            </w:tcBorders>
            <w:shd w:val="clear" w:color="auto" w:fill="auto"/>
            <w:noWrap/>
            <w:vAlign w:val="center"/>
            <w:hideMark/>
          </w:tcPr>
          <w:p w14:paraId="78FE3F6A"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TCE</w:t>
            </w:r>
          </w:p>
        </w:tc>
        <w:tc>
          <w:tcPr>
            <w:tcW w:w="574" w:type="pct"/>
            <w:tcBorders>
              <w:top w:val="nil"/>
              <w:left w:val="nil"/>
              <w:bottom w:val="nil"/>
              <w:right w:val="nil"/>
            </w:tcBorders>
            <w:shd w:val="clear" w:color="auto" w:fill="auto"/>
            <w:vAlign w:val="center"/>
            <w:hideMark/>
          </w:tcPr>
          <w:p w14:paraId="4CD3B5D3"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auto" w:fill="auto"/>
            <w:vAlign w:val="center"/>
            <w:hideMark/>
          </w:tcPr>
          <w:p w14:paraId="70F34447"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TCE</w:t>
            </w:r>
          </w:p>
        </w:tc>
        <w:tc>
          <w:tcPr>
            <w:tcW w:w="1011" w:type="pct"/>
            <w:tcBorders>
              <w:top w:val="nil"/>
              <w:left w:val="nil"/>
              <w:bottom w:val="nil"/>
              <w:right w:val="nil"/>
            </w:tcBorders>
            <w:shd w:val="clear" w:color="auto" w:fill="auto"/>
            <w:noWrap/>
            <w:vAlign w:val="center"/>
            <w:hideMark/>
          </w:tcPr>
          <w:p w14:paraId="3F8F55D3"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1.2</w:t>
            </w:r>
          </w:p>
        </w:tc>
        <w:tc>
          <w:tcPr>
            <w:tcW w:w="470" w:type="pct"/>
            <w:tcBorders>
              <w:top w:val="nil"/>
              <w:left w:val="nil"/>
              <w:bottom w:val="nil"/>
              <w:right w:val="nil"/>
            </w:tcBorders>
            <w:shd w:val="clear" w:color="auto" w:fill="auto"/>
            <w:vAlign w:val="center"/>
          </w:tcPr>
          <w:p w14:paraId="032A3CF2"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69D831E3" w14:textId="7197202B" w:rsidTr="00DA4CC8">
        <w:trPr>
          <w:trHeight w:val="227"/>
        </w:trPr>
        <w:tc>
          <w:tcPr>
            <w:tcW w:w="2114" w:type="pct"/>
            <w:tcBorders>
              <w:top w:val="nil"/>
              <w:left w:val="nil"/>
              <w:bottom w:val="nil"/>
              <w:right w:val="nil"/>
            </w:tcBorders>
            <w:shd w:val="clear" w:color="auto" w:fill="B4C6E7"/>
            <w:vAlign w:val="center"/>
            <w:hideMark/>
          </w:tcPr>
          <w:p w14:paraId="35A4A800"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CES</w:t>
            </w:r>
          </w:p>
        </w:tc>
        <w:tc>
          <w:tcPr>
            <w:tcW w:w="574" w:type="pct"/>
            <w:tcBorders>
              <w:top w:val="nil"/>
              <w:left w:val="nil"/>
              <w:bottom w:val="nil"/>
              <w:right w:val="nil"/>
            </w:tcBorders>
            <w:shd w:val="clear" w:color="auto" w:fill="B4C6E7"/>
            <w:vAlign w:val="center"/>
            <w:hideMark/>
          </w:tcPr>
          <w:p w14:paraId="08CDE9A3"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auto" w:fill="B4C6E7"/>
            <w:vAlign w:val="center"/>
            <w:hideMark/>
          </w:tcPr>
          <w:p w14:paraId="5E88B953"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CES</w:t>
            </w:r>
          </w:p>
        </w:tc>
        <w:tc>
          <w:tcPr>
            <w:tcW w:w="1011" w:type="pct"/>
            <w:tcBorders>
              <w:top w:val="nil"/>
              <w:left w:val="nil"/>
              <w:bottom w:val="nil"/>
              <w:right w:val="nil"/>
            </w:tcBorders>
            <w:shd w:val="clear" w:color="auto" w:fill="B4C6E7"/>
            <w:noWrap/>
            <w:vAlign w:val="center"/>
            <w:hideMark/>
          </w:tcPr>
          <w:p w14:paraId="3E3A9E50"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0.3</w:t>
            </w:r>
          </w:p>
        </w:tc>
        <w:tc>
          <w:tcPr>
            <w:tcW w:w="470" w:type="pct"/>
            <w:tcBorders>
              <w:top w:val="nil"/>
              <w:left w:val="nil"/>
              <w:bottom w:val="nil"/>
              <w:right w:val="nil"/>
            </w:tcBorders>
            <w:shd w:val="clear" w:color="auto" w:fill="B4C6E7"/>
            <w:vAlign w:val="center"/>
          </w:tcPr>
          <w:p w14:paraId="4DBA1036"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74634D0B" w14:textId="7DDFE574" w:rsidTr="00DA4CC8">
        <w:trPr>
          <w:trHeight w:val="227"/>
        </w:trPr>
        <w:tc>
          <w:tcPr>
            <w:tcW w:w="2114" w:type="pct"/>
            <w:tcBorders>
              <w:top w:val="nil"/>
              <w:left w:val="nil"/>
              <w:bottom w:val="nil"/>
              <w:right w:val="nil"/>
            </w:tcBorders>
            <w:shd w:val="clear" w:color="000000" w:fill="BFBFBF"/>
            <w:noWrap/>
            <w:vAlign w:val="center"/>
            <w:hideMark/>
          </w:tcPr>
          <w:p w14:paraId="25FEAE9A"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405" w:type="pct"/>
            <w:gridSpan w:val="2"/>
            <w:tcBorders>
              <w:top w:val="nil"/>
              <w:left w:val="nil"/>
              <w:bottom w:val="nil"/>
              <w:right w:val="nil"/>
            </w:tcBorders>
            <w:shd w:val="clear" w:color="000000" w:fill="BFBFBF"/>
            <w:noWrap/>
            <w:vAlign w:val="center"/>
            <w:hideMark/>
          </w:tcPr>
          <w:p w14:paraId="367D1B51"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Sub-total (2)</w:t>
            </w:r>
          </w:p>
        </w:tc>
        <w:tc>
          <w:tcPr>
            <w:tcW w:w="1011" w:type="pct"/>
            <w:tcBorders>
              <w:top w:val="nil"/>
              <w:left w:val="nil"/>
              <w:bottom w:val="nil"/>
              <w:right w:val="nil"/>
            </w:tcBorders>
            <w:shd w:val="clear" w:color="000000" w:fill="BFBFBF"/>
            <w:noWrap/>
            <w:vAlign w:val="center"/>
            <w:hideMark/>
          </w:tcPr>
          <w:p w14:paraId="788DD64D" w14:textId="029E9953" w:rsidR="00865F5B" w:rsidRPr="00DA4CC8" w:rsidRDefault="00865F5B" w:rsidP="00894453">
            <w:pPr>
              <w:spacing w:after="0" w:line="240" w:lineRule="auto"/>
              <w:jc w:val="right"/>
              <w:rPr>
                <w:rFonts w:asciiTheme="minorBidi" w:eastAsia="Times New Roman" w:hAnsiTheme="minorBidi"/>
                <w:b/>
                <w:bCs/>
                <w:color w:val="FF0000"/>
                <w:sz w:val="16"/>
                <w:szCs w:val="16"/>
                <w:lang w:eastAsia="en-GB"/>
              </w:rPr>
            </w:pPr>
            <w:r w:rsidRPr="00DA4CC8">
              <w:rPr>
                <w:rFonts w:asciiTheme="minorBidi" w:eastAsia="Times New Roman" w:hAnsiTheme="minorBidi"/>
                <w:b/>
                <w:bCs/>
                <w:sz w:val="16"/>
                <w:szCs w:val="16"/>
                <w:lang w:eastAsia="en-GB"/>
              </w:rPr>
              <w:t>4.7</w:t>
            </w:r>
          </w:p>
        </w:tc>
        <w:tc>
          <w:tcPr>
            <w:tcW w:w="470" w:type="pct"/>
            <w:tcBorders>
              <w:top w:val="nil"/>
              <w:left w:val="nil"/>
              <w:bottom w:val="nil"/>
              <w:right w:val="nil"/>
            </w:tcBorders>
            <w:shd w:val="clear" w:color="000000" w:fill="BFBFBF"/>
            <w:vAlign w:val="center"/>
          </w:tcPr>
          <w:p w14:paraId="1172925F" w14:textId="3A54B7A7" w:rsidR="00865F5B" w:rsidRPr="00DA4CC8" w:rsidRDefault="00A1164A" w:rsidP="00276B02">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0.</w:t>
            </w:r>
            <w:r w:rsidR="0042304B" w:rsidRPr="00DA4CC8">
              <w:rPr>
                <w:rFonts w:asciiTheme="minorBidi" w:eastAsia="Times New Roman" w:hAnsiTheme="minorBidi"/>
                <w:b/>
                <w:bCs/>
                <w:sz w:val="16"/>
                <w:szCs w:val="16"/>
                <w:lang w:eastAsia="en-GB"/>
              </w:rPr>
              <w:t>1</w:t>
            </w:r>
            <w:r w:rsidRPr="00DA4CC8">
              <w:rPr>
                <w:rFonts w:asciiTheme="minorBidi" w:eastAsia="Times New Roman" w:hAnsiTheme="minorBidi"/>
                <w:b/>
                <w:bCs/>
                <w:sz w:val="16"/>
                <w:szCs w:val="16"/>
                <w:lang w:eastAsia="en-GB"/>
              </w:rPr>
              <w:t>%</w:t>
            </w:r>
          </w:p>
        </w:tc>
      </w:tr>
      <w:tr w:rsidR="00276B02" w:rsidRPr="00DA4CC8" w14:paraId="625B1E27" w14:textId="77777777" w:rsidTr="00DA4CC8">
        <w:trPr>
          <w:trHeight w:val="63"/>
        </w:trPr>
        <w:tc>
          <w:tcPr>
            <w:tcW w:w="2114" w:type="pct"/>
            <w:tcBorders>
              <w:top w:val="nil"/>
              <w:left w:val="nil"/>
              <w:bottom w:val="nil"/>
              <w:right w:val="nil"/>
            </w:tcBorders>
            <w:shd w:val="clear" w:color="auto" w:fill="auto"/>
            <w:noWrap/>
            <w:vAlign w:val="center"/>
            <w:hideMark/>
          </w:tcPr>
          <w:p w14:paraId="17AE1ECB" w14:textId="77777777" w:rsidR="00865F5B" w:rsidRPr="00DA4CC8" w:rsidRDefault="00865F5B" w:rsidP="00B13B52">
            <w:pPr>
              <w:spacing w:after="0" w:line="240" w:lineRule="auto"/>
              <w:jc w:val="right"/>
              <w:rPr>
                <w:rFonts w:asciiTheme="minorBidi" w:eastAsia="Times New Roman" w:hAnsiTheme="minorBidi"/>
                <w:b/>
                <w:bCs/>
                <w:sz w:val="2"/>
                <w:szCs w:val="2"/>
                <w:lang w:eastAsia="en-GB"/>
              </w:rPr>
            </w:pPr>
          </w:p>
        </w:tc>
        <w:tc>
          <w:tcPr>
            <w:tcW w:w="574" w:type="pct"/>
            <w:tcBorders>
              <w:top w:val="nil"/>
              <w:left w:val="nil"/>
              <w:bottom w:val="nil"/>
              <w:right w:val="nil"/>
            </w:tcBorders>
            <w:shd w:val="clear" w:color="auto" w:fill="auto"/>
            <w:noWrap/>
            <w:vAlign w:val="center"/>
            <w:hideMark/>
          </w:tcPr>
          <w:p w14:paraId="0DE02332" w14:textId="77777777" w:rsidR="00865F5B" w:rsidRPr="00DA4CC8" w:rsidRDefault="00865F5B" w:rsidP="00B13B52">
            <w:pPr>
              <w:spacing w:after="0" w:line="240" w:lineRule="auto"/>
              <w:rPr>
                <w:rFonts w:asciiTheme="minorBidi" w:eastAsia="Times New Roman" w:hAnsiTheme="minorBidi"/>
                <w:sz w:val="2"/>
                <w:szCs w:val="2"/>
                <w:lang w:eastAsia="en-GB"/>
              </w:rPr>
            </w:pPr>
          </w:p>
        </w:tc>
        <w:tc>
          <w:tcPr>
            <w:tcW w:w="831" w:type="pct"/>
            <w:tcBorders>
              <w:top w:val="nil"/>
              <w:left w:val="nil"/>
              <w:bottom w:val="nil"/>
              <w:right w:val="nil"/>
            </w:tcBorders>
            <w:shd w:val="clear" w:color="auto" w:fill="auto"/>
            <w:noWrap/>
            <w:vAlign w:val="center"/>
            <w:hideMark/>
          </w:tcPr>
          <w:p w14:paraId="6AB2F9A5" w14:textId="77777777" w:rsidR="00865F5B" w:rsidRPr="00DA4CC8" w:rsidRDefault="00865F5B" w:rsidP="00B13B52">
            <w:pPr>
              <w:spacing w:after="0" w:line="240" w:lineRule="auto"/>
              <w:rPr>
                <w:rFonts w:asciiTheme="minorBidi" w:eastAsia="Times New Roman" w:hAnsiTheme="minorBidi"/>
                <w:sz w:val="2"/>
                <w:szCs w:val="2"/>
                <w:lang w:eastAsia="en-GB"/>
              </w:rPr>
            </w:pPr>
          </w:p>
        </w:tc>
        <w:tc>
          <w:tcPr>
            <w:tcW w:w="1011" w:type="pct"/>
            <w:tcBorders>
              <w:top w:val="nil"/>
              <w:left w:val="nil"/>
              <w:bottom w:val="nil"/>
              <w:right w:val="nil"/>
            </w:tcBorders>
            <w:shd w:val="clear" w:color="auto" w:fill="auto"/>
            <w:noWrap/>
            <w:vAlign w:val="center"/>
            <w:hideMark/>
          </w:tcPr>
          <w:p w14:paraId="6F202FE4" w14:textId="77777777" w:rsidR="00865F5B" w:rsidRPr="00DA4CC8" w:rsidRDefault="00865F5B" w:rsidP="00B13B52">
            <w:pPr>
              <w:spacing w:after="0" w:line="240" w:lineRule="auto"/>
              <w:jc w:val="right"/>
              <w:rPr>
                <w:rFonts w:asciiTheme="minorBidi" w:eastAsia="Times New Roman" w:hAnsiTheme="minorBidi"/>
                <w:sz w:val="2"/>
                <w:szCs w:val="2"/>
                <w:lang w:eastAsia="en-GB"/>
              </w:rPr>
            </w:pPr>
          </w:p>
        </w:tc>
        <w:tc>
          <w:tcPr>
            <w:tcW w:w="470" w:type="pct"/>
            <w:tcBorders>
              <w:top w:val="nil"/>
              <w:left w:val="nil"/>
              <w:bottom w:val="nil"/>
              <w:right w:val="nil"/>
            </w:tcBorders>
            <w:vAlign w:val="center"/>
          </w:tcPr>
          <w:p w14:paraId="7F9A71E3" w14:textId="77777777" w:rsidR="00865F5B" w:rsidRPr="00DA4CC8" w:rsidRDefault="00865F5B" w:rsidP="00276B02">
            <w:pPr>
              <w:spacing w:after="0" w:line="240" w:lineRule="auto"/>
              <w:jc w:val="right"/>
              <w:rPr>
                <w:rFonts w:asciiTheme="minorBidi" w:eastAsia="Times New Roman" w:hAnsiTheme="minorBidi"/>
                <w:sz w:val="2"/>
                <w:szCs w:val="2"/>
                <w:lang w:eastAsia="en-GB"/>
              </w:rPr>
            </w:pPr>
          </w:p>
        </w:tc>
      </w:tr>
      <w:tr w:rsidR="00E575FC" w:rsidRPr="00DA4CC8" w14:paraId="2C3C2702" w14:textId="71E9770F" w:rsidTr="00DA4CC8">
        <w:trPr>
          <w:trHeight w:val="227"/>
        </w:trPr>
        <w:tc>
          <w:tcPr>
            <w:tcW w:w="4530" w:type="pct"/>
            <w:gridSpan w:val="4"/>
            <w:tcBorders>
              <w:top w:val="nil"/>
              <w:left w:val="nil"/>
              <w:bottom w:val="nil"/>
              <w:right w:val="nil"/>
            </w:tcBorders>
            <w:shd w:val="clear" w:color="000000" w:fill="BFBFBF"/>
            <w:noWrap/>
            <w:vAlign w:val="center"/>
            <w:hideMark/>
          </w:tcPr>
          <w:p w14:paraId="5670460C"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FF0000"/>
                <w:sz w:val="16"/>
                <w:szCs w:val="16"/>
                <w:lang w:eastAsia="en-GB"/>
              </w:rPr>
              <w:t>(3)</w:t>
            </w:r>
            <w:r w:rsidRPr="00DA4CC8">
              <w:rPr>
                <w:rFonts w:asciiTheme="minorBidi" w:eastAsia="Times New Roman" w:hAnsiTheme="minorBidi"/>
                <w:b/>
                <w:bCs/>
                <w:color w:val="000000"/>
                <w:sz w:val="16"/>
                <w:szCs w:val="16"/>
                <w:lang w:eastAsia="en-GB"/>
              </w:rPr>
              <w:t xml:space="preserve"> </w:t>
            </w:r>
            <w:bookmarkStart w:id="9" w:name="_Hlk177577191"/>
            <w:r w:rsidRPr="00DA4CC8">
              <w:rPr>
                <w:rFonts w:asciiTheme="minorBidi" w:eastAsia="Times New Roman" w:hAnsiTheme="minorBidi"/>
                <w:b/>
                <w:bCs/>
                <w:color w:val="000000"/>
                <w:sz w:val="16"/>
                <w:szCs w:val="16"/>
                <w:lang w:eastAsia="en-GB"/>
              </w:rPr>
              <w:t>Out-of-scope companies (unilateral disclosure)</w:t>
            </w:r>
            <w:r w:rsidRPr="00DA4CC8">
              <w:rPr>
                <w:rFonts w:asciiTheme="minorBidi" w:eastAsia="Calibri" w:hAnsiTheme="minorBidi"/>
                <w:sz w:val="16"/>
                <w:szCs w:val="16"/>
                <w:vertAlign w:val="superscript"/>
              </w:rPr>
              <w:t xml:space="preserve"> </w:t>
            </w:r>
            <w:bookmarkEnd w:id="9"/>
            <w:r w:rsidRPr="00DA4CC8">
              <w:rPr>
                <w:rFonts w:asciiTheme="minorBidi" w:eastAsia="Calibri" w:hAnsiTheme="minorBidi"/>
                <w:sz w:val="16"/>
                <w:szCs w:val="16"/>
                <w:vertAlign w:val="superscript"/>
              </w:rPr>
              <w:t>(c)</w:t>
            </w:r>
          </w:p>
        </w:tc>
        <w:tc>
          <w:tcPr>
            <w:tcW w:w="470" w:type="pct"/>
            <w:tcBorders>
              <w:top w:val="nil"/>
              <w:left w:val="nil"/>
              <w:bottom w:val="nil"/>
              <w:right w:val="nil"/>
            </w:tcBorders>
            <w:shd w:val="clear" w:color="000000" w:fill="BFBFBF"/>
            <w:vAlign w:val="center"/>
          </w:tcPr>
          <w:p w14:paraId="24895E8E" w14:textId="77777777" w:rsidR="00865F5B" w:rsidRPr="00DA4CC8" w:rsidRDefault="00865F5B" w:rsidP="00DA4CC8">
            <w:pPr>
              <w:spacing w:after="0" w:line="240" w:lineRule="auto"/>
              <w:jc w:val="right"/>
              <w:rPr>
                <w:rFonts w:asciiTheme="minorBidi" w:eastAsia="Times New Roman" w:hAnsiTheme="minorBidi"/>
                <w:b/>
                <w:bCs/>
                <w:color w:val="FF0000"/>
                <w:sz w:val="16"/>
                <w:szCs w:val="16"/>
                <w:lang w:eastAsia="en-GB"/>
              </w:rPr>
            </w:pPr>
          </w:p>
        </w:tc>
      </w:tr>
      <w:tr w:rsidR="00276B02" w:rsidRPr="00DA4CC8" w14:paraId="19BDB5BD" w14:textId="0B8A9CD4" w:rsidTr="00DA4CC8">
        <w:trPr>
          <w:trHeight w:val="227"/>
        </w:trPr>
        <w:tc>
          <w:tcPr>
            <w:tcW w:w="2114" w:type="pct"/>
            <w:tcBorders>
              <w:top w:val="nil"/>
              <w:left w:val="nil"/>
              <w:bottom w:val="nil"/>
              <w:right w:val="nil"/>
            </w:tcBorders>
            <w:shd w:val="clear" w:color="000000" w:fill="B4C6E7"/>
            <w:noWrap/>
            <w:vAlign w:val="center"/>
            <w:hideMark/>
          </w:tcPr>
          <w:p w14:paraId="1AB139BE"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EPL</w:t>
            </w:r>
          </w:p>
        </w:tc>
        <w:tc>
          <w:tcPr>
            <w:tcW w:w="574" w:type="pct"/>
            <w:tcBorders>
              <w:top w:val="nil"/>
              <w:left w:val="nil"/>
              <w:bottom w:val="nil"/>
              <w:right w:val="nil"/>
            </w:tcBorders>
            <w:shd w:val="clear" w:color="000000" w:fill="B4C6E7"/>
            <w:vAlign w:val="center"/>
            <w:hideMark/>
          </w:tcPr>
          <w:p w14:paraId="1C00E27A"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68FD1B7D"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000000" w:fill="B4C6E7"/>
            <w:noWrap/>
            <w:vAlign w:val="center"/>
            <w:hideMark/>
          </w:tcPr>
          <w:p w14:paraId="51147AF4" w14:textId="369F315C"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0.1</w:t>
            </w:r>
          </w:p>
        </w:tc>
        <w:tc>
          <w:tcPr>
            <w:tcW w:w="470" w:type="pct"/>
            <w:tcBorders>
              <w:top w:val="nil"/>
              <w:left w:val="nil"/>
              <w:bottom w:val="nil"/>
              <w:right w:val="nil"/>
            </w:tcBorders>
            <w:shd w:val="clear" w:color="000000" w:fill="B4C6E7"/>
            <w:vAlign w:val="center"/>
          </w:tcPr>
          <w:p w14:paraId="5FAF26AA"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6B14414B" w14:textId="649A77F0" w:rsidTr="00DA4CC8">
        <w:trPr>
          <w:trHeight w:val="227"/>
        </w:trPr>
        <w:tc>
          <w:tcPr>
            <w:tcW w:w="2114" w:type="pct"/>
            <w:tcBorders>
              <w:top w:val="nil"/>
              <w:left w:val="nil"/>
              <w:bottom w:val="nil"/>
              <w:right w:val="nil"/>
            </w:tcBorders>
            <w:shd w:val="clear" w:color="auto" w:fill="auto"/>
            <w:noWrap/>
            <w:vAlign w:val="center"/>
            <w:hideMark/>
          </w:tcPr>
          <w:p w14:paraId="1DF1D7FF"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TCE</w:t>
            </w:r>
          </w:p>
        </w:tc>
        <w:tc>
          <w:tcPr>
            <w:tcW w:w="574" w:type="pct"/>
            <w:tcBorders>
              <w:top w:val="nil"/>
              <w:left w:val="nil"/>
              <w:bottom w:val="nil"/>
              <w:right w:val="nil"/>
            </w:tcBorders>
            <w:shd w:val="clear" w:color="auto" w:fill="auto"/>
            <w:vAlign w:val="center"/>
            <w:hideMark/>
          </w:tcPr>
          <w:p w14:paraId="61F81E49"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06AECFC2"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TCE</w:t>
            </w:r>
          </w:p>
        </w:tc>
        <w:tc>
          <w:tcPr>
            <w:tcW w:w="1011" w:type="pct"/>
            <w:tcBorders>
              <w:top w:val="nil"/>
              <w:left w:val="nil"/>
              <w:bottom w:val="nil"/>
              <w:right w:val="nil"/>
            </w:tcBorders>
            <w:shd w:val="clear" w:color="auto" w:fill="auto"/>
            <w:noWrap/>
            <w:vAlign w:val="center"/>
            <w:hideMark/>
          </w:tcPr>
          <w:p w14:paraId="7B64F4E7" w14:textId="14356FD0"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0.0</w:t>
            </w:r>
          </w:p>
        </w:tc>
        <w:tc>
          <w:tcPr>
            <w:tcW w:w="470" w:type="pct"/>
            <w:tcBorders>
              <w:top w:val="nil"/>
              <w:left w:val="nil"/>
              <w:bottom w:val="nil"/>
              <w:right w:val="nil"/>
            </w:tcBorders>
            <w:vAlign w:val="center"/>
          </w:tcPr>
          <w:p w14:paraId="14F83158"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1A17D83C" w14:textId="30A3F4B7" w:rsidTr="00DA4CC8">
        <w:trPr>
          <w:trHeight w:val="227"/>
        </w:trPr>
        <w:tc>
          <w:tcPr>
            <w:tcW w:w="2114" w:type="pct"/>
            <w:tcBorders>
              <w:top w:val="nil"/>
              <w:left w:val="nil"/>
              <w:bottom w:val="nil"/>
              <w:right w:val="nil"/>
            </w:tcBorders>
            <w:shd w:val="clear" w:color="000000" w:fill="B4C6E7"/>
            <w:noWrap/>
            <w:vAlign w:val="center"/>
            <w:hideMark/>
          </w:tcPr>
          <w:p w14:paraId="0319D25C"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CES</w:t>
            </w:r>
          </w:p>
        </w:tc>
        <w:tc>
          <w:tcPr>
            <w:tcW w:w="574" w:type="pct"/>
            <w:tcBorders>
              <w:top w:val="nil"/>
              <w:left w:val="nil"/>
              <w:bottom w:val="nil"/>
              <w:right w:val="nil"/>
            </w:tcBorders>
            <w:shd w:val="clear" w:color="000000" w:fill="B4C6E7"/>
            <w:vAlign w:val="center"/>
            <w:hideMark/>
          </w:tcPr>
          <w:p w14:paraId="10A7CD7F"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10832BDA"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CES</w:t>
            </w:r>
          </w:p>
        </w:tc>
        <w:tc>
          <w:tcPr>
            <w:tcW w:w="1011" w:type="pct"/>
            <w:tcBorders>
              <w:top w:val="nil"/>
              <w:left w:val="nil"/>
              <w:bottom w:val="nil"/>
              <w:right w:val="nil"/>
            </w:tcBorders>
            <w:shd w:val="clear" w:color="000000" w:fill="B4C6E7"/>
            <w:noWrap/>
            <w:vAlign w:val="center"/>
            <w:hideMark/>
          </w:tcPr>
          <w:p w14:paraId="133602D8" w14:textId="610F4CC9"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0.0</w:t>
            </w:r>
          </w:p>
        </w:tc>
        <w:tc>
          <w:tcPr>
            <w:tcW w:w="470" w:type="pct"/>
            <w:tcBorders>
              <w:top w:val="nil"/>
              <w:left w:val="nil"/>
              <w:bottom w:val="nil"/>
              <w:right w:val="nil"/>
            </w:tcBorders>
            <w:shd w:val="clear" w:color="000000" w:fill="B4C6E7"/>
            <w:vAlign w:val="center"/>
          </w:tcPr>
          <w:p w14:paraId="1CEFE72D"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712858C6" w14:textId="44FDB6AF" w:rsidTr="00DA4CC8">
        <w:trPr>
          <w:trHeight w:val="227"/>
        </w:trPr>
        <w:tc>
          <w:tcPr>
            <w:tcW w:w="2114" w:type="pct"/>
            <w:tcBorders>
              <w:top w:val="nil"/>
              <w:left w:val="nil"/>
              <w:bottom w:val="nil"/>
              <w:right w:val="nil"/>
            </w:tcBorders>
            <w:shd w:val="clear" w:color="auto" w:fill="auto"/>
            <w:noWrap/>
            <w:vAlign w:val="center"/>
            <w:hideMark/>
          </w:tcPr>
          <w:p w14:paraId="1FCF3F61"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CT</w:t>
            </w:r>
          </w:p>
        </w:tc>
        <w:tc>
          <w:tcPr>
            <w:tcW w:w="574" w:type="pct"/>
            <w:tcBorders>
              <w:top w:val="nil"/>
              <w:left w:val="nil"/>
              <w:bottom w:val="nil"/>
              <w:right w:val="nil"/>
            </w:tcBorders>
            <w:shd w:val="clear" w:color="auto" w:fill="auto"/>
            <w:vAlign w:val="center"/>
            <w:hideMark/>
          </w:tcPr>
          <w:p w14:paraId="6CBF2DF3"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auto" w:fill="auto"/>
            <w:vAlign w:val="center"/>
            <w:hideMark/>
          </w:tcPr>
          <w:p w14:paraId="7D52A894"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auto"/>
            <w:noWrap/>
            <w:vAlign w:val="center"/>
            <w:hideMark/>
          </w:tcPr>
          <w:p w14:paraId="671A25C8"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0.1</w:t>
            </w:r>
          </w:p>
        </w:tc>
        <w:tc>
          <w:tcPr>
            <w:tcW w:w="470" w:type="pct"/>
            <w:tcBorders>
              <w:top w:val="nil"/>
              <w:left w:val="nil"/>
              <w:bottom w:val="nil"/>
              <w:right w:val="nil"/>
            </w:tcBorders>
            <w:vAlign w:val="center"/>
          </w:tcPr>
          <w:p w14:paraId="54564425" w14:textId="77777777" w:rsidR="00865F5B" w:rsidRPr="00DA4CC8" w:rsidRDefault="00865F5B" w:rsidP="00276B02">
            <w:pPr>
              <w:spacing w:after="0" w:line="240" w:lineRule="auto"/>
              <w:jc w:val="right"/>
              <w:rPr>
                <w:rFonts w:asciiTheme="minorBidi" w:eastAsia="Times New Roman" w:hAnsiTheme="minorBidi"/>
                <w:sz w:val="16"/>
                <w:szCs w:val="16"/>
                <w:lang w:eastAsia="en-GB"/>
              </w:rPr>
            </w:pPr>
          </w:p>
        </w:tc>
      </w:tr>
      <w:tr w:rsidR="00276B02" w:rsidRPr="00DA4CC8" w14:paraId="0185E2A1" w14:textId="3D5B555D" w:rsidTr="00DA4CC8">
        <w:trPr>
          <w:trHeight w:val="227"/>
        </w:trPr>
        <w:tc>
          <w:tcPr>
            <w:tcW w:w="2114" w:type="pct"/>
            <w:tcBorders>
              <w:top w:val="nil"/>
              <w:left w:val="nil"/>
              <w:bottom w:val="nil"/>
              <w:right w:val="nil"/>
            </w:tcBorders>
            <w:shd w:val="clear" w:color="000000" w:fill="BFBFBF"/>
            <w:noWrap/>
            <w:vAlign w:val="center"/>
            <w:hideMark/>
          </w:tcPr>
          <w:p w14:paraId="4CDAAA40"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405" w:type="pct"/>
            <w:gridSpan w:val="2"/>
            <w:tcBorders>
              <w:top w:val="nil"/>
              <w:left w:val="nil"/>
              <w:bottom w:val="nil"/>
              <w:right w:val="nil"/>
            </w:tcBorders>
            <w:shd w:val="clear" w:color="000000" w:fill="BFBFBF"/>
            <w:noWrap/>
            <w:vAlign w:val="center"/>
            <w:hideMark/>
          </w:tcPr>
          <w:p w14:paraId="7BC243CB"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Sub-total (3)</w:t>
            </w:r>
          </w:p>
        </w:tc>
        <w:tc>
          <w:tcPr>
            <w:tcW w:w="1011" w:type="pct"/>
            <w:tcBorders>
              <w:top w:val="nil"/>
              <w:left w:val="nil"/>
              <w:bottom w:val="nil"/>
              <w:right w:val="nil"/>
            </w:tcBorders>
            <w:shd w:val="clear" w:color="000000" w:fill="BFBFBF"/>
            <w:noWrap/>
            <w:vAlign w:val="center"/>
            <w:hideMark/>
          </w:tcPr>
          <w:p w14:paraId="66AFCE30" w14:textId="2301AD23" w:rsidR="00865F5B" w:rsidRPr="00DA4CC8" w:rsidRDefault="00865F5B" w:rsidP="00894453">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0.2</w:t>
            </w:r>
          </w:p>
        </w:tc>
        <w:tc>
          <w:tcPr>
            <w:tcW w:w="470" w:type="pct"/>
            <w:tcBorders>
              <w:top w:val="nil"/>
              <w:left w:val="nil"/>
              <w:bottom w:val="nil"/>
              <w:right w:val="nil"/>
            </w:tcBorders>
            <w:shd w:val="clear" w:color="000000" w:fill="BFBFBF"/>
            <w:vAlign w:val="center"/>
          </w:tcPr>
          <w:p w14:paraId="73E69E7C" w14:textId="665C9FED" w:rsidR="00865F5B" w:rsidRPr="00DA4CC8" w:rsidRDefault="00E76E7E" w:rsidP="00276B02">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0.0%</w:t>
            </w:r>
          </w:p>
        </w:tc>
      </w:tr>
      <w:tr w:rsidR="00276B02" w:rsidRPr="00DA4CC8" w14:paraId="7368DA44" w14:textId="5A90CFF3" w:rsidTr="00DA4CC8">
        <w:trPr>
          <w:trHeight w:val="63"/>
        </w:trPr>
        <w:tc>
          <w:tcPr>
            <w:tcW w:w="2114" w:type="pct"/>
            <w:tcBorders>
              <w:top w:val="nil"/>
              <w:left w:val="nil"/>
              <w:bottom w:val="nil"/>
              <w:right w:val="nil"/>
            </w:tcBorders>
            <w:shd w:val="clear" w:color="auto" w:fill="auto"/>
            <w:noWrap/>
            <w:vAlign w:val="center"/>
            <w:hideMark/>
          </w:tcPr>
          <w:p w14:paraId="0853F024" w14:textId="77777777" w:rsidR="00865F5B" w:rsidRPr="00DA4CC8" w:rsidRDefault="00865F5B" w:rsidP="00894453">
            <w:pPr>
              <w:spacing w:after="0" w:line="240" w:lineRule="auto"/>
              <w:jc w:val="right"/>
              <w:rPr>
                <w:rFonts w:asciiTheme="minorBidi" w:eastAsia="Times New Roman" w:hAnsiTheme="minorBidi"/>
                <w:b/>
                <w:bCs/>
                <w:sz w:val="2"/>
                <w:szCs w:val="2"/>
                <w:lang w:eastAsia="en-GB"/>
              </w:rPr>
            </w:pPr>
          </w:p>
        </w:tc>
        <w:tc>
          <w:tcPr>
            <w:tcW w:w="574" w:type="pct"/>
            <w:tcBorders>
              <w:top w:val="nil"/>
              <w:left w:val="nil"/>
              <w:bottom w:val="nil"/>
              <w:right w:val="nil"/>
            </w:tcBorders>
            <w:shd w:val="clear" w:color="auto" w:fill="auto"/>
            <w:noWrap/>
            <w:vAlign w:val="center"/>
            <w:hideMark/>
          </w:tcPr>
          <w:p w14:paraId="17304AA8"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831" w:type="pct"/>
            <w:tcBorders>
              <w:top w:val="nil"/>
              <w:left w:val="nil"/>
              <w:bottom w:val="nil"/>
              <w:right w:val="nil"/>
            </w:tcBorders>
            <w:shd w:val="clear" w:color="auto" w:fill="auto"/>
            <w:noWrap/>
            <w:vAlign w:val="center"/>
            <w:hideMark/>
          </w:tcPr>
          <w:p w14:paraId="32ACC924"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1011" w:type="pct"/>
            <w:tcBorders>
              <w:top w:val="nil"/>
              <w:left w:val="nil"/>
              <w:bottom w:val="nil"/>
              <w:right w:val="nil"/>
            </w:tcBorders>
            <w:shd w:val="clear" w:color="auto" w:fill="auto"/>
            <w:noWrap/>
            <w:vAlign w:val="center"/>
            <w:hideMark/>
          </w:tcPr>
          <w:p w14:paraId="29AD2B74" w14:textId="77777777" w:rsidR="00865F5B" w:rsidRPr="00DA4CC8" w:rsidRDefault="00865F5B" w:rsidP="00894453">
            <w:pPr>
              <w:spacing w:after="0" w:line="240" w:lineRule="auto"/>
              <w:jc w:val="right"/>
              <w:rPr>
                <w:rFonts w:asciiTheme="minorBidi" w:eastAsia="Times New Roman" w:hAnsiTheme="minorBidi"/>
                <w:sz w:val="2"/>
                <w:szCs w:val="2"/>
                <w:lang w:eastAsia="en-GB"/>
              </w:rPr>
            </w:pPr>
          </w:p>
        </w:tc>
        <w:tc>
          <w:tcPr>
            <w:tcW w:w="470" w:type="pct"/>
            <w:tcBorders>
              <w:top w:val="nil"/>
              <w:left w:val="nil"/>
              <w:bottom w:val="nil"/>
              <w:right w:val="nil"/>
            </w:tcBorders>
            <w:vAlign w:val="center"/>
          </w:tcPr>
          <w:p w14:paraId="0086916C" w14:textId="77777777" w:rsidR="00865F5B" w:rsidRPr="00DA4CC8" w:rsidRDefault="00865F5B" w:rsidP="00BC4A91">
            <w:pPr>
              <w:spacing w:after="0" w:line="240" w:lineRule="auto"/>
              <w:jc w:val="right"/>
              <w:rPr>
                <w:rFonts w:asciiTheme="minorBidi" w:eastAsia="Times New Roman" w:hAnsiTheme="minorBidi"/>
                <w:sz w:val="2"/>
                <w:szCs w:val="2"/>
                <w:lang w:eastAsia="en-GB"/>
              </w:rPr>
            </w:pPr>
          </w:p>
        </w:tc>
      </w:tr>
      <w:tr w:rsidR="00E575FC" w:rsidRPr="00DA4CC8" w14:paraId="63DDF061" w14:textId="013901D3" w:rsidTr="00DA4CC8">
        <w:trPr>
          <w:trHeight w:val="227"/>
        </w:trPr>
        <w:tc>
          <w:tcPr>
            <w:tcW w:w="3519" w:type="pct"/>
            <w:gridSpan w:val="3"/>
            <w:tcBorders>
              <w:top w:val="nil"/>
              <w:left w:val="nil"/>
              <w:bottom w:val="nil"/>
              <w:right w:val="nil"/>
            </w:tcBorders>
            <w:shd w:val="clear" w:color="000000" w:fill="BFBFBF"/>
            <w:noWrap/>
            <w:vAlign w:val="center"/>
            <w:hideMark/>
          </w:tcPr>
          <w:p w14:paraId="188A5216"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FF0000"/>
                <w:sz w:val="16"/>
                <w:szCs w:val="16"/>
                <w:lang w:eastAsia="en-GB"/>
              </w:rPr>
              <w:t>(4)</w:t>
            </w:r>
            <w:r w:rsidRPr="00DA4CC8">
              <w:rPr>
                <w:rFonts w:asciiTheme="minorBidi" w:eastAsia="Times New Roman" w:hAnsiTheme="minorBidi"/>
                <w:b/>
                <w:bCs/>
                <w:color w:val="000000"/>
                <w:sz w:val="16"/>
                <w:szCs w:val="16"/>
                <w:lang w:eastAsia="en-GB"/>
              </w:rPr>
              <w:t xml:space="preserve"> Out-of-scope revenues (unilateral disclosure)</w:t>
            </w:r>
          </w:p>
        </w:tc>
        <w:tc>
          <w:tcPr>
            <w:tcW w:w="1011" w:type="pct"/>
            <w:tcBorders>
              <w:top w:val="nil"/>
              <w:left w:val="nil"/>
              <w:bottom w:val="nil"/>
              <w:right w:val="nil"/>
            </w:tcBorders>
            <w:shd w:val="clear" w:color="000000" w:fill="BFBFBF"/>
            <w:noWrap/>
            <w:vAlign w:val="center"/>
            <w:hideMark/>
          </w:tcPr>
          <w:p w14:paraId="0D7BDD1A" w14:textId="77777777" w:rsidR="00865F5B" w:rsidRPr="00DA4CC8" w:rsidRDefault="00865F5B" w:rsidP="00894453">
            <w:pPr>
              <w:spacing w:after="0" w:line="240" w:lineRule="auto"/>
              <w:jc w:val="right"/>
              <w:rPr>
                <w:rFonts w:asciiTheme="minorBidi" w:eastAsia="Times New Roman" w:hAnsiTheme="minorBidi"/>
                <w:b/>
                <w:bCs/>
                <w:color w:val="000000"/>
                <w:sz w:val="16"/>
                <w:szCs w:val="16"/>
                <w:lang w:eastAsia="en-GB"/>
              </w:rPr>
            </w:pPr>
          </w:p>
        </w:tc>
        <w:tc>
          <w:tcPr>
            <w:tcW w:w="470" w:type="pct"/>
            <w:tcBorders>
              <w:top w:val="nil"/>
              <w:left w:val="nil"/>
              <w:bottom w:val="nil"/>
              <w:right w:val="nil"/>
            </w:tcBorders>
            <w:shd w:val="clear" w:color="000000" w:fill="BFBFBF"/>
            <w:vAlign w:val="center"/>
          </w:tcPr>
          <w:p w14:paraId="0307B6ED" w14:textId="77777777" w:rsidR="00865F5B" w:rsidRPr="00DA4CC8" w:rsidRDefault="00865F5B" w:rsidP="00BC4A91">
            <w:pPr>
              <w:spacing w:after="0" w:line="240" w:lineRule="auto"/>
              <w:jc w:val="right"/>
              <w:rPr>
                <w:rFonts w:asciiTheme="minorBidi" w:eastAsia="Times New Roman" w:hAnsiTheme="minorBidi"/>
                <w:b/>
                <w:bCs/>
                <w:color w:val="000000"/>
                <w:sz w:val="16"/>
                <w:szCs w:val="16"/>
                <w:lang w:eastAsia="en-GB"/>
              </w:rPr>
            </w:pPr>
          </w:p>
        </w:tc>
      </w:tr>
      <w:tr w:rsidR="00276B02" w:rsidRPr="00DA4CC8" w14:paraId="532FDD6E" w14:textId="23122984" w:rsidTr="00DA4CC8">
        <w:trPr>
          <w:trHeight w:val="227"/>
        </w:trPr>
        <w:tc>
          <w:tcPr>
            <w:tcW w:w="2114" w:type="pct"/>
            <w:tcBorders>
              <w:top w:val="nil"/>
              <w:left w:val="nil"/>
              <w:bottom w:val="nil"/>
              <w:right w:val="nil"/>
            </w:tcBorders>
            <w:shd w:val="clear" w:color="000000" w:fill="B4C6E7"/>
            <w:vAlign w:val="center"/>
            <w:hideMark/>
          </w:tcPr>
          <w:p w14:paraId="545BB372"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PLF</w:t>
            </w:r>
          </w:p>
        </w:tc>
        <w:tc>
          <w:tcPr>
            <w:tcW w:w="574" w:type="pct"/>
            <w:tcBorders>
              <w:top w:val="nil"/>
              <w:left w:val="nil"/>
              <w:bottom w:val="nil"/>
              <w:right w:val="nil"/>
            </w:tcBorders>
            <w:shd w:val="clear" w:color="000000" w:fill="B4C6E7"/>
            <w:vAlign w:val="center"/>
            <w:hideMark/>
          </w:tcPr>
          <w:p w14:paraId="5D000011"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000000" w:fill="B4C6E7"/>
            <w:vAlign w:val="center"/>
            <w:hideMark/>
          </w:tcPr>
          <w:p w14:paraId="640F7C57"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NSTA</w:t>
            </w:r>
          </w:p>
        </w:tc>
        <w:tc>
          <w:tcPr>
            <w:tcW w:w="1011" w:type="pct"/>
            <w:tcBorders>
              <w:top w:val="nil"/>
              <w:left w:val="nil"/>
              <w:bottom w:val="nil"/>
              <w:right w:val="nil"/>
            </w:tcBorders>
            <w:shd w:val="clear" w:color="000000" w:fill="B4C6E7"/>
            <w:noWrap/>
            <w:vAlign w:val="center"/>
            <w:hideMark/>
          </w:tcPr>
          <w:p w14:paraId="41221296"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46.9</w:t>
            </w:r>
          </w:p>
        </w:tc>
        <w:tc>
          <w:tcPr>
            <w:tcW w:w="470" w:type="pct"/>
            <w:tcBorders>
              <w:top w:val="nil"/>
              <w:left w:val="nil"/>
              <w:bottom w:val="nil"/>
              <w:right w:val="nil"/>
            </w:tcBorders>
            <w:shd w:val="clear" w:color="000000" w:fill="B4C6E7"/>
            <w:vAlign w:val="center"/>
          </w:tcPr>
          <w:p w14:paraId="0ACF83F3" w14:textId="77777777" w:rsidR="00865F5B" w:rsidRPr="00DA4CC8" w:rsidRDefault="00865F5B" w:rsidP="00BC4A91">
            <w:pPr>
              <w:spacing w:after="0" w:line="240" w:lineRule="auto"/>
              <w:jc w:val="right"/>
              <w:rPr>
                <w:rFonts w:asciiTheme="minorBidi" w:eastAsia="Times New Roman" w:hAnsiTheme="minorBidi"/>
                <w:sz w:val="16"/>
                <w:szCs w:val="16"/>
                <w:lang w:eastAsia="en-GB"/>
              </w:rPr>
            </w:pPr>
          </w:p>
        </w:tc>
      </w:tr>
      <w:tr w:rsidR="00276B02" w:rsidRPr="00DA4CC8" w14:paraId="44347CB6" w14:textId="4D868DDC" w:rsidTr="00DA4CC8">
        <w:trPr>
          <w:trHeight w:val="227"/>
        </w:trPr>
        <w:tc>
          <w:tcPr>
            <w:tcW w:w="2114" w:type="pct"/>
            <w:tcBorders>
              <w:top w:val="nil"/>
              <w:left w:val="nil"/>
              <w:bottom w:val="nil"/>
              <w:right w:val="nil"/>
            </w:tcBorders>
            <w:shd w:val="clear" w:color="auto" w:fill="auto"/>
            <w:vAlign w:val="center"/>
            <w:hideMark/>
          </w:tcPr>
          <w:p w14:paraId="6E4EB61A" w14:textId="77777777" w:rsidR="00865F5B" w:rsidRPr="00DA4CC8" w:rsidRDefault="00865F5B" w:rsidP="00894453">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 xml:space="preserve">OGA Levy </w:t>
            </w:r>
          </w:p>
        </w:tc>
        <w:tc>
          <w:tcPr>
            <w:tcW w:w="574" w:type="pct"/>
            <w:tcBorders>
              <w:top w:val="nil"/>
              <w:left w:val="nil"/>
              <w:bottom w:val="nil"/>
              <w:right w:val="nil"/>
            </w:tcBorders>
            <w:shd w:val="clear" w:color="auto" w:fill="auto"/>
            <w:noWrap/>
            <w:vAlign w:val="center"/>
            <w:hideMark/>
          </w:tcPr>
          <w:p w14:paraId="5CACE7EC" w14:textId="77777777" w:rsidR="00865F5B" w:rsidRPr="00DA4CC8" w:rsidRDefault="00865F5B" w:rsidP="00894453">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O&amp;G</w:t>
            </w:r>
          </w:p>
        </w:tc>
        <w:tc>
          <w:tcPr>
            <w:tcW w:w="831" w:type="pct"/>
            <w:tcBorders>
              <w:top w:val="nil"/>
              <w:left w:val="nil"/>
              <w:bottom w:val="nil"/>
              <w:right w:val="nil"/>
            </w:tcBorders>
            <w:shd w:val="clear" w:color="auto" w:fill="auto"/>
            <w:noWrap/>
            <w:vAlign w:val="center"/>
            <w:hideMark/>
          </w:tcPr>
          <w:p w14:paraId="704A38E6" w14:textId="77777777" w:rsidR="00865F5B" w:rsidRPr="00DA4CC8" w:rsidRDefault="00865F5B" w:rsidP="00894453">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NSTA</w:t>
            </w:r>
          </w:p>
        </w:tc>
        <w:tc>
          <w:tcPr>
            <w:tcW w:w="1011" w:type="pct"/>
            <w:tcBorders>
              <w:top w:val="nil"/>
              <w:left w:val="nil"/>
              <w:bottom w:val="nil"/>
              <w:right w:val="nil"/>
            </w:tcBorders>
            <w:shd w:val="clear" w:color="auto" w:fill="auto"/>
            <w:noWrap/>
            <w:vAlign w:val="center"/>
            <w:hideMark/>
          </w:tcPr>
          <w:p w14:paraId="6A75CC88"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30.4</w:t>
            </w:r>
          </w:p>
        </w:tc>
        <w:tc>
          <w:tcPr>
            <w:tcW w:w="470" w:type="pct"/>
            <w:tcBorders>
              <w:top w:val="nil"/>
              <w:left w:val="nil"/>
              <w:bottom w:val="nil"/>
              <w:right w:val="nil"/>
            </w:tcBorders>
            <w:vAlign w:val="center"/>
          </w:tcPr>
          <w:p w14:paraId="3DFD0F68" w14:textId="77777777" w:rsidR="00865F5B" w:rsidRPr="00DA4CC8" w:rsidRDefault="00865F5B" w:rsidP="00BC4A91">
            <w:pPr>
              <w:spacing w:after="0" w:line="240" w:lineRule="auto"/>
              <w:jc w:val="right"/>
              <w:rPr>
                <w:rFonts w:asciiTheme="minorBidi" w:eastAsia="Times New Roman" w:hAnsiTheme="minorBidi"/>
                <w:sz w:val="16"/>
                <w:szCs w:val="16"/>
                <w:lang w:eastAsia="en-GB"/>
              </w:rPr>
            </w:pPr>
          </w:p>
        </w:tc>
      </w:tr>
      <w:tr w:rsidR="00276B02" w:rsidRPr="00DA4CC8" w14:paraId="256FAB8D" w14:textId="0BBB35FC" w:rsidTr="00DA4CC8">
        <w:trPr>
          <w:trHeight w:val="227"/>
        </w:trPr>
        <w:tc>
          <w:tcPr>
            <w:tcW w:w="2114" w:type="pct"/>
            <w:tcBorders>
              <w:top w:val="nil"/>
              <w:left w:val="nil"/>
              <w:bottom w:val="nil"/>
              <w:right w:val="nil"/>
            </w:tcBorders>
            <w:shd w:val="clear" w:color="000000" w:fill="B4C6E7"/>
            <w:noWrap/>
            <w:vAlign w:val="center"/>
            <w:hideMark/>
          </w:tcPr>
          <w:p w14:paraId="2CA11CE6"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Section 106 (or similar) Payments</w:t>
            </w:r>
          </w:p>
        </w:tc>
        <w:tc>
          <w:tcPr>
            <w:tcW w:w="574" w:type="pct"/>
            <w:tcBorders>
              <w:top w:val="nil"/>
              <w:left w:val="nil"/>
              <w:bottom w:val="nil"/>
              <w:right w:val="nil"/>
            </w:tcBorders>
            <w:shd w:val="clear" w:color="000000" w:fill="B4C6E7"/>
            <w:vAlign w:val="center"/>
            <w:hideMark/>
          </w:tcPr>
          <w:p w14:paraId="3BDE61AC"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000000" w:fill="B4C6E7"/>
            <w:vAlign w:val="center"/>
            <w:hideMark/>
          </w:tcPr>
          <w:p w14:paraId="5D55CD36" w14:textId="77777777" w:rsidR="00865F5B" w:rsidRPr="00DA4CC8" w:rsidRDefault="00865F5B" w:rsidP="00894453">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Local Authorities</w:t>
            </w:r>
          </w:p>
        </w:tc>
        <w:tc>
          <w:tcPr>
            <w:tcW w:w="1011" w:type="pct"/>
            <w:tcBorders>
              <w:top w:val="nil"/>
              <w:left w:val="nil"/>
              <w:bottom w:val="nil"/>
              <w:right w:val="nil"/>
            </w:tcBorders>
            <w:shd w:val="clear" w:color="000000" w:fill="B4C6E7"/>
            <w:noWrap/>
            <w:vAlign w:val="center"/>
            <w:hideMark/>
          </w:tcPr>
          <w:p w14:paraId="3FAE86A1" w14:textId="77777777" w:rsidR="00865F5B" w:rsidRPr="00DA4CC8" w:rsidRDefault="00865F5B" w:rsidP="00894453">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0.2</w:t>
            </w:r>
          </w:p>
        </w:tc>
        <w:tc>
          <w:tcPr>
            <w:tcW w:w="470" w:type="pct"/>
            <w:tcBorders>
              <w:top w:val="nil"/>
              <w:left w:val="nil"/>
              <w:bottom w:val="nil"/>
              <w:right w:val="nil"/>
            </w:tcBorders>
            <w:shd w:val="clear" w:color="000000" w:fill="B4C6E7"/>
            <w:vAlign w:val="center"/>
          </w:tcPr>
          <w:p w14:paraId="2812B5C7" w14:textId="77777777" w:rsidR="00865F5B" w:rsidRPr="00DA4CC8" w:rsidRDefault="00865F5B" w:rsidP="00BC4A91">
            <w:pPr>
              <w:spacing w:after="0" w:line="240" w:lineRule="auto"/>
              <w:jc w:val="right"/>
              <w:rPr>
                <w:rFonts w:asciiTheme="minorBidi" w:eastAsia="Times New Roman" w:hAnsiTheme="minorBidi"/>
                <w:sz w:val="16"/>
                <w:szCs w:val="16"/>
                <w:lang w:eastAsia="en-GB"/>
              </w:rPr>
            </w:pPr>
          </w:p>
        </w:tc>
      </w:tr>
      <w:tr w:rsidR="00E575FC" w:rsidRPr="00DA4CC8" w14:paraId="4EBAB424" w14:textId="50501DB5" w:rsidTr="00DA4CC8">
        <w:trPr>
          <w:trHeight w:val="227"/>
        </w:trPr>
        <w:tc>
          <w:tcPr>
            <w:tcW w:w="2114" w:type="pct"/>
            <w:tcBorders>
              <w:top w:val="nil"/>
              <w:left w:val="nil"/>
              <w:bottom w:val="nil"/>
              <w:right w:val="nil"/>
            </w:tcBorders>
            <w:shd w:val="clear" w:color="000000" w:fill="BFBFBF"/>
            <w:noWrap/>
            <w:vAlign w:val="center"/>
            <w:hideMark/>
          </w:tcPr>
          <w:p w14:paraId="48150AA0"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405" w:type="pct"/>
            <w:gridSpan w:val="2"/>
            <w:tcBorders>
              <w:top w:val="nil"/>
              <w:left w:val="nil"/>
              <w:bottom w:val="nil"/>
              <w:right w:val="nil"/>
            </w:tcBorders>
            <w:shd w:val="clear" w:color="000000" w:fill="BFBFBF"/>
            <w:noWrap/>
            <w:vAlign w:val="center"/>
            <w:hideMark/>
          </w:tcPr>
          <w:p w14:paraId="6A458420"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Sub-total (4)</w:t>
            </w:r>
          </w:p>
        </w:tc>
        <w:tc>
          <w:tcPr>
            <w:tcW w:w="1011" w:type="pct"/>
            <w:tcBorders>
              <w:top w:val="nil"/>
              <w:left w:val="nil"/>
              <w:bottom w:val="nil"/>
              <w:right w:val="nil"/>
            </w:tcBorders>
            <w:shd w:val="clear" w:color="000000" w:fill="BFBFBF"/>
            <w:noWrap/>
            <w:vAlign w:val="center"/>
            <w:hideMark/>
          </w:tcPr>
          <w:p w14:paraId="07EA9DF7" w14:textId="77777777" w:rsidR="00865F5B" w:rsidRPr="00DA4CC8" w:rsidRDefault="00865F5B" w:rsidP="00894453">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77.5</w:t>
            </w:r>
          </w:p>
        </w:tc>
        <w:tc>
          <w:tcPr>
            <w:tcW w:w="470" w:type="pct"/>
            <w:tcBorders>
              <w:top w:val="nil"/>
              <w:left w:val="nil"/>
              <w:bottom w:val="nil"/>
              <w:right w:val="nil"/>
            </w:tcBorders>
            <w:shd w:val="clear" w:color="000000" w:fill="BFBFBF"/>
            <w:vAlign w:val="center"/>
          </w:tcPr>
          <w:p w14:paraId="2C909866" w14:textId="7B13459D" w:rsidR="00865F5B" w:rsidRPr="00DA4CC8" w:rsidRDefault="0059616D" w:rsidP="00BC4A9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1.0%</w:t>
            </w:r>
          </w:p>
        </w:tc>
      </w:tr>
      <w:tr w:rsidR="00276B02" w:rsidRPr="00DA4CC8" w14:paraId="761CBE22" w14:textId="1E0DB394" w:rsidTr="00DA4CC8">
        <w:trPr>
          <w:trHeight w:val="82"/>
        </w:trPr>
        <w:tc>
          <w:tcPr>
            <w:tcW w:w="2114" w:type="pct"/>
            <w:tcBorders>
              <w:top w:val="nil"/>
              <w:left w:val="nil"/>
              <w:bottom w:val="nil"/>
              <w:right w:val="nil"/>
            </w:tcBorders>
            <w:shd w:val="clear" w:color="auto" w:fill="auto"/>
            <w:noWrap/>
            <w:vAlign w:val="center"/>
            <w:hideMark/>
          </w:tcPr>
          <w:p w14:paraId="6B9DB7BF" w14:textId="77777777" w:rsidR="00865F5B" w:rsidRPr="00DA4CC8" w:rsidRDefault="00865F5B" w:rsidP="00894453">
            <w:pPr>
              <w:spacing w:after="0" w:line="240" w:lineRule="auto"/>
              <w:jc w:val="right"/>
              <w:rPr>
                <w:rFonts w:asciiTheme="minorBidi" w:eastAsia="Times New Roman" w:hAnsiTheme="minorBidi"/>
                <w:b/>
                <w:bCs/>
                <w:sz w:val="2"/>
                <w:szCs w:val="2"/>
                <w:lang w:eastAsia="en-GB"/>
              </w:rPr>
            </w:pPr>
          </w:p>
        </w:tc>
        <w:tc>
          <w:tcPr>
            <w:tcW w:w="574" w:type="pct"/>
            <w:tcBorders>
              <w:top w:val="nil"/>
              <w:left w:val="nil"/>
              <w:bottom w:val="nil"/>
              <w:right w:val="nil"/>
            </w:tcBorders>
            <w:shd w:val="clear" w:color="auto" w:fill="auto"/>
            <w:noWrap/>
            <w:vAlign w:val="center"/>
            <w:hideMark/>
          </w:tcPr>
          <w:p w14:paraId="1C9EFF18"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831" w:type="pct"/>
            <w:tcBorders>
              <w:top w:val="nil"/>
              <w:left w:val="nil"/>
              <w:bottom w:val="nil"/>
              <w:right w:val="nil"/>
            </w:tcBorders>
            <w:shd w:val="clear" w:color="auto" w:fill="auto"/>
            <w:noWrap/>
            <w:vAlign w:val="center"/>
            <w:hideMark/>
          </w:tcPr>
          <w:p w14:paraId="1AACF3FE"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1011" w:type="pct"/>
            <w:tcBorders>
              <w:top w:val="nil"/>
              <w:left w:val="nil"/>
              <w:bottom w:val="nil"/>
              <w:right w:val="nil"/>
            </w:tcBorders>
            <w:shd w:val="clear" w:color="auto" w:fill="auto"/>
            <w:noWrap/>
            <w:vAlign w:val="center"/>
            <w:hideMark/>
          </w:tcPr>
          <w:p w14:paraId="78191A8E" w14:textId="77777777" w:rsidR="00865F5B" w:rsidRPr="00DA4CC8" w:rsidRDefault="00865F5B" w:rsidP="00894453">
            <w:pPr>
              <w:spacing w:after="0" w:line="240" w:lineRule="auto"/>
              <w:jc w:val="right"/>
              <w:rPr>
                <w:rFonts w:asciiTheme="minorBidi" w:eastAsia="Times New Roman" w:hAnsiTheme="minorBidi"/>
                <w:sz w:val="2"/>
                <w:szCs w:val="2"/>
                <w:lang w:eastAsia="en-GB"/>
              </w:rPr>
            </w:pPr>
          </w:p>
        </w:tc>
        <w:tc>
          <w:tcPr>
            <w:tcW w:w="470" w:type="pct"/>
            <w:tcBorders>
              <w:top w:val="nil"/>
              <w:left w:val="nil"/>
              <w:bottom w:val="nil"/>
              <w:right w:val="nil"/>
            </w:tcBorders>
            <w:vAlign w:val="center"/>
          </w:tcPr>
          <w:p w14:paraId="0EAEE52C" w14:textId="77777777" w:rsidR="00865F5B" w:rsidRPr="00DA4CC8" w:rsidRDefault="00865F5B" w:rsidP="00BC4A91">
            <w:pPr>
              <w:spacing w:after="0" w:line="240" w:lineRule="auto"/>
              <w:jc w:val="right"/>
              <w:rPr>
                <w:rFonts w:asciiTheme="minorBidi" w:eastAsia="Times New Roman" w:hAnsiTheme="minorBidi"/>
                <w:sz w:val="2"/>
                <w:szCs w:val="2"/>
                <w:lang w:eastAsia="en-GB"/>
              </w:rPr>
            </w:pPr>
          </w:p>
        </w:tc>
      </w:tr>
      <w:tr w:rsidR="00276B02" w:rsidRPr="00DA4CC8" w14:paraId="50C89D28" w14:textId="10E95C80" w:rsidTr="00DA4CC8">
        <w:trPr>
          <w:trHeight w:val="227"/>
        </w:trPr>
        <w:tc>
          <w:tcPr>
            <w:tcW w:w="2114" w:type="pct"/>
            <w:tcBorders>
              <w:top w:val="nil"/>
              <w:left w:val="nil"/>
              <w:bottom w:val="nil"/>
              <w:right w:val="nil"/>
            </w:tcBorders>
            <w:shd w:val="clear" w:color="000000" w:fill="BFBFBF"/>
            <w:noWrap/>
            <w:vAlign w:val="center"/>
            <w:hideMark/>
          </w:tcPr>
          <w:p w14:paraId="47B704A1"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All revenues</w:t>
            </w:r>
          </w:p>
        </w:tc>
        <w:tc>
          <w:tcPr>
            <w:tcW w:w="574" w:type="pct"/>
            <w:tcBorders>
              <w:top w:val="nil"/>
              <w:left w:val="nil"/>
              <w:bottom w:val="nil"/>
              <w:right w:val="nil"/>
            </w:tcBorders>
            <w:shd w:val="clear" w:color="000000" w:fill="BFBFBF"/>
            <w:vAlign w:val="center"/>
            <w:hideMark/>
          </w:tcPr>
          <w:p w14:paraId="53396C14"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831" w:type="pct"/>
            <w:tcBorders>
              <w:top w:val="nil"/>
              <w:left w:val="nil"/>
              <w:bottom w:val="nil"/>
              <w:right w:val="nil"/>
            </w:tcBorders>
            <w:shd w:val="clear" w:color="000000" w:fill="BFBFBF"/>
            <w:vAlign w:val="center"/>
            <w:hideMark/>
          </w:tcPr>
          <w:p w14:paraId="5CF42211"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011" w:type="pct"/>
            <w:tcBorders>
              <w:top w:val="nil"/>
              <w:left w:val="nil"/>
              <w:bottom w:val="nil"/>
              <w:right w:val="nil"/>
            </w:tcBorders>
            <w:shd w:val="clear" w:color="000000" w:fill="BFBFBF"/>
            <w:noWrap/>
            <w:vAlign w:val="center"/>
            <w:hideMark/>
          </w:tcPr>
          <w:p w14:paraId="1CCBC81C" w14:textId="77777777" w:rsidR="00865F5B" w:rsidRPr="00DA4CC8" w:rsidRDefault="00865F5B" w:rsidP="00894453">
            <w:pPr>
              <w:spacing w:after="0" w:line="240" w:lineRule="auto"/>
              <w:jc w:val="right"/>
              <w:rPr>
                <w:rFonts w:asciiTheme="minorBidi" w:eastAsia="Times New Roman" w:hAnsiTheme="minorBidi"/>
                <w:b/>
                <w:bCs/>
                <w:sz w:val="16"/>
                <w:szCs w:val="16"/>
                <w:lang w:eastAsia="en-GB"/>
              </w:rPr>
            </w:pPr>
          </w:p>
        </w:tc>
        <w:tc>
          <w:tcPr>
            <w:tcW w:w="470" w:type="pct"/>
            <w:tcBorders>
              <w:top w:val="nil"/>
              <w:left w:val="nil"/>
              <w:bottom w:val="nil"/>
              <w:right w:val="nil"/>
            </w:tcBorders>
            <w:shd w:val="clear" w:color="000000" w:fill="BFBFBF"/>
            <w:vAlign w:val="center"/>
          </w:tcPr>
          <w:p w14:paraId="638E5D2F" w14:textId="77777777" w:rsidR="00865F5B" w:rsidRPr="00DA4CC8" w:rsidRDefault="00865F5B" w:rsidP="00BC4A91">
            <w:pPr>
              <w:spacing w:after="0" w:line="240" w:lineRule="auto"/>
              <w:jc w:val="right"/>
              <w:rPr>
                <w:rFonts w:asciiTheme="minorBidi" w:eastAsia="Times New Roman" w:hAnsiTheme="minorBidi"/>
                <w:b/>
                <w:bCs/>
                <w:sz w:val="16"/>
                <w:szCs w:val="16"/>
                <w:lang w:eastAsia="en-GB"/>
              </w:rPr>
            </w:pPr>
          </w:p>
        </w:tc>
      </w:tr>
      <w:tr w:rsidR="00914C88" w:rsidRPr="00DA4CC8" w14:paraId="06312188" w14:textId="0F71AAA6" w:rsidTr="00DA4CC8">
        <w:trPr>
          <w:trHeight w:val="227"/>
        </w:trPr>
        <w:tc>
          <w:tcPr>
            <w:tcW w:w="2114" w:type="pct"/>
            <w:tcBorders>
              <w:top w:val="nil"/>
              <w:left w:val="nil"/>
              <w:bottom w:val="nil"/>
              <w:right w:val="nil"/>
            </w:tcBorders>
            <w:shd w:val="clear" w:color="auto" w:fill="B4C6E7"/>
            <w:noWrap/>
            <w:vAlign w:val="center"/>
            <w:hideMark/>
          </w:tcPr>
          <w:p w14:paraId="3B074C40" w14:textId="77777777"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EPL</w:t>
            </w:r>
          </w:p>
        </w:tc>
        <w:tc>
          <w:tcPr>
            <w:tcW w:w="574" w:type="pct"/>
            <w:tcBorders>
              <w:top w:val="nil"/>
              <w:left w:val="nil"/>
              <w:bottom w:val="nil"/>
              <w:right w:val="nil"/>
            </w:tcBorders>
            <w:shd w:val="clear" w:color="auto" w:fill="B4C6E7"/>
            <w:noWrap/>
            <w:vAlign w:val="center"/>
            <w:hideMark/>
          </w:tcPr>
          <w:p w14:paraId="2204F424" w14:textId="77777777"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O&amp;G</w:t>
            </w:r>
          </w:p>
        </w:tc>
        <w:tc>
          <w:tcPr>
            <w:tcW w:w="831" w:type="pct"/>
            <w:tcBorders>
              <w:top w:val="nil"/>
              <w:left w:val="nil"/>
              <w:bottom w:val="nil"/>
              <w:right w:val="nil"/>
            </w:tcBorders>
            <w:shd w:val="clear" w:color="auto" w:fill="B4C6E7"/>
            <w:noWrap/>
            <w:vAlign w:val="center"/>
            <w:hideMark/>
          </w:tcPr>
          <w:p w14:paraId="3316C818" w14:textId="77777777"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HMRC</w:t>
            </w:r>
          </w:p>
        </w:tc>
        <w:tc>
          <w:tcPr>
            <w:tcW w:w="1011" w:type="pct"/>
            <w:tcBorders>
              <w:top w:val="nil"/>
              <w:left w:val="nil"/>
              <w:bottom w:val="nil"/>
              <w:right w:val="nil"/>
            </w:tcBorders>
            <w:shd w:val="clear" w:color="auto" w:fill="B4C6E7"/>
            <w:noWrap/>
            <w:vAlign w:val="center"/>
            <w:hideMark/>
          </w:tcPr>
          <w:p w14:paraId="0C071158"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3,921.4</w:t>
            </w:r>
          </w:p>
        </w:tc>
        <w:tc>
          <w:tcPr>
            <w:tcW w:w="470" w:type="pct"/>
            <w:tcBorders>
              <w:top w:val="nil"/>
              <w:left w:val="nil"/>
              <w:bottom w:val="nil"/>
              <w:right w:val="nil"/>
            </w:tcBorders>
            <w:shd w:val="clear" w:color="auto" w:fill="B4C6E7"/>
            <w:vAlign w:val="center"/>
          </w:tcPr>
          <w:p w14:paraId="16AC55B5" w14:textId="6B22E238"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51.3%</w:t>
            </w:r>
          </w:p>
        </w:tc>
      </w:tr>
      <w:tr w:rsidR="00914C88" w:rsidRPr="00DA4CC8" w14:paraId="4504FBD9" w14:textId="77777777" w:rsidTr="00DA4CC8">
        <w:trPr>
          <w:trHeight w:val="227"/>
        </w:trPr>
        <w:tc>
          <w:tcPr>
            <w:tcW w:w="2114" w:type="pct"/>
            <w:tcBorders>
              <w:top w:val="nil"/>
              <w:left w:val="nil"/>
              <w:bottom w:val="nil"/>
              <w:right w:val="nil"/>
            </w:tcBorders>
            <w:shd w:val="clear" w:color="auto" w:fill="auto"/>
            <w:noWrap/>
            <w:vAlign w:val="center"/>
            <w:hideMark/>
          </w:tcPr>
          <w:p w14:paraId="0E76ED8B"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RFCT &amp; SC</w:t>
            </w:r>
          </w:p>
        </w:tc>
        <w:tc>
          <w:tcPr>
            <w:tcW w:w="574" w:type="pct"/>
            <w:tcBorders>
              <w:top w:val="nil"/>
              <w:left w:val="nil"/>
              <w:bottom w:val="nil"/>
              <w:right w:val="nil"/>
            </w:tcBorders>
            <w:shd w:val="clear" w:color="auto" w:fill="auto"/>
            <w:vAlign w:val="center"/>
            <w:hideMark/>
          </w:tcPr>
          <w:p w14:paraId="03839330"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69B259EC"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auto"/>
            <w:noWrap/>
            <w:vAlign w:val="center"/>
            <w:hideMark/>
          </w:tcPr>
          <w:p w14:paraId="7A30A97E"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3,842.9</w:t>
            </w:r>
          </w:p>
        </w:tc>
        <w:tc>
          <w:tcPr>
            <w:tcW w:w="470" w:type="pct"/>
            <w:tcBorders>
              <w:top w:val="nil"/>
              <w:left w:val="nil"/>
              <w:bottom w:val="nil"/>
              <w:right w:val="nil"/>
            </w:tcBorders>
            <w:vAlign w:val="center"/>
          </w:tcPr>
          <w:p w14:paraId="4FE8F79C" w14:textId="31A46B00"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50.</w:t>
            </w:r>
            <w:r w:rsidR="0042304B" w:rsidRPr="00DA4CC8">
              <w:rPr>
                <w:rFonts w:ascii="Arial" w:hAnsi="Arial" w:cs="Arial"/>
                <w:sz w:val="16"/>
                <w:szCs w:val="16"/>
              </w:rPr>
              <w:t>3</w:t>
            </w:r>
            <w:r w:rsidRPr="00DA4CC8">
              <w:rPr>
                <w:rFonts w:ascii="Arial" w:hAnsi="Arial" w:cs="Arial"/>
                <w:sz w:val="16"/>
                <w:szCs w:val="16"/>
              </w:rPr>
              <w:t>%</w:t>
            </w:r>
          </w:p>
        </w:tc>
      </w:tr>
      <w:tr w:rsidR="00914C88" w:rsidRPr="00DA4CC8" w14:paraId="13BCF431" w14:textId="49EE0BAA" w:rsidTr="00DA4CC8">
        <w:trPr>
          <w:trHeight w:val="227"/>
        </w:trPr>
        <w:tc>
          <w:tcPr>
            <w:tcW w:w="2114" w:type="pct"/>
            <w:tcBorders>
              <w:top w:val="nil"/>
              <w:left w:val="nil"/>
              <w:bottom w:val="nil"/>
              <w:right w:val="nil"/>
            </w:tcBorders>
            <w:shd w:val="clear" w:color="auto" w:fill="B4C6E7"/>
            <w:noWrap/>
            <w:vAlign w:val="center"/>
            <w:hideMark/>
          </w:tcPr>
          <w:p w14:paraId="780AD5D4"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PRT</w:t>
            </w:r>
          </w:p>
        </w:tc>
        <w:tc>
          <w:tcPr>
            <w:tcW w:w="574" w:type="pct"/>
            <w:tcBorders>
              <w:top w:val="nil"/>
              <w:left w:val="nil"/>
              <w:bottom w:val="nil"/>
              <w:right w:val="nil"/>
            </w:tcBorders>
            <w:shd w:val="clear" w:color="auto" w:fill="B4C6E7"/>
            <w:vAlign w:val="center"/>
            <w:hideMark/>
          </w:tcPr>
          <w:p w14:paraId="52BA1DE6"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B4C6E7"/>
            <w:vAlign w:val="center"/>
            <w:hideMark/>
          </w:tcPr>
          <w:p w14:paraId="4919F25F"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HMRC</w:t>
            </w:r>
          </w:p>
        </w:tc>
        <w:tc>
          <w:tcPr>
            <w:tcW w:w="1011" w:type="pct"/>
            <w:tcBorders>
              <w:top w:val="nil"/>
              <w:left w:val="nil"/>
              <w:bottom w:val="nil"/>
              <w:right w:val="nil"/>
            </w:tcBorders>
            <w:shd w:val="clear" w:color="auto" w:fill="B4C6E7"/>
            <w:noWrap/>
            <w:vAlign w:val="center"/>
            <w:hideMark/>
          </w:tcPr>
          <w:p w14:paraId="0373FCFC" w14:textId="77777777" w:rsidR="00914C88" w:rsidRPr="00DA4CC8" w:rsidRDefault="00914C88" w:rsidP="00914C88">
            <w:pPr>
              <w:spacing w:after="0" w:line="240" w:lineRule="auto"/>
              <w:jc w:val="right"/>
              <w:rPr>
                <w:rFonts w:asciiTheme="minorBidi" w:eastAsia="Times New Roman" w:hAnsiTheme="minorBidi"/>
                <w:color w:val="FF0000"/>
                <w:sz w:val="16"/>
                <w:szCs w:val="16"/>
                <w:lang w:eastAsia="en-GB"/>
              </w:rPr>
            </w:pPr>
            <w:r w:rsidRPr="00DA4CC8">
              <w:rPr>
                <w:rFonts w:asciiTheme="minorBidi" w:eastAsia="Times New Roman" w:hAnsiTheme="minorBidi"/>
                <w:color w:val="FF0000"/>
                <w:sz w:val="16"/>
                <w:szCs w:val="16"/>
                <w:lang w:eastAsia="en-GB"/>
              </w:rPr>
              <w:t>-349.5</w:t>
            </w:r>
          </w:p>
        </w:tc>
        <w:tc>
          <w:tcPr>
            <w:tcW w:w="470" w:type="pct"/>
            <w:tcBorders>
              <w:top w:val="nil"/>
              <w:left w:val="nil"/>
              <w:bottom w:val="nil"/>
              <w:right w:val="nil"/>
            </w:tcBorders>
            <w:shd w:val="clear" w:color="auto" w:fill="B4C6E7"/>
            <w:vAlign w:val="center"/>
          </w:tcPr>
          <w:p w14:paraId="4C425080" w14:textId="6F854839" w:rsidR="00914C88" w:rsidRPr="00DA4CC8" w:rsidRDefault="0048175D" w:rsidP="00914C88">
            <w:pPr>
              <w:spacing w:after="0" w:line="240" w:lineRule="auto"/>
              <w:jc w:val="right"/>
              <w:rPr>
                <w:rFonts w:asciiTheme="minorBidi" w:eastAsia="Times New Roman" w:hAnsiTheme="minorBidi"/>
                <w:color w:val="FF0000"/>
                <w:sz w:val="16"/>
                <w:szCs w:val="16"/>
                <w:lang w:eastAsia="en-GB"/>
              </w:rPr>
            </w:pPr>
            <w:r w:rsidRPr="00DA4CC8">
              <w:rPr>
                <w:rFonts w:ascii="Arial" w:hAnsi="Arial" w:cs="Arial"/>
                <w:color w:val="FF0000"/>
                <w:sz w:val="16"/>
                <w:szCs w:val="16"/>
              </w:rPr>
              <w:t>-4.</w:t>
            </w:r>
            <w:r w:rsidR="0042304B" w:rsidRPr="00DA4CC8">
              <w:rPr>
                <w:rFonts w:ascii="Arial" w:hAnsi="Arial" w:cs="Arial"/>
                <w:color w:val="FF0000"/>
                <w:sz w:val="16"/>
                <w:szCs w:val="16"/>
              </w:rPr>
              <w:t>6</w:t>
            </w:r>
            <w:r w:rsidRPr="00DA4CC8">
              <w:rPr>
                <w:rFonts w:ascii="Arial" w:hAnsi="Arial" w:cs="Arial"/>
                <w:color w:val="FF0000"/>
                <w:sz w:val="16"/>
                <w:szCs w:val="16"/>
              </w:rPr>
              <w:t>%</w:t>
            </w:r>
          </w:p>
        </w:tc>
      </w:tr>
      <w:tr w:rsidR="00914C88" w:rsidRPr="00DA4CC8" w14:paraId="061A1931" w14:textId="77777777" w:rsidTr="00DA4CC8">
        <w:trPr>
          <w:trHeight w:val="227"/>
        </w:trPr>
        <w:tc>
          <w:tcPr>
            <w:tcW w:w="2114" w:type="pct"/>
            <w:tcBorders>
              <w:top w:val="nil"/>
              <w:left w:val="nil"/>
              <w:bottom w:val="nil"/>
              <w:right w:val="nil"/>
            </w:tcBorders>
            <w:shd w:val="clear" w:color="auto" w:fill="auto"/>
            <w:noWrap/>
            <w:vAlign w:val="center"/>
            <w:hideMark/>
          </w:tcPr>
          <w:p w14:paraId="6DEAA805"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PLF</w:t>
            </w:r>
          </w:p>
        </w:tc>
        <w:tc>
          <w:tcPr>
            <w:tcW w:w="574" w:type="pct"/>
            <w:tcBorders>
              <w:top w:val="nil"/>
              <w:left w:val="nil"/>
              <w:bottom w:val="nil"/>
              <w:right w:val="nil"/>
            </w:tcBorders>
            <w:shd w:val="clear" w:color="auto" w:fill="auto"/>
            <w:vAlign w:val="center"/>
            <w:hideMark/>
          </w:tcPr>
          <w:p w14:paraId="5E3CB9C8"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5AB01222"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NSTA</w:t>
            </w:r>
          </w:p>
        </w:tc>
        <w:tc>
          <w:tcPr>
            <w:tcW w:w="1011" w:type="pct"/>
            <w:tcBorders>
              <w:top w:val="nil"/>
              <w:left w:val="nil"/>
              <w:bottom w:val="nil"/>
              <w:right w:val="nil"/>
            </w:tcBorders>
            <w:shd w:val="clear" w:color="auto" w:fill="auto"/>
            <w:noWrap/>
            <w:vAlign w:val="center"/>
            <w:hideMark/>
          </w:tcPr>
          <w:p w14:paraId="2FB49272"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46.9</w:t>
            </w:r>
          </w:p>
        </w:tc>
        <w:tc>
          <w:tcPr>
            <w:tcW w:w="470" w:type="pct"/>
            <w:tcBorders>
              <w:top w:val="nil"/>
              <w:left w:val="nil"/>
              <w:bottom w:val="nil"/>
              <w:right w:val="nil"/>
            </w:tcBorders>
            <w:vAlign w:val="center"/>
          </w:tcPr>
          <w:p w14:paraId="4FBDBE47" w14:textId="0A9B77EC" w:rsidR="00914C88" w:rsidRPr="00DA4CC8" w:rsidRDefault="0048175D"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0.6%</w:t>
            </w:r>
          </w:p>
        </w:tc>
      </w:tr>
      <w:tr w:rsidR="00914C88" w:rsidRPr="00DA4CC8" w14:paraId="55E2E6E7" w14:textId="2AA7411D" w:rsidTr="00DA4CC8">
        <w:trPr>
          <w:trHeight w:val="227"/>
        </w:trPr>
        <w:tc>
          <w:tcPr>
            <w:tcW w:w="2114" w:type="pct"/>
            <w:tcBorders>
              <w:top w:val="nil"/>
              <w:left w:val="nil"/>
              <w:bottom w:val="nil"/>
              <w:right w:val="nil"/>
            </w:tcBorders>
            <w:shd w:val="clear" w:color="auto" w:fill="B4C6E7"/>
            <w:noWrap/>
            <w:vAlign w:val="center"/>
            <w:hideMark/>
          </w:tcPr>
          <w:p w14:paraId="177A15E0" w14:textId="196CB15D"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OGA Levy</w:t>
            </w:r>
          </w:p>
        </w:tc>
        <w:tc>
          <w:tcPr>
            <w:tcW w:w="574" w:type="pct"/>
            <w:tcBorders>
              <w:top w:val="nil"/>
              <w:left w:val="nil"/>
              <w:bottom w:val="nil"/>
              <w:right w:val="nil"/>
            </w:tcBorders>
            <w:shd w:val="clear" w:color="auto" w:fill="B4C6E7"/>
            <w:noWrap/>
            <w:vAlign w:val="center"/>
            <w:hideMark/>
          </w:tcPr>
          <w:p w14:paraId="41A5FCC7" w14:textId="77777777"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O&amp;G</w:t>
            </w:r>
          </w:p>
        </w:tc>
        <w:tc>
          <w:tcPr>
            <w:tcW w:w="831" w:type="pct"/>
            <w:tcBorders>
              <w:top w:val="nil"/>
              <w:left w:val="nil"/>
              <w:bottom w:val="nil"/>
              <w:right w:val="nil"/>
            </w:tcBorders>
            <w:shd w:val="clear" w:color="auto" w:fill="B4C6E7"/>
            <w:noWrap/>
            <w:vAlign w:val="center"/>
            <w:hideMark/>
          </w:tcPr>
          <w:p w14:paraId="17DF464C" w14:textId="77777777" w:rsidR="00914C88" w:rsidRPr="00DA4CC8" w:rsidRDefault="00914C88" w:rsidP="00914C88">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NSTA</w:t>
            </w:r>
          </w:p>
        </w:tc>
        <w:tc>
          <w:tcPr>
            <w:tcW w:w="1011" w:type="pct"/>
            <w:tcBorders>
              <w:top w:val="nil"/>
              <w:left w:val="nil"/>
              <w:bottom w:val="nil"/>
              <w:right w:val="nil"/>
            </w:tcBorders>
            <w:shd w:val="clear" w:color="auto" w:fill="B4C6E7"/>
            <w:noWrap/>
            <w:vAlign w:val="center"/>
            <w:hideMark/>
          </w:tcPr>
          <w:p w14:paraId="6B988994"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30.4</w:t>
            </w:r>
          </w:p>
        </w:tc>
        <w:tc>
          <w:tcPr>
            <w:tcW w:w="470" w:type="pct"/>
            <w:tcBorders>
              <w:top w:val="nil"/>
              <w:left w:val="nil"/>
              <w:bottom w:val="nil"/>
              <w:right w:val="nil"/>
            </w:tcBorders>
            <w:shd w:val="clear" w:color="auto" w:fill="B4C6E7"/>
            <w:vAlign w:val="center"/>
          </w:tcPr>
          <w:p w14:paraId="6D79AC4E" w14:textId="270DC53D" w:rsidR="00914C88" w:rsidRPr="00DA4CC8" w:rsidRDefault="00C7631A"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0.4%</w:t>
            </w:r>
          </w:p>
        </w:tc>
      </w:tr>
      <w:tr w:rsidR="00914C88" w:rsidRPr="00DA4CC8" w14:paraId="654FA7D2" w14:textId="77777777" w:rsidTr="00DA4CC8">
        <w:trPr>
          <w:trHeight w:val="227"/>
        </w:trPr>
        <w:tc>
          <w:tcPr>
            <w:tcW w:w="2114" w:type="pct"/>
            <w:tcBorders>
              <w:top w:val="nil"/>
              <w:left w:val="nil"/>
              <w:bottom w:val="nil"/>
              <w:right w:val="nil"/>
            </w:tcBorders>
            <w:shd w:val="clear" w:color="auto" w:fill="auto"/>
            <w:noWrap/>
            <w:vAlign w:val="center"/>
            <w:hideMark/>
          </w:tcPr>
          <w:p w14:paraId="5247B270"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TCE</w:t>
            </w:r>
          </w:p>
        </w:tc>
        <w:tc>
          <w:tcPr>
            <w:tcW w:w="574" w:type="pct"/>
            <w:tcBorders>
              <w:top w:val="nil"/>
              <w:left w:val="nil"/>
              <w:bottom w:val="nil"/>
              <w:right w:val="nil"/>
            </w:tcBorders>
            <w:shd w:val="clear" w:color="auto" w:fill="auto"/>
            <w:vAlign w:val="center"/>
            <w:hideMark/>
          </w:tcPr>
          <w:p w14:paraId="23954F87"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auto"/>
            <w:vAlign w:val="center"/>
            <w:hideMark/>
          </w:tcPr>
          <w:p w14:paraId="3218A38B"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TCE</w:t>
            </w:r>
          </w:p>
        </w:tc>
        <w:tc>
          <w:tcPr>
            <w:tcW w:w="1011" w:type="pct"/>
            <w:tcBorders>
              <w:top w:val="nil"/>
              <w:left w:val="nil"/>
              <w:bottom w:val="nil"/>
              <w:right w:val="nil"/>
            </w:tcBorders>
            <w:shd w:val="clear" w:color="auto" w:fill="auto"/>
            <w:noWrap/>
            <w:vAlign w:val="center"/>
            <w:hideMark/>
          </w:tcPr>
          <w:p w14:paraId="7646D97E"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2.0</w:t>
            </w:r>
          </w:p>
        </w:tc>
        <w:tc>
          <w:tcPr>
            <w:tcW w:w="470" w:type="pct"/>
            <w:tcBorders>
              <w:top w:val="nil"/>
              <w:left w:val="nil"/>
              <w:bottom w:val="nil"/>
              <w:right w:val="nil"/>
            </w:tcBorders>
            <w:vAlign w:val="center"/>
          </w:tcPr>
          <w:p w14:paraId="5DBC3709" w14:textId="4B8DF601" w:rsidR="00914C88" w:rsidRPr="00DA4CC8" w:rsidRDefault="00C7631A"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0.</w:t>
            </w:r>
            <w:r w:rsidR="008F21FC" w:rsidRPr="00DA4CC8">
              <w:rPr>
                <w:rFonts w:ascii="Arial" w:hAnsi="Arial" w:cs="Arial"/>
                <w:sz w:val="16"/>
                <w:szCs w:val="16"/>
              </w:rPr>
              <w:t>1</w:t>
            </w:r>
            <w:r w:rsidRPr="00DA4CC8">
              <w:rPr>
                <w:rFonts w:ascii="Arial" w:hAnsi="Arial" w:cs="Arial"/>
                <w:sz w:val="16"/>
                <w:szCs w:val="16"/>
              </w:rPr>
              <w:t>%</w:t>
            </w:r>
          </w:p>
        </w:tc>
      </w:tr>
      <w:tr w:rsidR="00914C88" w:rsidRPr="00DA4CC8" w14:paraId="23EACA49" w14:textId="5AB20D73" w:rsidTr="00DA4CC8">
        <w:trPr>
          <w:trHeight w:val="227"/>
        </w:trPr>
        <w:tc>
          <w:tcPr>
            <w:tcW w:w="2114" w:type="pct"/>
            <w:tcBorders>
              <w:top w:val="nil"/>
              <w:left w:val="nil"/>
              <w:bottom w:val="nil"/>
              <w:right w:val="nil"/>
            </w:tcBorders>
            <w:shd w:val="clear" w:color="auto" w:fill="B4C6E7"/>
            <w:noWrap/>
            <w:vAlign w:val="center"/>
            <w:hideMark/>
          </w:tcPr>
          <w:p w14:paraId="5929BFCE"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Payments to CES</w:t>
            </w:r>
          </w:p>
        </w:tc>
        <w:tc>
          <w:tcPr>
            <w:tcW w:w="574" w:type="pct"/>
            <w:tcBorders>
              <w:top w:val="nil"/>
              <w:left w:val="nil"/>
              <w:bottom w:val="nil"/>
              <w:right w:val="nil"/>
            </w:tcBorders>
            <w:shd w:val="clear" w:color="auto" w:fill="B4C6E7"/>
            <w:vAlign w:val="center"/>
            <w:hideMark/>
          </w:tcPr>
          <w:p w14:paraId="31B0183B"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O&amp;G</w:t>
            </w:r>
          </w:p>
        </w:tc>
        <w:tc>
          <w:tcPr>
            <w:tcW w:w="831" w:type="pct"/>
            <w:tcBorders>
              <w:top w:val="nil"/>
              <w:left w:val="nil"/>
              <w:bottom w:val="nil"/>
              <w:right w:val="nil"/>
            </w:tcBorders>
            <w:shd w:val="clear" w:color="auto" w:fill="B4C6E7"/>
            <w:vAlign w:val="center"/>
            <w:hideMark/>
          </w:tcPr>
          <w:p w14:paraId="4B9E5378" w14:textId="77777777" w:rsidR="00914C88" w:rsidRPr="00DA4CC8" w:rsidRDefault="00914C88" w:rsidP="00914C88">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CES</w:t>
            </w:r>
          </w:p>
        </w:tc>
        <w:tc>
          <w:tcPr>
            <w:tcW w:w="1011" w:type="pct"/>
            <w:tcBorders>
              <w:top w:val="nil"/>
              <w:left w:val="nil"/>
              <w:bottom w:val="nil"/>
              <w:right w:val="nil"/>
            </w:tcBorders>
            <w:shd w:val="clear" w:color="auto" w:fill="B4C6E7"/>
            <w:noWrap/>
            <w:vAlign w:val="center"/>
            <w:hideMark/>
          </w:tcPr>
          <w:p w14:paraId="13F4F9BD" w14:textId="77777777" w:rsidR="00914C88" w:rsidRPr="00DA4CC8" w:rsidRDefault="00914C88" w:rsidP="00914C88">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1.7</w:t>
            </w:r>
          </w:p>
        </w:tc>
        <w:tc>
          <w:tcPr>
            <w:tcW w:w="470" w:type="pct"/>
            <w:tcBorders>
              <w:top w:val="nil"/>
              <w:left w:val="nil"/>
              <w:bottom w:val="nil"/>
              <w:right w:val="nil"/>
            </w:tcBorders>
            <w:shd w:val="clear" w:color="auto" w:fill="B4C6E7"/>
            <w:vAlign w:val="center"/>
          </w:tcPr>
          <w:p w14:paraId="7BBAD9A1" w14:textId="3D7235C1" w:rsidR="00914C88" w:rsidRPr="00DA4CC8" w:rsidRDefault="00C7631A" w:rsidP="00914C88">
            <w:pPr>
              <w:spacing w:after="0" w:line="240" w:lineRule="auto"/>
              <w:jc w:val="right"/>
              <w:rPr>
                <w:rFonts w:asciiTheme="minorBidi" w:eastAsia="Times New Roman" w:hAnsiTheme="minorBidi"/>
                <w:sz w:val="16"/>
                <w:szCs w:val="16"/>
                <w:lang w:eastAsia="en-GB"/>
              </w:rPr>
            </w:pPr>
            <w:r w:rsidRPr="00DA4CC8">
              <w:rPr>
                <w:rFonts w:ascii="Arial" w:hAnsi="Arial" w:cs="Arial"/>
                <w:sz w:val="16"/>
                <w:szCs w:val="16"/>
              </w:rPr>
              <w:t>0.0%</w:t>
            </w:r>
          </w:p>
        </w:tc>
      </w:tr>
      <w:tr w:rsidR="00B436C1" w:rsidRPr="00DA4CC8" w14:paraId="31A9530C" w14:textId="77777777" w:rsidTr="00DA4CC8">
        <w:trPr>
          <w:trHeight w:val="227"/>
        </w:trPr>
        <w:tc>
          <w:tcPr>
            <w:tcW w:w="2114" w:type="pct"/>
            <w:tcBorders>
              <w:top w:val="nil"/>
              <w:left w:val="nil"/>
              <w:bottom w:val="nil"/>
              <w:right w:val="nil"/>
            </w:tcBorders>
            <w:shd w:val="clear" w:color="000000" w:fill="BFBFBF"/>
            <w:noWrap/>
            <w:vAlign w:val="center"/>
            <w:hideMark/>
          </w:tcPr>
          <w:p w14:paraId="57AAB053" w14:textId="314B9730" w:rsidR="00B436C1" w:rsidRPr="00DA4CC8" w:rsidRDefault="00B436C1" w:rsidP="00DA4CC8">
            <w:pPr>
              <w:spacing w:after="0" w:line="240" w:lineRule="auto"/>
              <w:jc w:val="center"/>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Total O&amp;G</w:t>
            </w:r>
          </w:p>
        </w:tc>
        <w:tc>
          <w:tcPr>
            <w:tcW w:w="1405" w:type="pct"/>
            <w:gridSpan w:val="2"/>
            <w:tcBorders>
              <w:top w:val="nil"/>
              <w:left w:val="nil"/>
              <w:bottom w:val="nil"/>
              <w:right w:val="nil"/>
            </w:tcBorders>
            <w:shd w:val="clear" w:color="000000" w:fill="BFBFBF"/>
            <w:noWrap/>
            <w:vAlign w:val="center"/>
            <w:hideMark/>
          </w:tcPr>
          <w:p w14:paraId="4A3B4335" w14:textId="699AB496" w:rsidR="00B436C1" w:rsidRPr="00DA4CC8" w:rsidRDefault="00B436C1" w:rsidP="00B436C1">
            <w:pPr>
              <w:spacing w:after="0" w:line="240" w:lineRule="auto"/>
              <w:rPr>
                <w:rFonts w:asciiTheme="minorBidi" w:eastAsia="Times New Roman" w:hAnsiTheme="minorBidi"/>
                <w:b/>
                <w:bCs/>
                <w:color w:val="000000"/>
                <w:sz w:val="16"/>
                <w:szCs w:val="16"/>
                <w:lang w:eastAsia="en-GB"/>
              </w:rPr>
            </w:pPr>
          </w:p>
        </w:tc>
        <w:tc>
          <w:tcPr>
            <w:tcW w:w="1011" w:type="pct"/>
            <w:tcBorders>
              <w:top w:val="nil"/>
              <w:left w:val="nil"/>
              <w:bottom w:val="nil"/>
              <w:right w:val="nil"/>
            </w:tcBorders>
            <w:shd w:val="clear" w:color="000000" w:fill="BFBFBF"/>
            <w:noWrap/>
            <w:vAlign w:val="center"/>
            <w:hideMark/>
          </w:tcPr>
          <w:p w14:paraId="5E8E2709" w14:textId="16ACB638" w:rsidR="00B436C1" w:rsidRPr="00DA4CC8" w:rsidRDefault="00B436C1" w:rsidP="00B436C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7,495.8</w:t>
            </w:r>
          </w:p>
        </w:tc>
        <w:tc>
          <w:tcPr>
            <w:tcW w:w="470" w:type="pct"/>
            <w:tcBorders>
              <w:top w:val="nil"/>
              <w:left w:val="nil"/>
              <w:bottom w:val="nil"/>
              <w:right w:val="nil"/>
            </w:tcBorders>
            <w:shd w:val="clear" w:color="000000" w:fill="BFBFBF"/>
            <w:vAlign w:val="center"/>
          </w:tcPr>
          <w:p w14:paraId="7C5AA4D2" w14:textId="5F24D350" w:rsidR="00B436C1" w:rsidRPr="00DA4CC8" w:rsidRDefault="00053FBF" w:rsidP="00B436C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98.</w:t>
            </w:r>
            <w:r w:rsidR="0042304B" w:rsidRPr="00DA4CC8">
              <w:rPr>
                <w:rFonts w:asciiTheme="minorBidi" w:eastAsia="Times New Roman" w:hAnsiTheme="minorBidi"/>
                <w:b/>
                <w:bCs/>
                <w:sz w:val="16"/>
                <w:szCs w:val="16"/>
                <w:lang w:eastAsia="en-GB"/>
              </w:rPr>
              <w:t>1</w:t>
            </w:r>
            <w:r w:rsidRPr="00DA4CC8">
              <w:rPr>
                <w:rFonts w:asciiTheme="minorBidi" w:eastAsia="Times New Roman" w:hAnsiTheme="minorBidi"/>
                <w:b/>
                <w:bCs/>
                <w:sz w:val="16"/>
                <w:szCs w:val="16"/>
                <w:lang w:eastAsia="en-GB"/>
              </w:rPr>
              <w:t>%</w:t>
            </w:r>
          </w:p>
        </w:tc>
      </w:tr>
      <w:tr w:rsidR="00053FBF" w:rsidRPr="00DA4CC8" w14:paraId="069229D4" w14:textId="257230B6" w:rsidTr="00DA4CC8">
        <w:trPr>
          <w:trHeight w:val="227"/>
        </w:trPr>
        <w:tc>
          <w:tcPr>
            <w:tcW w:w="2114" w:type="pct"/>
            <w:tcBorders>
              <w:top w:val="nil"/>
              <w:left w:val="nil"/>
              <w:bottom w:val="nil"/>
              <w:right w:val="nil"/>
            </w:tcBorders>
            <w:shd w:val="clear" w:color="auto" w:fill="B4C6E7"/>
            <w:noWrap/>
            <w:vAlign w:val="center"/>
            <w:hideMark/>
          </w:tcPr>
          <w:p w14:paraId="52F0A875"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CT</w:t>
            </w:r>
          </w:p>
        </w:tc>
        <w:tc>
          <w:tcPr>
            <w:tcW w:w="574" w:type="pct"/>
            <w:tcBorders>
              <w:top w:val="nil"/>
              <w:left w:val="nil"/>
              <w:bottom w:val="nil"/>
              <w:right w:val="nil"/>
            </w:tcBorders>
            <w:shd w:val="clear" w:color="auto" w:fill="B4C6E7"/>
            <w:noWrap/>
            <w:vAlign w:val="center"/>
            <w:hideMark/>
          </w:tcPr>
          <w:p w14:paraId="757B743B"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M&amp;Q</w:t>
            </w:r>
          </w:p>
        </w:tc>
        <w:tc>
          <w:tcPr>
            <w:tcW w:w="831" w:type="pct"/>
            <w:tcBorders>
              <w:top w:val="nil"/>
              <w:left w:val="nil"/>
              <w:bottom w:val="nil"/>
              <w:right w:val="nil"/>
            </w:tcBorders>
            <w:shd w:val="clear" w:color="auto" w:fill="B4C6E7"/>
            <w:noWrap/>
            <w:vAlign w:val="center"/>
            <w:hideMark/>
          </w:tcPr>
          <w:p w14:paraId="1C26F292"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HMRC</w:t>
            </w:r>
          </w:p>
        </w:tc>
        <w:tc>
          <w:tcPr>
            <w:tcW w:w="1011" w:type="pct"/>
            <w:tcBorders>
              <w:top w:val="nil"/>
              <w:left w:val="nil"/>
              <w:bottom w:val="nil"/>
              <w:right w:val="nil"/>
            </w:tcBorders>
            <w:shd w:val="clear" w:color="auto" w:fill="B4C6E7"/>
            <w:noWrap/>
            <w:vAlign w:val="center"/>
            <w:hideMark/>
          </w:tcPr>
          <w:p w14:paraId="1D349DB0" w14:textId="77777777"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122.0</w:t>
            </w:r>
          </w:p>
        </w:tc>
        <w:tc>
          <w:tcPr>
            <w:tcW w:w="470" w:type="pct"/>
            <w:tcBorders>
              <w:top w:val="nil"/>
              <w:left w:val="nil"/>
              <w:bottom w:val="nil"/>
              <w:right w:val="nil"/>
            </w:tcBorders>
            <w:shd w:val="clear" w:color="auto" w:fill="B4C6E7"/>
            <w:vAlign w:val="center"/>
          </w:tcPr>
          <w:p w14:paraId="28C38E29" w14:textId="436A07CD"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hAnsiTheme="minorBidi"/>
                <w:sz w:val="16"/>
                <w:szCs w:val="16"/>
              </w:rPr>
              <w:t>1.6%</w:t>
            </w:r>
          </w:p>
        </w:tc>
      </w:tr>
      <w:tr w:rsidR="00053FBF" w:rsidRPr="00DA4CC8" w14:paraId="4D60CC69" w14:textId="495CBD44" w:rsidTr="00DA4CC8">
        <w:trPr>
          <w:trHeight w:val="227"/>
        </w:trPr>
        <w:tc>
          <w:tcPr>
            <w:tcW w:w="2114" w:type="pct"/>
            <w:tcBorders>
              <w:top w:val="nil"/>
              <w:left w:val="nil"/>
              <w:bottom w:val="nil"/>
              <w:right w:val="nil"/>
            </w:tcBorders>
            <w:shd w:val="clear" w:color="auto" w:fill="auto"/>
            <w:noWrap/>
            <w:vAlign w:val="center"/>
            <w:hideMark/>
          </w:tcPr>
          <w:p w14:paraId="51C24A3F"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Payments to TCE</w:t>
            </w:r>
          </w:p>
        </w:tc>
        <w:tc>
          <w:tcPr>
            <w:tcW w:w="574" w:type="pct"/>
            <w:tcBorders>
              <w:top w:val="nil"/>
              <w:left w:val="nil"/>
              <w:bottom w:val="nil"/>
              <w:right w:val="nil"/>
            </w:tcBorders>
            <w:shd w:val="clear" w:color="auto" w:fill="auto"/>
            <w:noWrap/>
            <w:vAlign w:val="center"/>
            <w:hideMark/>
          </w:tcPr>
          <w:p w14:paraId="25A72157"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M&amp;Q</w:t>
            </w:r>
          </w:p>
        </w:tc>
        <w:tc>
          <w:tcPr>
            <w:tcW w:w="831" w:type="pct"/>
            <w:tcBorders>
              <w:top w:val="nil"/>
              <w:left w:val="nil"/>
              <w:bottom w:val="nil"/>
              <w:right w:val="nil"/>
            </w:tcBorders>
            <w:shd w:val="clear" w:color="auto" w:fill="auto"/>
            <w:noWrap/>
            <w:vAlign w:val="center"/>
            <w:hideMark/>
          </w:tcPr>
          <w:p w14:paraId="17B6C0E7"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TCE</w:t>
            </w:r>
          </w:p>
        </w:tc>
        <w:tc>
          <w:tcPr>
            <w:tcW w:w="1011" w:type="pct"/>
            <w:tcBorders>
              <w:top w:val="nil"/>
              <w:left w:val="nil"/>
              <w:bottom w:val="nil"/>
              <w:right w:val="nil"/>
            </w:tcBorders>
            <w:shd w:val="clear" w:color="auto" w:fill="auto"/>
            <w:noWrap/>
            <w:vAlign w:val="center"/>
            <w:hideMark/>
          </w:tcPr>
          <w:p w14:paraId="59131D88" w14:textId="77777777"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25.7</w:t>
            </w:r>
          </w:p>
        </w:tc>
        <w:tc>
          <w:tcPr>
            <w:tcW w:w="470" w:type="pct"/>
            <w:tcBorders>
              <w:top w:val="nil"/>
              <w:left w:val="nil"/>
              <w:bottom w:val="nil"/>
              <w:right w:val="nil"/>
            </w:tcBorders>
            <w:vAlign w:val="center"/>
          </w:tcPr>
          <w:p w14:paraId="05D5AC0E" w14:textId="0240D937" w:rsidR="00053FBF" w:rsidRPr="00DA4CC8" w:rsidRDefault="00C7631A" w:rsidP="00053FBF">
            <w:pPr>
              <w:spacing w:after="0" w:line="240" w:lineRule="auto"/>
              <w:jc w:val="right"/>
              <w:rPr>
                <w:rFonts w:asciiTheme="minorBidi" w:eastAsia="Times New Roman" w:hAnsiTheme="minorBidi"/>
                <w:sz w:val="16"/>
                <w:szCs w:val="16"/>
                <w:lang w:eastAsia="en-GB"/>
              </w:rPr>
            </w:pPr>
            <w:r w:rsidRPr="00DA4CC8">
              <w:rPr>
                <w:rFonts w:asciiTheme="minorBidi" w:hAnsiTheme="minorBidi"/>
                <w:sz w:val="16"/>
                <w:szCs w:val="16"/>
              </w:rPr>
              <w:t>0.3%</w:t>
            </w:r>
          </w:p>
        </w:tc>
      </w:tr>
      <w:tr w:rsidR="00053FBF" w:rsidRPr="00DA4CC8" w14:paraId="32E07B6C" w14:textId="6D5D75F7" w:rsidTr="00DA4CC8">
        <w:trPr>
          <w:trHeight w:val="227"/>
        </w:trPr>
        <w:tc>
          <w:tcPr>
            <w:tcW w:w="2114" w:type="pct"/>
            <w:tcBorders>
              <w:top w:val="nil"/>
              <w:left w:val="nil"/>
              <w:bottom w:val="nil"/>
              <w:right w:val="nil"/>
            </w:tcBorders>
            <w:shd w:val="clear" w:color="auto" w:fill="B4C6E7"/>
            <w:noWrap/>
            <w:vAlign w:val="center"/>
            <w:hideMark/>
          </w:tcPr>
          <w:p w14:paraId="6A4A333B"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Payments to CES</w:t>
            </w:r>
          </w:p>
        </w:tc>
        <w:tc>
          <w:tcPr>
            <w:tcW w:w="574" w:type="pct"/>
            <w:tcBorders>
              <w:top w:val="nil"/>
              <w:left w:val="nil"/>
              <w:bottom w:val="nil"/>
              <w:right w:val="nil"/>
            </w:tcBorders>
            <w:shd w:val="clear" w:color="auto" w:fill="B4C6E7"/>
            <w:noWrap/>
            <w:vAlign w:val="center"/>
            <w:hideMark/>
          </w:tcPr>
          <w:p w14:paraId="3B9C5831"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M&amp;Q</w:t>
            </w:r>
          </w:p>
        </w:tc>
        <w:tc>
          <w:tcPr>
            <w:tcW w:w="831" w:type="pct"/>
            <w:tcBorders>
              <w:top w:val="nil"/>
              <w:left w:val="nil"/>
              <w:bottom w:val="nil"/>
              <w:right w:val="nil"/>
            </w:tcBorders>
            <w:shd w:val="clear" w:color="auto" w:fill="B4C6E7"/>
            <w:noWrap/>
            <w:vAlign w:val="center"/>
            <w:hideMark/>
          </w:tcPr>
          <w:p w14:paraId="77F03001" w14:textId="77777777" w:rsidR="00053FBF" w:rsidRPr="00DA4CC8" w:rsidRDefault="00053FBF" w:rsidP="00053FBF">
            <w:pPr>
              <w:spacing w:after="0" w:line="240" w:lineRule="auto"/>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CES</w:t>
            </w:r>
          </w:p>
        </w:tc>
        <w:tc>
          <w:tcPr>
            <w:tcW w:w="1011" w:type="pct"/>
            <w:tcBorders>
              <w:top w:val="nil"/>
              <w:left w:val="nil"/>
              <w:bottom w:val="nil"/>
              <w:right w:val="nil"/>
            </w:tcBorders>
            <w:shd w:val="clear" w:color="auto" w:fill="B4C6E7"/>
            <w:noWrap/>
            <w:vAlign w:val="center"/>
            <w:hideMark/>
          </w:tcPr>
          <w:p w14:paraId="546E9F42" w14:textId="77777777"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0.3</w:t>
            </w:r>
          </w:p>
        </w:tc>
        <w:tc>
          <w:tcPr>
            <w:tcW w:w="470" w:type="pct"/>
            <w:tcBorders>
              <w:top w:val="nil"/>
              <w:left w:val="nil"/>
              <w:bottom w:val="nil"/>
              <w:right w:val="nil"/>
            </w:tcBorders>
            <w:shd w:val="clear" w:color="auto" w:fill="B4C6E7"/>
            <w:vAlign w:val="center"/>
          </w:tcPr>
          <w:p w14:paraId="35836829" w14:textId="347F70A7" w:rsidR="00053FBF" w:rsidRPr="00DA4CC8" w:rsidRDefault="000363AD" w:rsidP="00053FBF">
            <w:pPr>
              <w:spacing w:after="0" w:line="240" w:lineRule="auto"/>
              <w:jc w:val="right"/>
              <w:rPr>
                <w:rFonts w:asciiTheme="minorBidi" w:eastAsia="Times New Roman" w:hAnsiTheme="minorBidi"/>
                <w:sz w:val="16"/>
                <w:szCs w:val="16"/>
                <w:lang w:eastAsia="en-GB"/>
              </w:rPr>
            </w:pPr>
            <w:r w:rsidRPr="00DA4CC8">
              <w:rPr>
                <w:rFonts w:asciiTheme="minorBidi" w:hAnsiTheme="minorBidi"/>
                <w:sz w:val="16"/>
                <w:szCs w:val="16"/>
              </w:rPr>
              <w:t>0</w:t>
            </w:r>
            <w:r w:rsidR="00053FBF" w:rsidRPr="00DA4CC8">
              <w:rPr>
                <w:rFonts w:asciiTheme="minorBidi" w:hAnsiTheme="minorBidi"/>
                <w:sz w:val="16"/>
                <w:szCs w:val="16"/>
              </w:rPr>
              <w:t>.</w:t>
            </w:r>
            <w:r w:rsidRPr="00DA4CC8">
              <w:rPr>
                <w:rFonts w:asciiTheme="minorBidi" w:hAnsiTheme="minorBidi"/>
                <w:sz w:val="16"/>
                <w:szCs w:val="16"/>
              </w:rPr>
              <w:t>0</w:t>
            </w:r>
            <w:r w:rsidR="00053FBF" w:rsidRPr="00DA4CC8">
              <w:rPr>
                <w:rFonts w:asciiTheme="minorBidi" w:hAnsiTheme="minorBidi"/>
                <w:sz w:val="16"/>
                <w:szCs w:val="16"/>
              </w:rPr>
              <w:t>%</w:t>
            </w:r>
          </w:p>
        </w:tc>
      </w:tr>
      <w:tr w:rsidR="00053FBF" w:rsidRPr="00DA4CC8" w14:paraId="4C85AB46" w14:textId="5DA68277" w:rsidTr="00DA4CC8">
        <w:trPr>
          <w:trHeight w:val="227"/>
        </w:trPr>
        <w:tc>
          <w:tcPr>
            <w:tcW w:w="2114" w:type="pct"/>
            <w:tcBorders>
              <w:top w:val="nil"/>
              <w:left w:val="nil"/>
              <w:bottom w:val="nil"/>
              <w:right w:val="nil"/>
            </w:tcBorders>
            <w:shd w:val="clear" w:color="auto" w:fill="auto"/>
            <w:noWrap/>
            <w:vAlign w:val="center"/>
            <w:hideMark/>
          </w:tcPr>
          <w:p w14:paraId="347105CA" w14:textId="77777777" w:rsidR="00053FBF" w:rsidRPr="00DA4CC8" w:rsidRDefault="00053FBF" w:rsidP="00053FBF">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Section 106 (or similar) Payments</w:t>
            </w:r>
          </w:p>
        </w:tc>
        <w:tc>
          <w:tcPr>
            <w:tcW w:w="574" w:type="pct"/>
            <w:tcBorders>
              <w:top w:val="nil"/>
              <w:left w:val="nil"/>
              <w:bottom w:val="nil"/>
              <w:right w:val="nil"/>
            </w:tcBorders>
            <w:shd w:val="clear" w:color="auto" w:fill="auto"/>
            <w:vAlign w:val="center"/>
            <w:hideMark/>
          </w:tcPr>
          <w:p w14:paraId="6EF7F2B1" w14:textId="77777777" w:rsidR="00053FBF" w:rsidRPr="00DA4CC8" w:rsidRDefault="00053FBF" w:rsidP="00053FBF">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M&amp;Q</w:t>
            </w:r>
          </w:p>
        </w:tc>
        <w:tc>
          <w:tcPr>
            <w:tcW w:w="831" w:type="pct"/>
            <w:tcBorders>
              <w:top w:val="nil"/>
              <w:left w:val="nil"/>
              <w:bottom w:val="nil"/>
              <w:right w:val="nil"/>
            </w:tcBorders>
            <w:shd w:val="clear" w:color="auto" w:fill="auto"/>
            <w:vAlign w:val="center"/>
            <w:hideMark/>
          </w:tcPr>
          <w:p w14:paraId="3926681D" w14:textId="77777777" w:rsidR="00053FBF" w:rsidRPr="00DA4CC8" w:rsidRDefault="00053FBF" w:rsidP="00053FBF">
            <w:pPr>
              <w:spacing w:after="0" w:line="240" w:lineRule="auto"/>
              <w:rPr>
                <w:rFonts w:asciiTheme="minorBidi" w:eastAsia="Times New Roman" w:hAnsiTheme="minorBidi"/>
                <w:color w:val="000000"/>
                <w:sz w:val="16"/>
                <w:szCs w:val="16"/>
                <w:lang w:eastAsia="en-GB"/>
              </w:rPr>
            </w:pPr>
            <w:r w:rsidRPr="00DA4CC8">
              <w:rPr>
                <w:rFonts w:asciiTheme="minorBidi" w:eastAsia="Times New Roman" w:hAnsiTheme="minorBidi"/>
                <w:color w:val="000000"/>
                <w:sz w:val="16"/>
                <w:szCs w:val="16"/>
                <w:lang w:eastAsia="en-GB"/>
              </w:rPr>
              <w:t>Local Authorities</w:t>
            </w:r>
          </w:p>
        </w:tc>
        <w:tc>
          <w:tcPr>
            <w:tcW w:w="1011" w:type="pct"/>
            <w:tcBorders>
              <w:top w:val="nil"/>
              <w:left w:val="nil"/>
              <w:bottom w:val="nil"/>
              <w:right w:val="nil"/>
            </w:tcBorders>
            <w:shd w:val="clear" w:color="auto" w:fill="auto"/>
            <w:noWrap/>
            <w:vAlign w:val="center"/>
            <w:hideMark/>
          </w:tcPr>
          <w:p w14:paraId="1174E519" w14:textId="77777777"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eastAsia="Times New Roman" w:hAnsiTheme="minorBidi"/>
                <w:sz w:val="16"/>
                <w:szCs w:val="16"/>
                <w:lang w:eastAsia="en-GB"/>
              </w:rPr>
              <w:t>0.2</w:t>
            </w:r>
          </w:p>
        </w:tc>
        <w:tc>
          <w:tcPr>
            <w:tcW w:w="470" w:type="pct"/>
            <w:tcBorders>
              <w:top w:val="nil"/>
              <w:left w:val="nil"/>
              <w:bottom w:val="nil"/>
              <w:right w:val="nil"/>
            </w:tcBorders>
            <w:vAlign w:val="center"/>
          </w:tcPr>
          <w:p w14:paraId="57E804F1" w14:textId="60ED9F5C" w:rsidR="00053FBF" w:rsidRPr="00DA4CC8" w:rsidRDefault="00053FBF" w:rsidP="00053FBF">
            <w:pPr>
              <w:spacing w:after="0" w:line="240" w:lineRule="auto"/>
              <w:jc w:val="right"/>
              <w:rPr>
                <w:rFonts w:asciiTheme="minorBidi" w:eastAsia="Times New Roman" w:hAnsiTheme="minorBidi"/>
                <w:sz w:val="16"/>
                <w:szCs w:val="16"/>
                <w:lang w:eastAsia="en-GB"/>
              </w:rPr>
            </w:pPr>
            <w:r w:rsidRPr="00DA4CC8">
              <w:rPr>
                <w:rFonts w:asciiTheme="minorBidi" w:hAnsiTheme="minorBidi"/>
                <w:sz w:val="16"/>
                <w:szCs w:val="16"/>
              </w:rPr>
              <w:t>0.0%</w:t>
            </w:r>
          </w:p>
        </w:tc>
      </w:tr>
      <w:tr w:rsidR="00B436C1" w:rsidRPr="00DA4CC8" w14:paraId="501D3803" w14:textId="77777777" w:rsidTr="00DA4CC8">
        <w:trPr>
          <w:trHeight w:val="227"/>
        </w:trPr>
        <w:tc>
          <w:tcPr>
            <w:tcW w:w="2114" w:type="pct"/>
            <w:tcBorders>
              <w:top w:val="nil"/>
              <w:left w:val="nil"/>
              <w:bottom w:val="nil"/>
              <w:right w:val="nil"/>
            </w:tcBorders>
            <w:shd w:val="clear" w:color="000000" w:fill="BFBFBF"/>
            <w:noWrap/>
            <w:vAlign w:val="center"/>
            <w:hideMark/>
          </w:tcPr>
          <w:p w14:paraId="26F13BB2" w14:textId="7E889650" w:rsidR="00B436C1" w:rsidRPr="00DA4CC8" w:rsidRDefault="00B436C1" w:rsidP="00B436C1">
            <w:pPr>
              <w:spacing w:after="0" w:line="240" w:lineRule="auto"/>
              <w:jc w:val="center"/>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Total M&amp;Q</w:t>
            </w:r>
          </w:p>
        </w:tc>
        <w:tc>
          <w:tcPr>
            <w:tcW w:w="1405" w:type="pct"/>
            <w:gridSpan w:val="2"/>
            <w:tcBorders>
              <w:top w:val="nil"/>
              <w:left w:val="nil"/>
              <w:bottom w:val="nil"/>
              <w:right w:val="nil"/>
            </w:tcBorders>
            <w:shd w:val="clear" w:color="000000" w:fill="BFBFBF"/>
            <w:noWrap/>
            <w:vAlign w:val="center"/>
            <w:hideMark/>
          </w:tcPr>
          <w:p w14:paraId="0F8BE579" w14:textId="77777777" w:rsidR="00B436C1" w:rsidRPr="00DA4CC8" w:rsidRDefault="00B436C1" w:rsidP="00B436C1">
            <w:pPr>
              <w:spacing w:after="0" w:line="240" w:lineRule="auto"/>
              <w:rPr>
                <w:rFonts w:asciiTheme="minorBidi" w:eastAsia="Times New Roman" w:hAnsiTheme="minorBidi"/>
                <w:b/>
                <w:bCs/>
                <w:color w:val="000000"/>
                <w:sz w:val="16"/>
                <w:szCs w:val="16"/>
                <w:lang w:eastAsia="en-GB"/>
              </w:rPr>
            </w:pPr>
          </w:p>
        </w:tc>
        <w:tc>
          <w:tcPr>
            <w:tcW w:w="1011" w:type="pct"/>
            <w:tcBorders>
              <w:top w:val="nil"/>
              <w:left w:val="nil"/>
              <w:bottom w:val="nil"/>
              <w:right w:val="nil"/>
            </w:tcBorders>
            <w:shd w:val="clear" w:color="000000" w:fill="BFBFBF"/>
            <w:noWrap/>
            <w:vAlign w:val="center"/>
            <w:hideMark/>
          </w:tcPr>
          <w:p w14:paraId="04EF0337" w14:textId="08906C94" w:rsidR="00B436C1" w:rsidRPr="00DA4CC8" w:rsidRDefault="00B436C1" w:rsidP="00B436C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148.2</w:t>
            </w:r>
          </w:p>
        </w:tc>
        <w:tc>
          <w:tcPr>
            <w:tcW w:w="470" w:type="pct"/>
            <w:tcBorders>
              <w:top w:val="nil"/>
              <w:left w:val="nil"/>
              <w:bottom w:val="nil"/>
              <w:right w:val="nil"/>
            </w:tcBorders>
            <w:shd w:val="clear" w:color="000000" w:fill="BFBFBF"/>
            <w:vAlign w:val="center"/>
          </w:tcPr>
          <w:p w14:paraId="306BA988" w14:textId="3652D475" w:rsidR="00B436C1" w:rsidRPr="00DA4CC8" w:rsidRDefault="00C814A3" w:rsidP="00B436C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1.9%</w:t>
            </w:r>
          </w:p>
        </w:tc>
      </w:tr>
      <w:tr w:rsidR="00276B02" w:rsidRPr="00DA4CC8" w14:paraId="74884FC0" w14:textId="254AF8A6" w:rsidTr="00DA4CC8">
        <w:trPr>
          <w:trHeight w:val="63"/>
        </w:trPr>
        <w:tc>
          <w:tcPr>
            <w:tcW w:w="2114" w:type="pct"/>
            <w:tcBorders>
              <w:top w:val="nil"/>
              <w:left w:val="nil"/>
              <w:bottom w:val="nil"/>
              <w:right w:val="nil"/>
            </w:tcBorders>
            <w:shd w:val="clear" w:color="auto" w:fill="auto"/>
            <w:vAlign w:val="center"/>
            <w:hideMark/>
          </w:tcPr>
          <w:p w14:paraId="3F08894D" w14:textId="77777777" w:rsidR="00865F5B" w:rsidRPr="00DA4CC8" w:rsidRDefault="00865F5B" w:rsidP="00894453">
            <w:pPr>
              <w:spacing w:after="0" w:line="240" w:lineRule="auto"/>
              <w:jc w:val="right"/>
              <w:rPr>
                <w:rFonts w:asciiTheme="minorBidi" w:eastAsia="Times New Roman" w:hAnsiTheme="minorBidi"/>
                <w:sz w:val="2"/>
                <w:szCs w:val="2"/>
                <w:lang w:eastAsia="en-GB"/>
              </w:rPr>
            </w:pPr>
          </w:p>
        </w:tc>
        <w:tc>
          <w:tcPr>
            <w:tcW w:w="574" w:type="pct"/>
            <w:tcBorders>
              <w:top w:val="nil"/>
              <w:left w:val="nil"/>
              <w:bottom w:val="nil"/>
              <w:right w:val="nil"/>
            </w:tcBorders>
            <w:shd w:val="clear" w:color="auto" w:fill="auto"/>
            <w:noWrap/>
            <w:vAlign w:val="center"/>
            <w:hideMark/>
          </w:tcPr>
          <w:p w14:paraId="458825E4"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831" w:type="pct"/>
            <w:tcBorders>
              <w:top w:val="nil"/>
              <w:left w:val="nil"/>
              <w:bottom w:val="nil"/>
              <w:right w:val="nil"/>
            </w:tcBorders>
            <w:shd w:val="clear" w:color="auto" w:fill="auto"/>
            <w:noWrap/>
            <w:vAlign w:val="center"/>
            <w:hideMark/>
          </w:tcPr>
          <w:p w14:paraId="13226A48" w14:textId="77777777" w:rsidR="00865F5B" w:rsidRPr="00DA4CC8" w:rsidRDefault="00865F5B" w:rsidP="00894453">
            <w:pPr>
              <w:spacing w:after="0" w:line="240" w:lineRule="auto"/>
              <w:rPr>
                <w:rFonts w:asciiTheme="minorBidi" w:eastAsia="Times New Roman" w:hAnsiTheme="minorBidi"/>
                <w:sz w:val="2"/>
                <w:szCs w:val="2"/>
                <w:lang w:eastAsia="en-GB"/>
              </w:rPr>
            </w:pPr>
          </w:p>
        </w:tc>
        <w:tc>
          <w:tcPr>
            <w:tcW w:w="1011" w:type="pct"/>
            <w:tcBorders>
              <w:top w:val="nil"/>
              <w:left w:val="nil"/>
              <w:bottom w:val="nil"/>
              <w:right w:val="nil"/>
            </w:tcBorders>
            <w:shd w:val="clear" w:color="auto" w:fill="auto"/>
            <w:noWrap/>
            <w:vAlign w:val="center"/>
            <w:hideMark/>
          </w:tcPr>
          <w:p w14:paraId="2A540674" w14:textId="77777777" w:rsidR="00865F5B" w:rsidRPr="00DA4CC8" w:rsidRDefault="00865F5B" w:rsidP="00894453">
            <w:pPr>
              <w:spacing w:after="0" w:line="240" w:lineRule="auto"/>
              <w:jc w:val="right"/>
              <w:rPr>
                <w:rFonts w:asciiTheme="minorBidi" w:eastAsia="Times New Roman" w:hAnsiTheme="minorBidi"/>
                <w:sz w:val="2"/>
                <w:szCs w:val="2"/>
                <w:lang w:eastAsia="en-GB"/>
              </w:rPr>
            </w:pPr>
          </w:p>
        </w:tc>
        <w:tc>
          <w:tcPr>
            <w:tcW w:w="470" w:type="pct"/>
            <w:tcBorders>
              <w:top w:val="nil"/>
              <w:left w:val="nil"/>
              <w:bottom w:val="nil"/>
              <w:right w:val="nil"/>
            </w:tcBorders>
            <w:vAlign w:val="center"/>
          </w:tcPr>
          <w:p w14:paraId="4831B885" w14:textId="77777777" w:rsidR="00865F5B" w:rsidRPr="00DA4CC8" w:rsidRDefault="00865F5B" w:rsidP="00BC4A91">
            <w:pPr>
              <w:spacing w:after="0" w:line="240" w:lineRule="auto"/>
              <w:jc w:val="right"/>
              <w:rPr>
                <w:rFonts w:asciiTheme="minorBidi" w:eastAsia="Times New Roman" w:hAnsiTheme="minorBidi"/>
                <w:sz w:val="2"/>
                <w:szCs w:val="2"/>
                <w:lang w:eastAsia="en-GB"/>
              </w:rPr>
            </w:pPr>
          </w:p>
        </w:tc>
      </w:tr>
      <w:tr w:rsidR="00276B02" w:rsidRPr="00E575FC" w14:paraId="3544ED1F" w14:textId="33DF18FA" w:rsidTr="00DA4CC8">
        <w:trPr>
          <w:trHeight w:val="227"/>
        </w:trPr>
        <w:tc>
          <w:tcPr>
            <w:tcW w:w="2114" w:type="pct"/>
            <w:tcBorders>
              <w:top w:val="nil"/>
              <w:left w:val="nil"/>
              <w:bottom w:val="nil"/>
              <w:right w:val="nil"/>
            </w:tcBorders>
            <w:shd w:val="clear" w:color="000000" w:fill="BFBFBF"/>
            <w:noWrap/>
            <w:vAlign w:val="center"/>
            <w:hideMark/>
          </w:tcPr>
          <w:p w14:paraId="2C68811F"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Total (1-4)</w:t>
            </w:r>
          </w:p>
        </w:tc>
        <w:tc>
          <w:tcPr>
            <w:tcW w:w="574" w:type="pct"/>
            <w:tcBorders>
              <w:top w:val="nil"/>
              <w:left w:val="nil"/>
              <w:bottom w:val="nil"/>
              <w:right w:val="nil"/>
            </w:tcBorders>
            <w:shd w:val="clear" w:color="000000" w:fill="BFBFBF"/>
            <w:noWrap/>
            <w:vAlign w:val="center"/>
            <w:hideMark/>
          </w:tcPr>
          <w:p w14:paraId="402E4C37"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831" w:type="pct"/>
            <w:tcBorders>
              <w:top w:val="nil"/>
              <w:left w:val="nil"/>
              <w:bottom w:val="nil"/>
              <w:right w:val="nil"/>
            </w:tcBorders>
            <w:shd w:val="clear" w:color="000000" w:fill="BFBFBF"/>
            <w:noWrap/>
            <w:vAlign w:val="center"/>
            <w:hideMark/>
          </w:tcPr>
          <w:p w14:paraId="4B2EBE89" w14:textId="77777777" w:rsidR="00865F5B" w:rsidRPr="00DA4CC8" w:rsidRDefault="00865F5B" w:rsidP="00894453">
            <w:pPr>
              <w:spacing w:after="0" w:line="240" w:lineRule="auto"/>
              <w:rPr>
                <w:rFonts w:asciiTheme="minorBidi" w:eastAsia="Times New Roman" w:hAnsiTheme="minorBidi"/>
                <w:b/>
                <w:bCs/>
                <w:color w:val="000000"/>
                <w:sz w:val="16"/>
                <w:szCs w:val="16"/>
                <w:lang w:eastAsia="en-GB"/>
              </w:rPr>
            </w:pPr>
            <w:r w:rsidRPr="00DA4CC8">
              <w:rPr>
                <w:rFonts w:asciiTheme="minorBidi" w:eastAsia="Times New Roman" w:hAnsiTheme="minorBidi"/>
                <w:b/>
                <w:bCs/>
                <w:color w:val="000000"/>
                <w:sz w:val="16"/>
                <w:szCs w:val="16"/>
                <w:lang w:eastAsia="en-GB"/>
              </w:rPr>
              <w:t> </w:t>
            </w:r>
          </w:p>
        </w:tc>
        <w:tc>
          <w:tcPr>
            <w:tcW w:w="1011" w:type="pct"/>
            <w:tcBorders>
              <w:top w:val="nil"/>
              <w:left w:val="nil"/>
              <w:bottom w:val="nil"/>
              <w:right w:val="nil"/>
            </w:tcBorders>
            <w:shd w:val="clear" w:color="000000" w:fill="BFBFBF"/>
            <w:noWrap/>
            <w:vAlign w:val="center"/>
            <w:hideMark/>
          </w:tcPr>
          <w:p w14:paraId="5B505E77" w14:textId="125BE3B2" w:rsidR="00865F5B" w:rsidRPr="00DA4CC8" w:rsidRDefault="00865F5B" w:rsidP="00894453">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7,644.0</w:t>
            </w:r>
          </w:p>
        </w:tc>
        <w:tc>
          <w:tcPr>
            <w:tcW w:w="470" w:type="pct"/>
            <w:tcBorders>
              <w:top w:val="nil"/>
              <w:left w:val="nil"/>
              <w:bottom w:val="nil"/>
              <w:right w:val="nil"/>
            </w:tcBorders>
            <w:shd w:val="clear" w:color="000000" w:fill="BFBFBF"/>
            <w:vAlign w:val="center"/>
          </w:tcPr>
          <w:p w14:paraId="10CE09DD" w14:textId="64DD4F4F" w:rsidR="00865F5B" w:rsidRPr="00E575FC" w:rsidRDefault="00C814A3" w:rsidP="00BC4A91">
            <w:pPr>
              <w:spacing w:after="0" w:line="240" w:lineRule="auto"/>
              <w:jc w:val="right"/>
              <w:rPr>
                <w:rFonts w:asciiTheme="minorBidi" w:eastAsia="Times New Roman" w:hAnsiTheme="minorBidi"/>
                <w:b/>
                <w:bCs/>
                <w:sz w:val="16"/>
                <w:szCs w:val="16"/>
                <w:lang w:eastAsia="en-GB"/>
              </w:rPr>
            </w:pPr>
            <w:r w:rsidRPr="00DA4CC8">
              <w:rPr>
                <w:rFonts w:asciiTheme="minorBidi" w:eastAsia="Times New Roman" w:hAnsiTheme="minorBidi"/>
                <w:b/>
                <w:bCs/>
                <w:sz w:val="16"/>
                <w:szCs w:val="16"/>
                <w:lang w:eastAsia="en-GB"/>
              </w:rPr>
              <w:t>100.00%</w:t>
            </w:r>
          </w:p>
        </w:tc>
      </w:tr>
    </w:tbl>
    <w:p w14:paraId="73CE3C22" w14:textId="52F58589" w:rsidR="00A218E9" w:rsidRPr="0035568A" w:rsidRDefault="00A8674E" w:rsidP="009F2701">
      <w:pPr>
        <w:keepNext/>
        <w:spacing w:before="120" w:after="0" w:line="240" w:lineRule="auto"/>
        <w:jc w:val="both"/>
        <w:rPr>
          <w:rFonts w:ascii="Arial" w:eastAsia="Calibri" w:hAnsi="Arial" w:cs="Arial"/>
          <w:sz w:val="16"/>
          <w:szCs w:val="16"/>
        </w:rPr>
      </w:pPr>
      <w:r w:rsidRPr="0035568A">
        <w:rPr>
          <w:rFonts w:ascii="Arial" w:eastAsia="Calibri" w:hAnsi="Arial" w:cs="Arial"/>
          <w:sz w:val="16"/>
          <w:szCs w:val="16"/>
          <w:vertAlign w:val="superscript"/>
        </w:rPr>
        <w:t>(a)</w:t>
      </w:r>
      <w:r w:rsidRPr="0035568A">
        <w:rPr>
          <w:rFonts w:ascii="Arial" w:eastAsia="Calibri" w:hAnsi="Arial" w:cs="Arial"/>
          <w:sz w:val="16"/>
          <w:szCs w:val="16"/>
        </w:rPr>
        <w:t xml:space="preserve"> </w:t>
      </w:r>
      <w:r w:rsidR="008C3A85" w:rsidRPr="0035568A">
        <w:rPr>
          <w:rFonts w:ascii="Arial" w:eastAsia="Calibri" w:hAnsi="Arial" w:cs="Arial"/>
          <w:sz w:val="16"/>
          <w:szCs w:val="16"/>
        </w:rPr>
        <w:t>All net unreconciled differences were below the materiality deviation agreed by the MSG.</w:t>
      </w:r>
    </w:p>
    <w:p w14:paraId="555CC9EA" w14:textId="45EFCE6E" w:rsidR="00A8674E" w:rsidRPr="0035568A" w:rsidRDefault="00A218E9" w:rsidP="008C3A85">
      <w:pPr>
        <w:keepNext/>
        <w:spacing w:after="0" w:line="240" w:lineRule="auto"/>
        <w:jc w:val="both"/>
        <w:rPr>
          <w:rFonts w:ascii="Arial" w:eastAsia="Calibri" w:hAnsi="Arial" w:cs="Arial"/>
          <w:sz w:val="16"/>
          <w:szCs w:val="16"/>
          <w:vertAlign w:val="superscript"/>
        </w:rPr>
      </w:pPr>
      <w:r w:rsidRPr="0035568A">
        <w:rPr>
          <w:rFonts w:ascii="Arial" w:eastAsia="Calibri" w:hAnsi="Arial" w:cs="Arial"/>
          <w:sz w:val="16"/>
          <w:szCs w:val="16"/>
          <w:vertAlign w:val="superscript"/>
        </w:rPr>
        <w:t xml:space="preserve">(b) </w:t>
      </w:r>
      <w:r w:rsidR="00491C64" w:rsidRPr="0035568A">
        <w:rPr>
          <w:rFonts w:ascii="Arial" w:eastAsia="Calibri" w:hAnsi="Arial" w:cs="Arial"/>
          <w:sz w:val="16"/>
          <w:szCs w:val="16"/>
        </w:rPr>
        <w:t xml:space="preserve">Comprises </w:t>
      </w:r>
      <w:r w:rsidR="002E4D45" w:rsidRPr="0035568A">
        <w:rPr>
          <w:rFonts w:ascii="Arial" w:eastAsia="Calibri" w:hAnsi="Arial" w:cs="Arial"/>
          <w:sz w:val="16"/>
          <w:szCs w:val="24"/>
        </w:rPr>
        <w:t xml:space="preserve">extractive companies </w:t>
      </w:r>
      <w:r w:rsidR="00A8674E" w:rsidRPr="0035568A">
        <w:rPr>
          <w:rFonts w:ascii="Arial" w:eastAsia="Calibri" w:hAnsi="Arial" w:cs="Arial"/>
          <w:sz w:val="16"/>
          <w:szCs w:val="24"/>
        </w:rPr>
        <w:t>with material payments that declined to participate in the reconciliation process</w:t>
      </w:r>
      <w:r w:rsidR="002E4D45" w:rsidRPr="0035568A">
        <w:rPr>
          <w:rFonts w:ascii="Arial" w:eastAsia="Calibri" w:hAnsi="Arial" w:cs="Arial"/>
          <w:sz w:val="16"/>
          <w:szCs w:val="24"/>
        </w:rPr>
        <w:t>.</w:t>
      </w:r>
    </w:p>
    <w:p w14:paraId="7234B0FB" w14:textId="0B9F87A4" w:rsidR="00A20611" w:rsidRPr="0035568A" w:rsidRDefault="006B0F4E" w:rsidP="009F2701">
      <w:pPr>
        <w:keepNext/>
        <w:spacing w:after="0" w:line="240" w:lineRule="auto"/>
        <w:jc w:val="both"/>
        <w:rPr>
          <w:rFonts w:ascii="Arial" w:eastAsia="Calibri" w:hAnsi="Arial" w:cs="Arial"/>
          <w:sz w:val="16"/>
          <w:szCs w:val="24"/>
        </w:rPr>
      </w:pPr>
      <w:r w:rsidRPr="0035568A">
        <w:rPr>
          <w:rFonts w:ascii="Arial" w:eastAsia="Calibri" w:hAnsi="Arial" w:cs="Arial"/>
          <w:sz w:val="16"/>
          <w:szCs w:val="16"/>
          <w:vertAlign w:val="superscript"/>
        </w:rPr>
        <w:t>(</w:t>
      </w:r>
      <w:r w:rsidR="00A218E9" w:rsidRPr="0035568A">
        <w:rPr>
          <w:rFonts w:ascii="Arial" w:eastAsia="Calibri" w:hAnsi="Arial" w:cs="Arial"/>
          <w:sz w:val="16"/>
          <w:szCs w:val="16"/>
          <w:vertAlign w:val="superscript"/>
        </w:rPr>
        <w:t>c</w:t>
      </w:r>
      <w:r w:rsidRPr="0035568A">
        <w:rPr>
          <w:rFonts w:ascii="Arial" w:eastAsia="Calibri" w:hAnsi="Arial" w:cs="Arial"/>
          <w:sz w:val="16"/>
          <w:szCs w:val="16"/>
          <w:vertAlign w:val="superscript"/>
        </w:rPr>
        <w:t>)</w:t>
      </w:r>
      <w:r w:rsidRPr="0035568A">
        <w:rPr>
          <w:rFonts w:ascii="Arial" w:eastAsia="Calibri" w:hAnsi="Arial" w:cs="Arial"/>
          <w:sz w:val="16"/>
          <w:szCs w:val="16"/>
        </w:rPr>
        <w:t xml:space="preserve"> </w:t>
      </w:r>
      <w:r w:rsidR="00491C64" w:rsidRPr="0035568A">
        <w:rPr>
          <w:rFonts w:ascii="Arial" w:eastAsia="Calibri" w:hAnsi="Arial" w:cs="Arial"/>
          <w:sz w:val="16"/>
          <w:szCs w:val="16"/>
        </w:rPr>
        <w:t xml:space="preserve">Comprises </w:t>
      </w:r>
      <w:r w:rsidRPr="0035568A">
        <w:rPr>
          <w:rFonts w:ascii="Arial" w:eastAsia="Calibri" w:hAnsi="Arial" w:cs="Arial"/>
          <w:sz w:val="16"/>
          <w:szCs w:val="24"/>
        </w:rPr>
        <w:t>extractive companies out of the reconciliation scope because their payments / refunds were below the agreed materiality thresholds</w:t>
      </w:r>
      <w:r w:rsidR="00A8674E" w:rsidRPr="0035568A">
        <w:rPr>
          <w:rFonts w:ascii="Arial" w:eastAsia="Calibri" w:hAnsi="Arial" w:cs="Arial"/>
          <w:sz w:val="16"/>
          <w:szCs w:val="24"/>
        </w:rPr>
        <w:t xml:space="preserve"> and</w:t>
      </w:r>
      <w:r w:rsidRPr="0035568A">
        <w:rPr>
          <w:rFonts w:ascii="Arial" w:eastAsia="Calibri" w:hAnsi="Arial" w:cs="Arial"/>
          <w:sz w:val="16"/>
          <w:szCs w:val="24"/>
        </w:rPr>
        <w:t xml:space="preserve"> </w:t>
      </w:r>
      <w:r w:rsidR="004E2FD6" w:rsidRPr="0035568A">
        <w:rPr>
          <w:rFonts w:ascii="Arial" w:eastAsia="Calibri" w:hAnsi="Arial" w:cs="Arial"/>
          <w:sz w:val="16"/>
          <w:szCs w:val="24"/>
        </w:rPr>
        <w:t>non-material payment / refunds for companies that were in scope.</w:t>
      </w:r>
    </w:p>
    <w:p w14:paraId="6274ACDF" w14:textId="1621DCBA" w:rsidR="00722B97" w:rsidRPr="0035568A" w:rsidRDefault="00722B97" w:rsidP="004E7679">
      <w:pPr>
        <w:keepNext/>
        <w:spacing w:before="120" w:line="240" w:lineRule="auto"/>
        <w:jc w:val="both"/>
        <w:rPr>
          <w:rFonts w:ascii="Arial" w:eastAsia="Calibri" w:hAnsi="Arial" w:cs="Arial"/>
          <w:sz w:val="23"/>
          <w:szCs w:val="23"/>
        </w:rPr>
        <w:sectPr w:rsidR="00722B97" w:rsidRPr="0035568A" w:rsidSect="00A255F5">
          <w:footnotePr>
            <w:numRestart w:val="eachPage"/>
          </w:footnotePr>
          <w:pgSz w:w="11906" w:h="16838"/>
          <w:pgMar w:top="1440" w:right="1440" w:bottom="1440" w:left="1440" w:header="709" w:footer="709" w:gutter="0"/>
          <w:cols w:space="708"/>
          <w:docGrid w:linePitch="360"/>
        </w:sectPr>
      </w:pPr>
    </w:p>
    <w:p w14:paraId="54951F35" w14:textId="7F999AFA" w:rsidR="008577A7" w:rsidRPr="0035568A" w:rsidRDefault="008577A7" w:rsidP="008577A7">
      <w:pPr>
        <w:pStyle w:val="Caption"/>
        <w:jc w:val="both"/>
        <w:rPr>
          <w:rFonts w:asciiTheme="minorBidi" w:eastAsia="Calibri" w:hAnsiTheme="minorBidi"/>
          <w:iCs/>
          <w:smallCaps w:val="0"/>
          <w:color w:val="auto"/>
          <w:spacing w:val="0"/>
          <w:sz w:val="22"/>
          <w:szCs w:val="22"/>
          <w:lang w:eastAsia="x-none"/>
        </w:rPr>
      </w:pPr>
      <w:bookmarkStart w:id="10" w:name="_Toc174582679"/>
      <w:bookmarkStart w:id="11" w:name="_Toc174582864"/>
      <w:bookmarkStart w:id="12" w:name="_Toc174583049"/>
      <w:bookmarkStart w:id="13" w:name="_Toc174582680"/>
      <w:bookmarkStart w:id="14" w:name="_Toc174582865"/>
      <w:bookmarkStart w:id="15" w:name="_Toc174583050"/>
      <w:bookmarkStart w:id="16" w:name="_Toc174582681"/>
      <w:bookmarkStart w:id="17" w:name="_Toc174582866"/>
      <w:bookmarkStart w:id="18" w:name="_Toc174583051"/>
      <w:bookmarkStart w:id="19" w:name="_Toc174582694"/>
      <w:bookmarkStart w:id="20" w:name="_Toc174582879"/>
      <w:bookmarkStart w:id="21" w:name="_Toc174583064"/>
      <w:bookmarkStart w:id="22" w:name="_Toc174582714"/>
      <w:bookmarkStart w:id="23" w:name="_Toc174582899"/>
      <w:bookmarkStart w:id="24" w:name="_Toc174583084"/>
      <w:bookmarkStart w:id="25" w:name="_Toc174582774"/>
      <w:bookmarkStart w:id="26" w:name="_Toc174582959"/>
      <w:bookmarkStart w:id="27" w:name="_Toc174583144"/>
      <w:bookmarkStart w:id="28" w:name="_Toc174582775"/>
      <w:bookmarkStart w:id="29" w:name="_Toc174582960"/>
      <w:bookmarkStart w:id="30" w:name="_Toc174583145"/>
      <w:bookmarkStart w:id="31" w:name="_Toc174582776"/>
      <w:bookmarkStart w:id="32" w:name="_Toc174582961"/>
      <w:bookmarkStart w:id="33" w:name="_Toc174583146"/>
      <w:bookmarkStart w:id="34" w:name="_Toc174582777"/>
      <w:bookmarkStart w:id="35" w:name="_Toc174582962"/>
      <w:bookmarkStart w:id="36" w:name="_Toc174583147"/>
      <w:bookmarkStart w:id="37" w:name="_Toc174582856"/>
      <w:bookmarkStart w:id="38" w:name="_Toc174583041"/>
      <w:bookmarkStart w:id="39" w:name="_Toc174583226"/>
      <w:bookmarkStart w:id="40" w:name="_Toc177118482"/>
      <w:bookmarkStart w:id="41" w:name="_Toc43337595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35568A">
        <w:rPr>
          <w:rFonts w:asciiTheme="minorBidi" w:eastAsia="Calibri" w:hAnsiTheme="minorBidi"/>
          <w:iCs/>
          <w:smallCaps w:val="0"/>
          <w:color w:val="auto"/>
          <w:spacing w:val="0"/>
          <w:sz w:val="22"/>
          <w:szCs w:val="22"/>
          <w:lang w:eastAsia="x-none"/>
        </w:rPr>
        <w:lastRenderedPageBreak/>
        <w:t xml:space="preserve">Table </w:t>
      </w:r>
      <w:r w:rsidRPr="0035568A">
        <w:rPr>
          <w:rFonts w:asciiTheme="minorBidi" w:hAnsiTheme="minorBidi"/>
          <w:color w:val="auto"/>
        </w:rPr>
        <w:fldChar w:fldCharType="begin"/>
      </w:r>
      <w:r w:rsidRPr="0035568A">
        <w:rPr>
          <w:rFonts w:asciiTheme="minorBidi" w:hAnsiTheme="minorBidi"/>
          <w:color w:val="auto"/>
        </w:rPr>
        <w:instrText xml:space="preserve"> SEQ Table \* ARABIC </w:instrText>
      </w:r>
      <w:r w:rsidRPr="0035568A">
        <w:rPr>
          <w:rFonts w:asciiTheme="minorBidi" w:hAnsiTheme="minorBidi"/>
          <w:color w:val="auto"/>
        </w:rPr>
        <w:fldChar w:fldCharType="separate"/>
      </w:r>
      <w:r w:rsidR="009A3FF3">
        <w:rPr>
          <w:rFonts w:asciiTheme="minorBidi" w:hAnsiTheme="minorBidi"/>
          <w:noProof/>
          <w:color w:val="auto"/>
        </w:rPr>
        <w:t>2</w:t>
      </w:r>
      <w:r w:rsidRPr="0035568A">
        <w:rPr>
          <w:rFonts w:asciiTheme="minorBidi" w:hAnsiTheme="minorBidi"/>
          <w:color w:val="auto"/>
        </w:rPr>
        <w:fldChar w:fldCharType="end"/>
      </w:r>
      <w:r w:rsidRPr="0035568A">
        <w:rPr>
          <w:rFonts w:asciiTheme="minorBidi" w:hAnsiTheme="minorBidi"/>
          <w:color w:val="auto"/>
        </w:rPr>
        <w:t xml:space="preserve">: </w:t>
      </w:r>
      <w:r w:rsidR="00AA5F3D" w:rsidRPr="0035568A">
        <w:rPr>
          <w:rFonts w:asciiTheme="minorBidi" w:eastAsia="Calibri" w:hAnsiTheme="minorBidi"/>
          <w:iCs/>
          <w:smallCaps w:val="0"/>
          <w:color w:val="auto"/>
          <w:spacing w:val="0"/>
          <w:sz w:val="22"/>
          <w:szCs w:val="22"/>
          <w:lang w:eastAsia="x-none"/>
        </w:rPr>
        <w:t>Extractive Industries Payments to/Refunds from UK Government in 2023</w:t>
      </w:r>
      <w:bookmarkEnd w:id="40"/>
    </w:p>
    <w:p w14:paraId="2A53B969" w14:textId="0FDA86B3" w:rsidR="00AA5F3D" w:rsidRPr="0035568A" w:rsidRDefault="0067441A" w:rsidP="00946FF7">
      <w:pPr>
        <w:jc w:val="both"/>
        <w:rPr>
          <w:rFonts w:ascii="Arial" w:eastAsia="Calibri" w:hAnsi="Arial" w:cs="Arial"/>
          <w:color w:val="000000"/>
          <w:sz w:val="23"/>
          <w:szCs w:val="23"/>
        </w:rPr>
      </w:pPr>
      <w:r w:rsidRPr="0035568A">
        <w:rPr>
          <w:rFonts w:ascii="Arial" w:eastAsia="Calibri" w:hAnsi="Arial" w:cs="Arial"/>
          <w:color w:val="000000"/>
          <w:sz w:val="23"/>
          <w:szCs w:val="23"/>
        </w:rPr>
        <w:t xml:space="preserve">This table shows </w:t>
      </w:r>
      <w:r w:rsidR="00E426CC" w:rsidRPr="0035568A">
        <w:rPr>
          <w:rFonts w:ascii="Arial" w:eastAsia="Calibri" w:hAnsi="Arial" w:cs="Arial"/>
          <w:color w:val="000000"/>
          <w:sz w:val="23"/>
          <w:szCs w:val="23"/>
        </w:rPr>
        <w:t xml:space="preserve">the </w:t>
      </w:r>
      <w:r w:rsidRPr="0035568A">
        <w:rPr>
          <w:rFonts w:ascii="Arial" w:eastAsia="Calibri" w:hAnsi="Arial" w:cs="Arial"/>
          <w:color w:val="000000"/>
          <w:sz w:val="23"/>
          <w:szCs w:val="23"/>
        </w:rPr>
        <w:t xml:space="preserve">breakdown of payments and refunds </w:t>
      </w:r>
      <w:r w:rsidR="005060BD" w:rsidRPr="0035568A">
        <w:rPr>
          <w:rFonts w:ascii="Arial" w:eastAsia="Calibri" w:hAnsi="Arial" w:cs="Arial"/>
          <w:color w:val="000000"/>
          <w:sz w:val="23"/>
          <w:szCs w:val="23"/>
        </w:rPr>
        <w:t>reported by government agencies detailed</w:t>
      </w:r>
      <w:r w:rsidRPr="0035568A">
        <w:rPr>
          <w:rFonts w:ascii="Arial" w:eastAsia="Calibri" w:hAnsi="Arial" w:cs="Arial"/>
          <w:color w:val="000000"/>
          <w:sz w:val="23"/>
          <w:szCs w:val="23"/>
        </w:rPr>
        <w:t xml:space="preserve"> by sector and government agency.</w:t>
      </w:r>
    </w:p>
    <w:tbl>
      <w:tblPr>
        <w:tblW w:w="5000" w:type="pct"/>
        <w:tblLook w:val="04A0" w:firstRow="1" w:lastRow="0" w:firstColumn="1" w:lastColumn="0" w:noHBand="0" w:noVBand="1"/>
      </w:tblPr>
      <w:tblGrid>
        <w:gridCol w:w="1568"/>
        <w:gridCol w:w="1513"/>
        <w:gridCol w:w="1087"/>
        <w:gridCol w:w="1562"/>
        <w:gridCol w:w="1470"/>
        <w:gridCol w:w="905"/>
        <w:gridCol w:w="921"/>
      </w:tblGrid>
      <w:tr w:rsidR="008B64E0" w:rsidRPr="000D3A8D" w14:paraId="5D26B073" w14:textId="77777777" w:rsidTr="001615DC">
        <w:trPr>
          <w:trHeight w:val="283"/>
        </w:trPr>
        <w:tc>
          <w:tcPr>
            <w:tcW w:w="5000" w:type="pct"/>
            <w:gridSpan w:val="7"/>
            <w:tcBorders>
              <w:top w:val="nil"/>
              <w:left w:val="nil"/>
              <w:bottom w:val="nil"/>
              <w:right w:val="nil"/>
            </w:tcBorders>
            <w:shd w:val="clear" w:color="auto" w:fill="auto"/>
            <w:noWrap/>
            <w:vAlign w:val="center"/>
          </w:tcPr>
          <w:p w14:paraId="0A1184F7" w14:textId="44BD4321" w:rsidR="008B64E0" w:rsidRPr="000D3A8D" w:rsidRDefault="008B64E0" w:rsidP="008B64E0">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i/>
                <w:iCs/>
                <w:sz w:val="16"/>
                <w:szCs w:val="16"/>
                <w:lang w:eastAsia="en-GB"/>
              </w:rPr>
              <w:t>(in £ million)</w:t>
            </w:r>
          </w:p>
        </w:tc>
      </w:tr>
      <w:tr w:rsidR="008B64E0" w:rsidRPr="000D3A8D" w14:paraId="453FD39F" w14:textId="77777777" w:rsidTr="00901565">
        <w:trPr>
          <w:trHeight w:val="283"/>
        </w:trPr>
        <w:tc>
          <w:tcPr>
            <w:tcW w:w="799" w:type="pct"/>
            <w:tcBorders>
              <w:top w:val="nil"/>
              <w:left w:val="nil"/>
              <w:bottom w:val="nil"/>
              <w:right w:val="nil"/>
            </w:tcBorders>
            <w:shd w:val="clear" w:color="auto" w:fill="203764"/>
            <w:noWrap/>
            <w:vAlign w:val="center"/>
            <w:hideMark/>
          </w:tcPr>
          <w:p w14:paraId="4A56085C" w14:textId="3C665F8C" w:rsidR="008B64E0" w:rsidRPr="000D3A8D" w:rsidRDefault="008B64E0" w:rsidP="0023378B">
            <w:pPr>
              <w:spacing w:after="0" w:line="240" w:lineRule="auto"/>
              <w:rPr>
                <w:rFonts w:asciiTheme="minorBidi" w:eastAsia="Times New Roman" w:hAnsiTheme="minorBidi"/>
                <w:b/>
                <w:bCs/>
                <w:color w:val="FFFFFF" w:themeColor="background1"/>
                <w:sz w:val="16"/>
                <w:szCs w:val="16"/>
                <w:lang w:eastAsia="en-GB"/>
              </w:rPr>
            </w:pPr>
            <w:r w:rsidRPr="000D3A8D">
              <w:rPr>
                <w:rFonts w:asciiTheme="minorBidi" w:eastAsia="Times New Roman" w:hAnsiTheme="minorBidi"/>
                <w:b/>
                <w:bCs/>
                <w:color w:val="FFFFFF" w:themeColor="background1"/>
                <w:sz w:val="16"/>
                <w:szCs w:val="16"/>
                <w:lang w:eastAsia="en-GB"/>
              </w:rPr>
              <w:t>Sector</w:t>
            </w:r>
            <w:r w:rsidR="00337B0F" w:rsidRPr="000D3A8D">
              <w:rPr>
                <w:rFonts w:asciiTheme="minorBidi" w:eastAsia="Times New Roman" w:hAnsiTheme="minorBidi"/>
                <w:b/>
                <w:bCs/>
                <w:color w:val="FFFFFF" w:themeColor="background1"/>
                <w:sz w:val="16"/>
                <w:szCs w:val="16"/>
                <w:lang w:eastAsia="en-GB"/>
              </w:rPr>
              <w:t xml:space="preserve"> </w:t>
            </w:r>
            <w:r w:rsidRPr="000D3A8D">
              <w:rPr>
                <w:rFonts w:asciiTheme="minorBidi" w:eastAsia="Times New Roman" w:hAnsiTheme="minorBidi"/>
                <w:b/>
                <w:bCs/>
                <w:color w:val="FFFFFF" w:themeColor="background1"/>
                <w:sz w:val="16"/>
                <w:szCs w:val="16"/>
                <w:lang w:eastAsia="en-GB"/>
              </w:rPr>
              <w:t>/ Recipient</w:t>
            </w:r>
          </w:p>
        </w:tc>
        <w:tc>
          <w:tcPr>
            <w:tcW w:w="850" w:type="pct"/>
            <w:tcBorders>
              <w:top w:val="nil"/>
              <w:left w:val="nil"/>
              <w:bottom w:val="nil"/>
              <w:right w:val="nil"/>
            </w:tcBorders>
            <w:shd w:val="clear" w:color="auto" w:fill="203764"/>
            <w:vAlign w:val="center"/>
            <w:hideMark/>
          </w:tcPr>
          <w:p w14:paraId="618B96E0" w14:textId="77777777" w:rsidR="008B64E0" w:rsidRPr="000D3A8D" w:rsidRDefault="008B64E0" w:rsidP="00530FAA">
            <w:pPr>
              <w:spacing w:after="0" w:line="240" w:lineRule="auto"/>
              <w:jc w:val="right"/>
              <w:rPr>
                <w:rFonts w:asciiTheme="minorBidi" w:eastAsia="Times New Roman" w:hAnsiTheme="minorBidi"/>
                <w:b/>
                <w:bCs/>
                <w:color w:val="FFFFFF" w:themeColor="background1"/>
                <w:sz w:val="16"/>
                <w:szCs w:val="16"/>
                <w:lang w:eastAsia="en-GB"/>
              </w:rPr>
            </w:pPr>
            <w:r w:rsidRPr="000D3A8D">
              <w:rPr>
                <w:rFonts w:asciiTheme="minorBidi" w:eastAsia="Times New Roman" w:hAnsiTheme="minorBidi"/>
                <w:b/>
                <w:bCs/>
                <w:color w:val="FFFFFF" w:themeColor="background1"/>
                <w:sz w:val="16"/>
                <w:szCs w:val="16"/>
                <w:lang w:eastAsia="en-GB"/>
              </w:rPr>
              <w:t>HMRC</w:t>
            </w:r>
          </w:p>
        </w:tc>
        <w:tc>
          <w:tcPr>
            <w:tcW w:w="614" w:type="pct"/>
            <w:tcBorders>
              <w:top w:val="nil"/>
              <w:left w:val="nil"/>
              <w:bottom w:val="nil"/>
              <w:right w:val="nil"/>
            </w:tcBorders>
            <w:shd w:val="clear" w:color="auto" w:fill="203764"/>
            <w:noWrap/>
            <w:vAlign w:val="center"/>
            <w:hideMark/>
          </w:tcPr>
          <w:p w14:paraId="4327E6F7" w14:textId="77777777" w:rsidR="008B64E0" w:rsidRPr="000D3A8D" w:rsidRDefault="008B64E0" w:rsidP="00530FAA">
            <w:pPr>
              <w:spacing w:after="0" w:line="240" w:lineRule="auto"/>
              <w:jc w:val="right"/>
              <w:rPr>
                <w:rFonts w:asciiTheme="minorBidi" w:eastAsia="Times New Roman" w:hAnsiTheme="minorBidi"/>
                <w:b/>
                <w:bCs/>
                <w:color w:val="FFFFFF" w:themeColor="background1"/>
                <w:sz w:val="16"/>
                <w:szCs w:val="16"/>
                <w:lang w:eastAsia="en-GB"/>
              </w:rPr>
            </w:pPr>
            <w:r w:rsidRPr="000D3A8D">
              <w:rPr>
                <w:rFonts w:asciiTheme="minorBidi" w:eastAsia="Times New Roman" w:hAnsiTheme="minorBidi"/>
                <w:b/>
                <w:bCs/>
                <w:color w:val="FFFFFF" w:themeColor="background1"/>
                <w:sz w:val="16"/>
                <w:szCs w:val="16"/>
                <w:lang w:eastAsia="en-GB"/>
              </w:rPr>
              <w:t>NSTA</w:t>
            </w:r>
          </w:p>
        </w:tc>
        <w:tc>
          <w:tcPr>
            <w:tcW w:w="877" w:type="pct"/>
            <w:tcBorders>
              <w:top w:val="nil"/>
              <w:left w:val="nil"/>
              <w:bottom w:val="nil"/>
              <w:right w:val="nil"/>
            </w:tcBorders>
            <w:shd w:val="clear" w:color="auto" w:fill="203764"/>
            <w:noWrap/>
            <w:vAlign w:val="center"/>
            <w:hideMark/>
          </w:tcPr>
          <w:p w14:paraId="6CD47888" w14:textId="77777777" w:rsidR="008B64E0" w:rsidRPr="000D3A8D" w:rsidRDefault="008B64E0"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TCE</w:t>
            </w:r>
          </w:p>
        </w:tc>
        <w:tc>
          <w:tcPr>
            <w:tcW w:w="826" w:type="pct"/>
            <w:tcBorders>
              <w:top w:val="nil"/>
              <w:left w:val="nil"/>
              <w:bottom w:val="nil"/>
              <w:right w:val="nil"/>
            </w:tcBorders>
            <w:shd w:val="clear" w:color="auto" w:fill="203764"/>
            <w:noWrap/>
            <w:vAlign w:val="center"/>
            <w:hideMark/>
          </w:tcPr>
          <w:p w14:paraId="2E20DB57" w14:textId="77777777" w:rsidR="008B64E0" w:rsidRPr="000D3A8D" w:rsidRDefault="008B64E0"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CES</w:t>
            </w:r>
          </w:p>
        </w:tc>
        <w:tc>
          <w:tcPr>
            <w:tcW w:w="513" w:type="pct"/>
            <w:tcBorders>
              <w:top w:val="nil"/>
              <w:left w:val="nil"/>
              <w:bottom w:val="nil"/>
              <w:right w:val="nil"/>
            </w:tcBorders>
            <w:shd w:val="clear" w:color="auto" w:fill="203764"/>
            <w:noWrap/>
            <w:vAlign w:val="center"/>
            <w:hideMark/>
          </w:tcPr>
          <w:p w14:paraId="3D8B5BAB" w14:textId="77777777" w:rsidR="008B64E0" w:rsidRPr="000D3A8D" w:rsidRDefault="008B64E0"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LAs</w:t>
            </w:r>
          </w:p>
        </w:tc>
        <w:tc>
          <w:tcPr>
            <w:tcW w:w="521" w:type="pct"/>
            <w:tcBorders>
              <w:top w:val="nil"/>
              <w:left w:val="nil"/>
              <w:bottom w:val="nil"/>
              <w:right w:val="nil"/>
            </w:tcBorders>
            <w:shd w:val="clear" w:color="auto" w:fill="203764"/>
            <w:noWrap/>
            <w:vAlign w:val="center"/>
            <w:hideMark/>
          </w:tcPr>
          <w:p w14:paraId="26487867" w14:textId="77777777" w:rsidR="008B64E0" w:rsidRPr="000D3A8D" w:rsidRDefault="008B64E0"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All</w:t>
            </w:r>
          </w:p>
        </w:tc>
      </w:tr>
      <w:tr w:rsidR="003966E2" w:rsidRPr="00B22184" w14:paraId="4AE6AD58" w14:textId="77777777" w:rsidTr="001615DC">
        <w:trPr>
          <w:trHeight w:val="283"/>
        </w:trPr>
        <w:tc>
          <w:tcPr>
            <w:tcW w:w="799" w:type="pct"/>
            <w:tcBorders>
              <w:top w:val="nil"/>
              <w:left w:val="nil"/>
              <w:bottom w:val="nil"/>
              <w:right w:val="nil"/>
            </w:tcBorders>
            <w:shd w:val="clear" w:color="000000" w:fill="B4C6E7"/>
            <w:vAlign w:val="center"/>
            <w:hideMark/>
          </w:tcPr>
          <w:p w14:paraId="304C18E0" w14:textId="77777777" w:rsidR="007C5CDF" w:rsidRPr="00B22184" w:rsidRDefault="007C5CDF" w:rsidP="007C5CDF">
            <w:pPr>
              <w:spacing w:after="0" w:line="240" w:lineRule="auto"/>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O&amp;G</w:t>
            </w:r>
          </w:p>
        </w:tc>
        <w:tc>
          <w:tcPr>
            <w:tcW w:w="850" w:type="pct"/>
            <w:tcBorders>
              <w:top w:val="nil"/>
              <w:left w:val="nil"/>
              <w:bottom w:val="nil"/>
              <w:right w:val="nil"/>
            </w:tcBorders>
            <w:shd w:val="clear" w:color="000000" w:fill="B4C6E7"/>
            <w:noWrap/>
            <w:vAlign w:val="center"/>
            <w:hideMark/>
          </w:tcPr>
          <w:p w14:paraId="72630ED5"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7,414.8</w:t>
            </w:r>
          </w:p>
        </w:tc>
        <w:tc>
          <w:tcPr>
            <w:tcW w:w="614" w:type="pct"/>
            <w:tcBorders>
              <w:top w:val="nil"/>
              <w:left w:val="nil"/>
              <w:bottom w:val="nil"/>
              <w:right w:val="nil"/>
            </w:tcBorders>
            <w:shd w:val="clear" w:color="000000" w:fill="B4C6E7"/>
            <w:noWrap/>
            <w:vAlign w:val="center"/>
            <w:hideMark/>
          </w:tcPr>
          <w:p w14:paraId="5D3CE9D4"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77.3</w:t>
            </w:r>
          </w:p>
        </w:tc>
        <w:tc>
          <w:tcPr>
            <w:tcW w:w="877" w:type="pct"/>
            <w:tcBorders>
              <w:top w:val="nil"/>
              <w:left w:val="nil"/>
              <w:bottom w:val="nil"/>
              <w:right w:val="nil"/>
            </w:tcBorders>
            <w:shd w:val="clear" w:color="000000" w:fill="B4C6E7"/>
            <w:noWrap/>
            <w:vAlign w:val="center"/>
            <w:hideMark/>
          </w:tcPr>
          <w:p w14:paraId="04E34BF3"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2.0</w:t>
            </w:r>
          </w:p>
        </w:tc>
        <w:tc>
          <w:tcPr>
            <w:tcW w:w="826" w:type="pct"/>
            <w:tcBorders>
              <w:top w:val="nil"/>
              <w:left w:val="nil"/>
              <w:bottom w:val="nil"/>
              <w:right w:val="nil"/>
            </w:tcBorders>
            <w:shd w:val="clear" w:color="000000" w:fill="B4C6E7"/>
            <w:noWrap/>
            <w:vAlign w:val="center"/>
            <w:hideMark/>
          </w:tcPr>
          <w:p w14:paraId="1EE56C44"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1.7</w:t>
            </w:r>
          </w:p>
        </w:tc>
        <w:tc>
          <w:tcPr>
            <w:tcW w:w="513" w:type="pct"/>
            <w:tcBorders>
              <w:top w:val="nil"/>
              <w:left w:val="nil"/>
              <w:bottom w:val="nil"/>
              <w:right w:val="nil"/>
            </w:tcBorders>
            <w:shd w:val="clear" w:color="000000" w:fill="B4C6E7"/>
            <w:noWrap/>
            <w:vAlign w:val="center"/>
            <w:hideMark/>
          </w:tcPr>
          <w:p w14:paraId="62772F03"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0.0</w:t>
            </w:r>
          </w:p>
        </w:tc>
        <w:tc>
          <w:tcPr>
            <w:tcW w:w="521" w:type="pct"/>
            <w:tcBorders>
              <w:top w:val="nil"/>
              <w:left w:val="nil"/>
              <w:bottom w:val="nil"/>
              <w:right w:val="nil"/>
            </w:tcBorders>
            <w:shd w:val="clear" w:color="000000" w:fill="B4C6E7"/>
            <w:noWrap/>
            <w:vAlign w:val="center"/>
            <w:hideMark/>
          </w:tcPr>
          <w:p w14:paraId="11537CC8" w14:textId="6A3ADE2E" w:rsidR="007C5CDF" w:rsidRPr="00B22184" w:rsidRDefault="007C5CDF" w:rsidP="00530FAA">
            <w:pPr>
              <w:spacing w:after="0" w:line="240" w:lineRule="auto"/>
              <w:jc w:val="right"/>
              <w:rPr>
                <w:rFonts w:asciiTheme="minorBidi" w:eastAsia="Times New Roman" w:hAnsiTheme="minorBidi"/>
                <w:b/>
                <w:bCs/>
                <w:sz w:val="16"/>
                <w:szCs w:val="16"/>
                <w:lang w:eastAsia="en-GB"/>
              </w:rPr>
            </w:pPr>
            <w:r w:rsidRPr="00B22184">
              <w:rPr>
                <w:rFonts w:asciiTheme="minorBidi" w:eastAsia="Times New Roman" w:hAnsiTheme="minorBidi"/>
                <w:b/>
                <w:bCs/>
                <w:sz w:val="16"/>
                <w:szCs w:val="16"/>
                <w:lang w:eastAsia="en-GB"/>
              </w:rPr>
              <w:t>7,495.</w:t>
            </w:r>
            <w:r w:rsidR="004F102D" w:rsidRPr="00B22184">
              <w:rPr>
                <w:rFonts w:asciiTheme="minorBidi" w:eastAsia="Times New Roman" w:hAnsiTheme="minorBidi"/>
                <w:b/>
                <w:bCs/>
                <w:sz w:val="16"/>
                <w:szCs w:val="16"/>
                <w:lang w:eastAsia="en-GB"/>
              </w:rPr>
              <w:t>8</w:t>
            </w:r>
          </w:p>
        </w:tc>
      </w:tr>
      <w:tr w:rsidR="003966E2" w:rsidRPr="00B22184" w14:paraId="2211FEEC" w14:textId="77777777" w:rsidTr="001615DC">
        <w:trPr>
          <w:trHeight w:val="283"/>
        </w:trPr>
        <w:tc>
          <w:tcPr>
            <w:tcW w:w="799" w:type="pct"/>
            <w:tcBorders>
              <w:top w:val="nil"/>
              <w:left w:val="nil"/>
              <w:bottom w:val="nil"/>
              <w:right w:val="nil"/>
            </w:tcBorders>
            <w:shd w:val="clear" w:color="auto" w:fill="auto"/>
            <w:vAlign w:val="center"/>
            <w:hideMark/>
          </w:tcPr>
          <w:p w14:paraId="0E94D4A6" w14:textId="77777777" w:rsidR="007C5CDF" w:rsidRPr="00B22184" w:rsidRDefault="007C5CDF" w:rsidP="007C5CDF">
            <w:pPr>
              <w:spacing w:after="0" w:line="240" w:lineRule="auto"/>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w:t>
            </w:r>
          </w:p>
        </w:tc>
        <w:tc>
          <w:tcPr>
            <w:tcW w:w="850" w:type="pct"/>
            <w:tcBorders>
              <w:top w:val="nil"/>
              <w:left w:val="nil"/>
              <w:bottom w:val="nil"/>
              <w:right w:val="nil"/>
            </w:tcBorders>
            <w:shd w:val="clear" w:color="auto" w:fill="auto"/>
            <w:vAlign w:val="center"/>
            <w:hideMark/>
          </w:tcPr>
          <w:p w14:paraId="7EAEA94F" w14:textId="77777777" w:rsidR="007C5CDF" w:rsidRPr="00B22184" w:rsidRDefault="007C5CDF" w:rsidP="00530FAA">
            <w:pPr>
              <w:spacing w:after="0" w:line="240" w:lineRule="auto"/>
              <w:jc w:val="right"/>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98.9%</w:t>
            </w:r>
          </w:p>
        </w:tc>
        <w:tc>
          <w:tcPr>
            <w:tcW w:w="614" w:type="pct"/>
            <w:tcBorders>
              <w:top w:val="nil"/>
              <w:left w:val="nil"/>
              <w:bottom w:val="nil"/>
              <w:right w:val="nil"/>
            </w:tcBorders>
            <w:shd w:val="clear" w:color="auto" w:fill="auto"/>
            <w:vAlign w:val="center"/>
            <w:hideMark/>
          </w:tcPr>
          <w:p w14:paraId="0DA24712" w14:textId="77777777" w:rsidR="007C5CDF" w:rsidRPr="00B22184" w:rsidRDefault="007C5CDF" w:rsidP="00530FAA">
            <w:pPr>
              <w:spacing w:after="0" w:line="240" w:lineRule="auto"/>
              <w:jc w:val="right"/>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1.0%</w:t>
            </w:r>
          </w:p>
        </w:tc>
        <w:tc>
          <w:tcPr>
            <w:tcW w:w="877" w:type="pct"/>
            <w:tcBorders>
              <w:top w:val="nil"/>
              <w:left w:val="nil"/>
              <w:bottom w:val="nil"/>
              <w:right w:val="nil"/>
            </w:tcBorders>
            <w:shd w:val="clear" w:color="auto" w:fill="auto"/>
            <w:vAlign w:val="center"/>
            <w:hideMark/>
          </w:tcPr>
          <w:p w14:paraId="258D2B52" w14:textId="77777777" w:rsidR="007C5CDF" w:rsidRPr="00B22184" w:rsidRDefault="007C5CDF" w:rsidP="00530FAA">
            <w:pPr>
              <w:spacing w:after="0" w:line="240" w:lineRule="auto"/>
              <w:jc w:val="right"/>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0.0%</w:t>
            </w:r>
          </w:p>
        </w:tc>
        <w:tc>
          <w:tcPr>
            <w:tcW w:w="826" w:type="pct"/>
            <w:tcBorders>
              <w:top w:val="nil"/>
              <w:left w:val="nil"/>
              <w:bottom w:val="nil"/>
              <w:right w:val="nil"/>
            </w:tcBorders>
            <w:shd w:val="clear" w:color="auto" w:fill="auto"/>
            <w:vAlign w:val="center"/>
            <w:hideMark/>
          </w:tcPr>
          <w:p w14:paraId="33C3C1F4" w14:textId="77777777" w:rsidR="007C5CDF" w:rsidRPr="00B22184" w:rsidRDefault="007C5CDF" w:rsidP="00530FAA">
            <w:pPr>
              <w:spacing w:after="0" w:line="240" w:lineRule="auto"/>
              <w:jc w:val="right"/>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0.0%</w:t>
            </w:r>
          </w:p>
        </w:tc>
        <w:tc>
          <w:tcPr>
            <w:tcW w:w="513" w:type="pct"/>
            <w:tcBorders>
              <w:top w:val="nil"/>
              <w:left w:val="nil"/>
              <w:bottom w:val="nil"/>
              <w:right w:val="nil"/>
            </w:tcBorders>
            <w:shd w:val="clear" w:color="auto" w:fill="auto"/>
            <w:vAlign w:val="center"/>
            <w:hideMark/>
          </w:tcPr>
          <w:p w14:paraId="77F48D52" w14:textId="77777777" w:rsidR="007C5CDF" w:rsidRPr="00B22184" w:rsidRDefault="007C5CDF" w:rsidP="00530FAA">
            <w:pPr>
              <w:spacing w:after="0" w:line="240" w:lineRule="auto"/>
              <w:jc w:val="right"/>
              <w:rPr>
                <w:rFonts w:asciiTheme="minorBidi" w:eastAsia="Times New Roman" w:hAnsiTheme="minorBidi"/>
                <w:color w:val="000000"/>
                <w:sz w:val="16"/>
                <w:szCs w:val="16"/>
                <w:lang w:eastAsia="en-GB"/>
              </w:rPr>
            </w:pPr>
            <w:r w:rsidRPr="00B22184">
              <w:rPr>
                <w:rFonts w:asciiTheme="minorBidi" w:eastAsia="Times New Roman" w:hAnsiTheme="minorBidi"/>
                <w:color w:val="000000"/>
                <w:sz w:val="16"/>
                <w:szCs w:val="16"/>
                <w:lang w:eastAsia="en-GB"/>
              </w:rPr>
              <w:t>0.0%</w:t>
            </w:r>
          </w:p>
        </w:tc>
        <w:tc>
          <w:tcPr>
            <w:tcW w:w="521" w:type="pct"/>
            <w:tcBorders>
              <w:top w:val="nil"/>
              <w:left w:val="nil"/>
              <w:bottom w:val="nil"/>
              <w:right w:val="nil"/>
            </w:tcBorders>
            <w:shd w:val="clear" w:color="auto" w:fill="auto"/>
            <w:vAlign w:val="center"/>
            <w:hideMark/>
          </w:tcPr>
          <w:p w14:paraId="7BDE8144" w14:textId="77777777" w:rsidR="007C5CDF" w:rsidRPr="00B22184" w:rsidRDefault="007C5CDF" w:rsidP="00530FAA">
            <w:pPr>
              <w:spacing w:after="0" w:line="240" w:lineRule="auto"/>
              <w:jc w:val="right"/>
              <w:rPr>
                <w:rFonts w:asciiTheme="minorBidi" w:eastAsia="Times New Roman" w:hAnsiTheme="minorBidi"/>
                <w:b/>
                <w:bCs/>
                <w:color w:val="000000"/>
                <w:sz w:val="16"/>
                <w:szCs w:val="16"/>
                <w:lang w:eastAsia="en-GB"/>
              </w:rPr>
            </w:pPr>
            <w:r w:rsidRPr="00B22184">
              <w:rPr>
                <w:rFonts w:asciiTheme="minorBidi" w:eastAsia="Times New Roman" w:hAnsiTheme="minorBidi"/>
                <w:b/>
                <w:bCs/>
                <w:color w:val="000000"/>
                <w:sz w:val="16"/>
                <w:szCs w:val="16"/>
                <w:lang w:eastAsia="en-GB"/>
              </w:rPr>
              <w:t>100.0%</w:t>
            </w:r>
          </w:p>
        </w:tc>
      </w:tr>
      <w:tr w:rsidR="003966E2" w:rsidRPr="000D3A8D" w14:paraId="358EB273" w14:textId="77777777" w:rsidTr="001615DC">
        <w:trPr>
          <w:trHeight w:val="283"/>
        </w:trPr>
        <w:tc>
          <w:tcPr>
            <w:tcW w:w="799" w:type="pct"/>
            <w:tcBorders>
              <w:top w:val="nil"/>
              <w:left w:val="nil"/>
              <w:bottom w:val="nil"/>
              <w:right w:val="nil"/>
            </w:tcBorders>
            <w:shd w:val="clear" w:color="auto" w:fill="B4C6E7"/>
            <w:noWrap/>
            <w:vAlign w:val="center"/>
            <w:hideMark/>
          </w:tcPr>
          <w:p w14:paraId="276D68E5" w14:textId="77777777" w:rsidR="007C5CDF" w:rsidRPr="00B22184" w:rsidRDefault="007C5CDF" w:rsidP="007C5CDF">
            <w:pPr>
              <w:spacing w:after="0" w:line="240" w:lineRule="auto"/>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M&amp;Q</w:t>
            </w:r>
          </w:p>
        </w:tc>
        <w:tc>
          <w:tcPr>
            <w:tcW w:w="850" w:type="pct"/>
            <w:tcBorders>
              <w:top w:val="nil"/>
              <w:left w:val="nil"/>
              <w:bottom w:val="nil"/>
              <w:right w:val="nil"/>
            </w:tcBorders>
            <w:shd w:val="clear" w:color="auto" w:fill="B4C6E7"/>
            <w:noWrap/>
            <w:vAlign w:val="center"/>
            <w:hideMark/>
          </w:tcPr>
          <w:p w14:paraId="2B5DE5C5"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122.0</w:t>
            </w:r>
          </w:p>
        </w:tc>
        <w:tc>
          <w:tcPr>
            <w:tcW w:w="614" w:type="pct"/>
            <w:tcBorders>
              <w:top w:val="nil"/>
              <w:left w:val="nil"/>
              <w:bottom w:val="nil"/>
              <w:right w:val="nil"/>
            </w:tcBorders>
            <w:shd w:val="clear" w:color="auto" w:fill="B4C6E7"/>
            <w:noWrap/>
            <w:vAlign w:val="center"/>
            <w:hideMark/>
          </w:tcPr>
          <w:p w14:paraId="4C448278"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0.0</w:t>
            </w:r>
          </w:p>
        </w:tc>
        <w:tc>
          <w:tcPr>
            <w:tcW w:w="877" w:type="pct"/>
            <w:tcBorders>
              <w:top w:val="nil"/>
              <w:left w:val="nil"/>
              <w:bottom w:val="nil"/>
              <w:right w:val="nil"/>
            </w:tcBorders>
            <w:shd w:val="clear" w:color="auto" w:fill="B4C6E7"/>
            <w:noWrap/>
            <w:vAlign w:val="center"/>
            <w:hideMark/>
          </w:tcPr>
          <w:p w14:paraId="7B4E0F81"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25.7</w:t>
            </w:r>
          </w:p>
        </w:tc>
        <w:tc>
          <w:tcPr>
            <w:tcW w:w="826" w:type="pct"/>
            <w:tcBorders>
              <w:top w:val="nil"/>
              <w:left w:val="nil"/>
              <w:bottom w:val="nil"/>
              <w:right w:val="nil"/>
            </w:tcBorders>
            <w:shd w:val="clear" w:color="auto" w:fill="B4C6E7"/>
            <w:noWrap/>
            <w:vAlign w:val="center"/>
            <w:hideMark/>
          </w:tcPr>
          <w:p w14:paraId="7CB5C6DD"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0.3</w:t>
            </w:r>
          </w:p>
        </w:tc>
        <w:tc>
          <w:tcPr>
            <w:tcW w:w="513" w:type="pct"/>
            <w:tcBorders>
              <w:top w:val="nil"/>
              <w:left w:val="nil"/>
              <w:bottom w:val="nil"/>
              <w:right w:val="nil"/>
            </w:tcBorders>
            <w:shd w:val="clear" w:color="auto" w:fill="B4C6E7"/>
            <w:noWrap/>
            <w:vAlign w:val="center"/>
            <w:hideMark/>
          </w:tcPr>
          <w:p w14:paraId="649B07FD" w14:textId="77777777" w:rsidR="007C5CDF" w:rsidRPr="00B22184" w:rsidRDefault="007C5CDF" w:rsidP="00530FAA">
            <w:pPr>
              <w:spacing w:after="0" w:line="240" w:lineRule="auto"/>
              <w:jc w:val="right"/>
              <w:rPr>
                <w:rFonts w:asciiTheme="minorBidi" w:eastAsia="Times New Roman" w:hAnsiTheme="minorBidi"/>
                <w:sz w:val="16"/>
                <w:szCs w:val="16"/>
                <w:lang w:eastAsia="en-GB"/>
              </w:rPr>
            </w:pPr>
            <w:r w:rsidRPr="00B22184">
              <w:rPr>
                <w:rFonts w:asciiTheme="minorBidi" w:eastAsia="Times New Roman" w:hAnsiTheme="minorBidi"/>
                <w:sz w:val="16"/>
                <w:szCs w:val="16"/>
                <w:lang w:eastAsia="en-GB"/>
              </w:rPr>
              <w:t>0.2</w:t>
            </w:r>
          </w:p>
        </w:tc>
        <w:tc>
          <w:tcPr>
            <w:tcW w:w="521" w:type="pct"/>
            <w:tcBorders>
              <w:top w:val="nil"/>
              <w:left w:val="nil"/>
              <w:bottom w:val="nil"/>
              <w:right w:val="nil"/>
            </w:tcBorders>
            <w:shd w:val="clear" w:color="auto" w:fill="B4C6E7"/>
            <w:noWrap/>
            <w:vAlign w:val="center"/>
            <w:hideMark/>
          </w:tcPr>
          <w:p w14:paraId="2A8E70EB"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B22184">
              <w:rPr>
                <w:rFonts w:asciiTheme="minorBidi" w:eastAsia="Times New Roman" w:hAnsiTheme="minorBidi"/>
                <w:b/>
                <w:bCs/>
                <w:sz w:val="16"/>
                <w:szCs w:val="16"/>
                <w:lang w:eastAsia="en-GB"/>
              </w:rPr>
              <w:t>148.2</w:t>
            </w:r>
          </w:p>
        </w:tc>
      </w:tr>
      <w:tr w:rsidR="003966E2" w:rsidRPr="000D3A8D" w14:paraId="07DA3D5D" w14:textId="77777777" w:rsidTr="001615DC">
        <w:trPr>
          <w:trHeight w:val="283"/>
        </w:trPr>
        <w:tc>
          <w:tcPr>
            <w:tcW w:w="799" w:type="pct"/>
            <w:tcBorders>
              <w:top w:val="nil"/>
              <w:left w:val="nil"/>
              <w:bottom w:val="nil"/>
              <w:right w:val="nil"/>
            </w:tcBorders>
            <w:shd w:val="clear" w:color="auto" w:fill="auto"/>
            <w:vAlign w:val="center"/>
            <w:hideMark/>
          </w:tcPr>
          <w:p w14:paraId="3E60BFC4" w14:textId="77777777" w:rsidR="007C5CDF" w:rsidRPr="000D3A8D" w:rsidRDefault="007C5CDF" w:rsidP="007C5CDF">
            <w:pPr>
              <w:spacing w:after="0" w:line="240" w:lineRule="auto"/>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w:t>
            </w:r>
          </w:p>
        </w:tc>
        <w:tc>
          <w:tcPr>
            <w:tcW w:w="850" w:type="pct"/>
            <w:tcBorders>
              <w:top w:val="nil"/>
              <w:left w:val="nil"/>
              <w:bottom w:val="nil"/>
              <w:right w:val="nil"/>
            </w:tcBorders>
            <w:shd w:val="clear" w:color="auto" w:fill="auto"/>
            <w:vAlign w:val="center"/>
            <w:hideMark/>
          </w:tcPr>
          <w:p w14:paraId="20A9A1D0" w14:textId="77777777" w:rsidR="007C5CDF" w:rsidRPr="000D3A8D" w:rsidRDefault="007C5CDF" w:rsidP="00530FAA">
            <w:pPr>
              <w:spacing w:after="0" w:line="240" w:lineRule="auto"/>
              <w:jc w:val="right"/>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82.3%</w:t>
            </w:r>
          </w:p>
        </w:tc>
        <w:tc>
          <w:tcPr>
            <w:tcW w:w="614" w:type="pct"/>
            <w:tcBorders>
              <w:top w:val="nil"/>
              <w:left w:val="nil"/>
              <w:bottom w:val="nil"/>
              <w:right w:val="nil"/>
            </w:tcBorders>
            <w:shd w:val="clear" w:color="auto" w:fill="auto"/>
            <w:vAlign w:val="center"/>
            <w:hideMark/>
          </w:tcPr>
          <w:p w14:paraId="26B179B6" w14:textId="77777777" w:rsidR="007C5CDF" w:rsidRPr="000D3A8D" w:rsidRDefault="007C5CDF" w:rsidP="00530FAA">
            <w:pPr>
              <w:spacing w:after="0" w:line="240" w:lineRule="auto"/>
              <w:jc w:val="right"/>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0.0%</w:t>
            </w:r>
          </w:p>
        </w:tc>
        <w:tc>
          <w:tcPr>
            <w:tcW w:w="877" w:type="pct"/>
            <w:tcBorders>
              <w:top w:val="nil"/>
              <w:left w:val="nil"/>
              <w:bottom w:val="nil"/>
              <w:right w:val="nil"/>
            </w:tcBorders>
            <w:shd w:val="clear" w:color="auto" w:fill="auto"/>
            <w:vAlign w:val="center"/>
            <w:hideMark/>
          </w:tcPr>
          <w:p w14:paraId="01970A19" w14:textId="77777777" w:rsidR="007C5CDF" w:rsidRPr="000D3A8D" w:rsidRDefault="007C5CDF" w:rsidP="00530FAA">
            <w:pPr>
              <w:spacing w:after="0" w:line="240" w:lineRule="auto"/>
              <w:jc w:val="right"/>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17.3%</w:t>
            </w:r>
          </w:p>
        </w:tc>
        <w:tc>
          <w:tcPr>
            <w:tcW w:w="826" w:type="pct"/>
            <w:tcBorders>
              <w:top w:val="nil"/>
              <w:left w:val="nil"/>
              <w:bottom w:val="nil"/>
              <w:right w:val="nil"/>
            </w:tcBorders>
            <w:shd w:val="clear" w:color="auto" w:fill="auto"/>
            <w:vAlign w:val="center"/>
            <w:hideMark/>
          </w:tcPr>
          <w:p w14:paraId="1A6AFF6E" w14:textId="77777777" w:rsidR="007C5CDF" w:rsidRPr="000D3A8D" w:rsidRDefault="007C5CDF" w:rsidP="00530FAA">
            <w:pPr>
              <w:spacing w:after="0" w:line="240" w:lineRule="auto"/>
              <w:jc w:val="right"/>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0.2%</w:t>
            </w:r>
          </w:p>
        </w:tc>
        <w:tc>
          <w:tcPr>
            <w:tcW w:w="513" w:type="pct"/>
            <w:tcBorders>
              <w:top w:val="nil"/>
              <w:left w:val="nil"/>
              <w:bottom w:val="nil"/>
              <w:right w:val="nil"/>
            </w:tcBorders>
            <w:shd w:val="clear" w:color="auto" w:fill="auto"/>
            <w:vAlign w:val="center"/>
            <w:hideMark/>
          </w:tcPr>
          <w:p w14:paraId="15D5E818" w14:textId="77777777" w:rsidR="007C5CDF" w:rsidRPr="000D3A8D" w:rsidRDefault="007C5CDF" w:rsidP="00530FAA">
            <w:pPr>
              <w:spacing w:after="0" w:line="240" w:lineRule="auto"/>
              <w:jc w:val="right"/>
              <w:rPr>
                <w:rFonts w:asciiTheme="minorBidi" w:eastAsia="Times New Roman" w:hAnsiTheme="minorBidi"/>
                <w:color w:val="000000"/>
                <w:sz w:val="16"/>
                <w:szCs w:val="16"/>
                <w:lang w:eastAsia="en-GB"/>
              </w:rPr>
            </w:pPr>
            <w:r w:rsidRPr="000D3A8D">
              <w:rPr>
                <w:rFonts w:asciiTheme="minorBidi" w:eastAsia="Times New Roman" w:hAnsiTheme="minorBidi"/>
                <w:color w:val="000000"/>
                <w:sz w:val="16"/>
                <w:szCs w:val="16"/>
                <w:lang w:eastAsia="en-GB"/>
              </w:rPr>
              <w:t>0.1%</w:t>
            </w:r>
          </w:p>
        </w:tc>
        <w:tc>
          <w:tcPr>
            <w:tcW w:w="521" w:type="pct"/>
            <w:tcBorders>
              <w:top w:val="nil"/>
              <w:left w:val="nil"/>
              <w:bottom w:val="nil"/>
              <w:right w:val="nil"/>
            </w:tcBorders>
            <w:shd w:val="clear" w:color="auto" w:fill="auto"/>
            <w:vAlign w:val="center"/>
            <w:hideMark/>
          </w:tcPr>
          <w:p w14:paraId="4A35AA7C" w14:textId="77777777" w:rsidR="007C5CDF" w:rsidRPr="000D3A8D" w:rsidRDefault="007C5CDF" w:rsidP="00530FAA">
            <w:pPr>
              <w:spacing w:after="0" w:line="240" w:lineRule="auto"/>
              <w:jc w:val="right"/>
              <w:rPr>
                <w:rFonts w:asciiTheme="minorBidi" w:eastAsia="Times New Roman" w:hAnsiTheme="minorBidi"/>
                <w:b/>
                <w:bCs/>
                <w:color w:val="000000"/>
                <w:sz w:val="16"/>
                <w:szCs w:val="16"/>
                <w:lang w:eastAsia="en-GB"/>
              </w:rPr>
            </w:pPr>
            <w:r w:rsidRPr="000D3A8D">
              <w:rPr>
                <w:rFonts w:asciiTheme="minorBidi" w:eastAsia="Times New Roman" w:hAnsiTheme="minorBidi"/>
                <w:b/>
                <w:bCs/>
                <w:color w:val="000000"/>
                <w:sz w:val="16"/>
                <w:szCs w:val="16"/>
                <w:lang w:eastAsia="en-GB"/>
              </w:rPr>
              <w:t>100.0%</w:t>
            </w:r>
          </w:p>
        </w:tc>
      </w:tr>
      <w:tr w:rsidR="003966E2" w:rsidRPr="000D3A8D" w14:paraId="6651AA10" w14:textId="77777777" w:rsidTr="001615DC">
        <w:trPr>
          <w:trHeight w:val="283"/>
        </w:trPr>
        <w:tc>
          <w:tcPr>
            <w:tcW w:w="799" w:type="pct"/>
            <w:tcBorders>
              <w:top w:val="nil"/>
              <w:left w:val="nil"/>
              <w:bottom w:val="nil"/>
              <w:right w:val="nil"/>
            </w:tcBorders>
            <w:shd w:val="clear" w:color="000000" w:fill="BFBFBF"/>
            <w:noWrap/>
            <w:vAlign w:val="center"/>
            <w:hideMark/>
          </w:tcPr>
          <w:p w14:paraId="5A70E091" w14:textId="77777777" w:rsidR="007C5CDF" w:rsidRPr="000D3A8D" w:rsidRDefault="007C5CDF" w:rsidP="007C5CDF">
            <w:pPr>
              <w:spacing w:after="0" w:line="240" w:lineRule="auto"/>
              <w:rPr>
                <w:rFonts w:asciiTheme="minorBidi" w:eastAsia="Times New Roman" w:hAnsiTheme="minorBidi"/>
                <w:b/>
                <w:bCs/>
                <w:color w:val="000000"/>
                <w:sz w:val="16"/>
                <w:szCs w:val="16"/>
                <w:lang w:eastAsia="en-GB"/>
              </w:rPr>
            </w:pPr>
            <w:r w:rsidRPr="000D3A8D">
              <w:rPr>
                <w:rFonts w:asciiTheme="minorBidi" w:eastAsia="Times New Roman" w:hAnsiTheme="minorBidi"/>
                <w:b/>
                <w:bCs/>
                <w:color w:val="000000"/>
                <w:sz w:val="16"/>
                <w:szCs w:val="16"/>
                <w:lang w:eastAsia="en-GB"/>
              </w:rPr>
              <w:t>Total</w:t>
            </w:r>
          </w:p>
        </w:tc>
        <w:tc>
          <w:tcPr>
            <w:tcW w:w="850" w:type="pct"/>
            <w:tcBorders>
              <w:top w:val="nil"/>
              <w:left w:val="nil"/>
              <w:bottom w:val="nil"/>
              <w:right w:val="nil"/>
            </w:tcBorders>
            <w:shd w:val="clear" w:color="000000" w:fill="BFBFBF"/>
            <w:noWrap/>
            <w:vAlign w:val="center"/>
            <w:hideMark/>
          </w:tcPr>
          <w:p w14:paraId="3763F4F7"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7,536.9</w:t>
            </w:r>
          </w:p>
        </w:tc>
        <w:tc>
          <w:tcPr>
            <w:tcW w:w="614" w:type="pct"/>
            <w:tcBorders>
              <w:top w:val="nil"/>
              <w:left w:val="nil"/>
              <w:bottom w:val="nil"/>
              <w:right w:val="nil"/>
            </w:tcBorders>
            <w:shd w:val="clear" w:color="000000" w:fill="BFBFBF"/>
            <w:noWrap/>
            <w:vAlign w:val="center"/>
            <w:hideMark/>
          </w:tcPr>
          <w:p w14:paraId="10B97CDA"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77.3</w:t>
            </w:r>
          </w:p>
        </w:tc>
        <w:tc>
          <w:tcPr>
            <w:tcW w:w="877" w:type="pct"/>
            <w:tcBorders>
              <w:top w:val="nil"/>
              <w:left w:val="nil"/>
              <w:bottom w:val="nil"/>
              <w:right w:val="nil"/>
            </w:tcBorders>
            <w:shd w:val="clear" w:color="000000" w:fill="BFBFBF"/>
            <w:noWrap/>
            <w:vAlign w:val="center"/>
            <w:hideMark/>
          </w:tcPr>
          <w:p w14:paraId="36F777DC"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27.7</w:t>
            </w:r>
          </w:p>
        </w:tc>
        <w:tc>
          <w:tcPr>
            <w:tcW w:w="826" w:type="pct"/>
            <w:tcBorders>
              <w:top w:val="nil"/>
              <w:left w:val="nil"/>
              <w:bottom w:val="nil"/>
              <w:right w:val="nil"/>
            </w:tcBorders>
            <w:shd w:val="clear" w:color="000000" w:fill="BFBFBF"/>
            <w:noWrap/>
            <w:vAlign w:val="center"/>
            <w:hideMark/>
          </w:tcPr>
          <w:p w14:paraId="4EBE0365"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2.1</w:t>
            </w:r>
          </w:p>
        </w:tc>
        <w:tc>
          <w:tcPr>
            <w:tcW w:w="513" w:type="pct"/>
            <w:tcBorders>
              <w:top w:val="nil"/>
              <w:left w:val="nil"/>
              <w:bottom w:val="nil"/>
              <w:right w:val="nil"/>
            </w:tcBorders>
            <w:shd w:val="clear" w:color="000000" w:fill="BFBFBF"/>
            <w:noWrap/>
            <w:vAlign w:val="center"/>
            <w:hideMark/>
          </w:tcPr>
          <w:p w14:paraId="6A9516AD"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0.2</w:t>
            </w:r>
          </w:p>
        </w:tc>
        <w:tc>
          <w:tcPr>
            <w:tcW w:w="521" w:type="pct"/>
            <w:tcBorders>
              <w:top w:val="nil"/>
              <w:left w:val="nil"/>
              <w:bottom w:val="nil"/>
              <w:right w:val="nil"/>
            </w:tcBorders>
            <w:shd w:val="clear" w:color="000000" w:fill="BFBFBF"/>
            <w:noWrap/>
            <w:vAlign w:val="center"/>
            <w:hideMark/>
          </w:tcPr>
          <w:p w14:paraId="7493D4A5" w14:textId="6F6A8597" w:rsidR="007C5CDF" w:rsidRPr="004F102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7,644.</w:t>
            </w:r>
            <w:r w:rsidR="004F102D">
              <w:rPr>
                <w:rFonts w:asciiTheme="minorBidi" w:eastAsia="Times New Roman" w:hAnsiTheme="minorBidi"/>
                <w:b/>
                <w:bCs/>
                <w:sz w:val="16"/>
                <w:szCs w:val="16"/>
                <w:lang w:eastAsia="en-GB"/>
              </w:rPr>
              <w:t>0</w:t>
            </w:r>
          </w:p>
        </w:tc>
      </w:tr>
      <w:tr w:rsidR="003966E2" w:rsidRPr="000D3A8D" w14:paraId="0DD7F690" w14:textId="77777777" w:rsidTr="001615DC">
        <w:trPr>
          <w:trHeight w:val="283"/>
        </w:trPr>
        <w:tc>
          <w:tcPr>
            <w:tcW w:w="799" w:type="pct"/>
            <w:tcBorders>
              <w:top w:val="nil"/>
              <w:left w:val="nil"/>
              <w:bottom w:val="nil"/>
              <w:right w:val="nil"/>
            </w:tcBorders>
            <w:shd w:val="clear" w:color="000000" w:fill="BFBFBF"/>
            <w:noWrap/>
            <w:vAlign w:val="center"/>
            <w:hideMark/>
          </w:tcPr>
          <w:p w14:paraId="65F605D8" w14:textId="77777777" w:rsidR="007C5CDF" w:rsidRPr="000D3A8D" w:rsidRDefault="007C5CDF" w:rsidP="007C5CDF">
            <w:pPr>
              <w:spacing w:after="0" w:line="240" w:lineRule="auto"/>
              <w:rPr>
                <w:rFonts w:asciiTheme="minorBidi" w:eastAsia="Times New Roman" w:hAnsiTheme="minorBidi"/>
                <w:b/>
                <w:bCs/>
                <w:color w:val="000000"/>
                <w:sz w:val="16"/>
                <w:szCs w:val="16"/>
                <w:lang w:eastAsia="en-GB"/>
              </w:rPr>
            </w:pPr>
            <w:r w:rsidRPr="000D3A8D">
              <w:rPr>
                <w:rFonts w:asciiTheme="minorBidi" w:eastAsia="Times New Roman" w:hAnsiTheme="minorBidi"/>
                <w:b/>
                <w:bCs/>
                <w:color w:val="000000"/>
                <w:sz w:val="16"/>
                <w:szCs w:val="16"/>
                <w:lang w:eastAsia="en-GB"/>
              </w:rPr>
              <w:t>%</w:t>
            </w:r>
          </w:p>
        </w:tc>
        <w:tc>
          <w:tcPr>
            <w:tcW w:w="850" w:type="pct"/>
            <w:tcBorders>
              <w:top w:val="nil"/>
              <w:left w:val="nil"/>
              <w:bottom w:val="nil"/>
              <w:right w:val="nil"/>
            </w:tcBorders>
            <w:shd w:val="clear" w:color="000000" w:fill="BFBFBF"/>
            <w:noWrap/>
            <w:vAlign w:val="center"/>
            <w:hideMark/>
          </w:tcPr>
          <w:p w14:paraId="2A4B2E19"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98.6%</w:t>
            </w:r>
          </w:p>
        </w:tc>
        <w:tc>
          <w:tcPr>
            <w:tcW w:w="614" w:type="pct"/>
            <w:tcBorders>
              <w:top w:val="nil"/>
              <w:left w:val="nil"/>
              <w:bottom w:val="nil"/>
              <w:right w:val="nil"/>
            </w:tcBorders>
            <w:shd w:val="clear" w:color="000000" w:fill="BFBFBF"/>
            <w:noWrap/>
            <w:vAlign w:val="center"/>
            <w:hideMark/>
          </w:tcPr>
          <w:p w14:paraId="21344DE0"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1.0%</w:t>
            </w:r>
          </w:p>
        </w:tc>
        <w:tc>
          <w:tcPr>
            <w:tcW w:w="877" w:type="pct"/>
            <w:tcBorders>
              <w:top w:val="nil"/>
              <w:left w:val="nil"/>
              <w:bottom w:val="nil"/>
              <w:right w:val="nil"/>
            </w:tcBorders>
            <w:shd w:val="clear" w:color="000000" w:fill="BFBFBF"/>
            <w:noWrap/>
            <w:vAlign w:val="center"/>
            <w:hideMark/>
          </w:tcPr>
          <w:p w14:paraId="6E9C4737"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0.4%</w:t>
            </w:r>
          </w:p>
        </w:tc>
        <w:tc>
          <w:tcPr>
            <w:tcW w:w="826" w:type="pct"/>
            <w:tcBorders>
              <w:top w:val="nil"/>
              <w:left w:val="nil"/>
              <w:bottom w:val="nil"/>
              <w:right w:val="nil"/>
            </w:tcBorders>
            <w:shd w:val="clear" w:color="000000" w:fill="BFBFBF"/>
            <w:noWrap/>
            <w:vAlign w:val="center"/>
            <w:hideMark/>
          </w:tcPr>
          <w:p w14:paraId="7C64F5B3"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0.0%</w:t>
            </w:r>
          </w:p>
        </w:tc>
        <w:tc>
          <w:tcPr>
            <w:tcW w:w="513" w:type="pct"/>
            <w:tcBorders>
              <w:top w:val="nil"/>
              <w:left w:val="nil"/>
              <w:bottom w:val="nil"/>
              <w:right w:val="nil"/>
            </w:tcBorders>
            <w:shd w:val="clear" w:color="000000" w:fill="BFBFBF"/>
            <w:noWrap/>
            <w:vAlign w:val="center"/>
            <w:hideMark/>
          </w:tcPr>
          <w:p w14:paraId="4832C372"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0.0%</w:t>
            </w:r>
          </w:p>
        </w:tc>
        <w:tc>
          <w:tcPr>
            <w:tcW w:w="521" w:type="pct"/>
            <w:tcBorders>
              <w:top w:val="nil"/>
              <w:left w:val="nil"/>
              <w:bottom w:val="nil"/>
              <w:right w:val="nil"/>
            </w:tcBorders>
            <w:shd w:val="clear" w:color="000000" w:fill="BFBFBF"/>
            <w:noWrap/>
            <w:vAlign w:val="center"/>
            <w:hideMark/>
          </w:tcPr>
          <w:p w14:paraId="5E80CA26" w14:textId="77777777" w:rsidR="007C5CDF" w:rsidRPr="000D3A8D" w:rsidRDefault="007C5CDF" w:rsidP="00530FAA">
            <w:pPr>
              <w:spacing w:after="0" w:line="240" w:lineRule="auto"/>
              <w:jc w:val="right"/>
              <w:rPr>
                <w:rFonts w:asciiTheme="minorBidi" w:eastAsia="Times New Roman" w:hAnsiTheme="minorBidi"/>
                <w:b/>
                <w:bCs/>
                <w:sz w:val="16"/>
                <w:szCs w:val="16"/>
                <w:lang w:eastAsia="en-GB"/>
              </w:rPr>
            </w:pPr>
            <w:r w:rsidRPr="000D3A8D">
              <w:rPr>
                <w:rFonts w:asciiTheme="minorBidi" w:eastAsia="Times New Roman" w:hAnsiTheme="minorBidi"/>
                <w:b/>
                <w:bCs/>
                <w:sz w:val="16"/>
                <w:szCs w:val="16"/>
                <w:lang w:eastAsia="en-GB"/>
              </w:rPr>
              <w:t>100.0%</w:t>
            </w:r>
          </w:p>
        </w:tc>
      </w:tr>
    </w:tbl>
    <w:p w14:paraId="6725B279" w14:textId="77777777" w:rsidR="00022E0E" w:rsidRPr="0035568A" w:rsidRDefault="00022E0E" w:rsidP="008250C2">
      <w:pPr>
        <w:pStyle w:val="Headin1"/>
        <w:numPr>
          <w:ilvl w:val="1"/>
          <w:numId w:val="31"/>
        </w:numPr>
        <w:spacing w:before="240"/>
        <w:ind w:left="431" w:hanging="431"/>
        <w:rPr>
          <w:rFonts w:ascii="Arial" w:hAnsi="Arial" w:cs="Arial"/>
          <w:sz w:val="26"/>
          <w:szCs w:val="26"/>
          <w:lang w:eastAsia="en-GB"/>
        </w:rPr>
      </w:pPr>
      <w:bookmarkStart w:id="42" w:name="_Toc183079151"/>
      <w:r w:rsidRPr="0035568A">
        <w:rPr>
          <w:rFonts w:ascii="Arial" w:hAnsi="Arial" w:cs="Arial"/>
          <w:sz w:val="26"/>
          <w:szCs w:val="26"/>
          <w:lang w:eastAsia="en-GB"/>
        </w:rPr>
        <w:t>Breakdown of Reconciled Data by Company and Sector</w:t>
      </w:r>
      <w:bookmarkEnd w:id="42"/>
    </w:p>
    <w:p w14:paraId="2C3CACEA" w14:textId="167430D9" w:rsidR="000D3A8D" w:rsidRDefault="00022E0E"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The two tables below set out the detailed results of the reconciliation exercise with post-reconciliation differences noted between amounts reported as paid by in-scope extractive companies and amounts reported as received by government agencies.</w:t>
      </w:r>
      <w:r w:rsidR="00020AC4" w:rsidRPr="0035568A">
        <w:rPr>
          <w:rStyle w:val="FootnoteReference"/>
          <w:rFonts w:ascii="Arial" w:eastAsia="Calibri" w:hAnsi="Arial" w:cs="Arial"/>
          <w:sz w:val="23"/>
          <w:szCs w:val="23"/>
        </w:rPr>
        <w:footnoteReference w:id="3"/>
      </w:r>
    </w:p>
    <w:p w14:paraId="0282A444" w14:textId="77777777" w:rsidR="000D3A8D" w:rsidRDefault="000D3A8D">
      <w:pPr>
        <w:rPr>
          <w:rFonts w:ascii="Arial" w:eastAsia="Calibri" w:hAnsi="Arial" w:cs="Arial"/>
          <w:sz w:val="23"/>
          <w:szCs w:val="23"/>
        </w:rPr>
      </w:pPr>
      <w:r>
        <w:rPr>
          <w:rFonts w:ascii="Arial" w:eastAsia="Calibri" w:hAnsi="Arial" w:cs="Arial"/>
          <w:sz w:val="23"/>
          <w:szCs w:val="23"/>
        </w:rPr>
        <w:br w:type="page"/>
      </w:r>
    </w:p>
    <w:p w14:paraId="6051863A" w14:textId="6DA01246" w:rsidR="00842FDA" w:rsidRPr="0035568A" w:rsidRDefault="00842FDA" w:rsidP="001E36F1">
      <w:pPr>
        <w:pStyle w:val="Caption"/>
        <w:rPr>
          <w:rFonts w:asciiTheme="minorBidi" w:eastAsia="Calibri" w:hAnsiTheme="minorBidi"/>
          <w:color w:val="auto"/>
          <w:sz w:val="22"/>
          <w:szCs w:val="22"/>
        </w:rPr>
      </w:pPr>
      <w:bookmarkStart w:id="43" w:name="_Toc177118483"/>
      <w:r w:rsidRPr="0035568A">
        <w:rPr>
          <w:rFonts w:asciiTheme="minorBidi" w:eastAsia="Calibri" w:hAnsiTheme="minorBidi"/>
          <w:iCs/>
          <w:smallCaps w:val="0"/>
          <w:color w:val="auto"/>
          <w:spacing w:val="0"/>
          <w:sz w:val="22"/>
          <w:szCs w:val="22"/>
          <w:lang w:eastAsia="x-none"/>
        </w:rPr>
        <w:lastRenderedPageBreak/>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3</w:t>
      </w:r>
      <w:r w:rsidRPr="0035568A">
        <w:rPr>
          <w:rFonts w:asciiTheme="minorBidi" w:hAnsiTheme="minorBidi"/>
          <w:color w:val="auto"/>
          <w:sz w:val="22"/>
          <w:szCs w:val="22"/>
        </w:rPr>
        <w:fldChar w:fldCharType="end"/>
      </w:r>
      <w:r w:rsidRPr="0035568A">
        <w:rPr>
          <w:rFonts w:asciiTheme="minorBidi" w:hAnsiTheme="minorBidi"/>
          <w:color w:val="auto"/>
          <w:sz w:val="22"/>
          <w:szCs w:val="22"/>
        </w:rPr>
        <w:t xml:space="preserve">: </w:t>
      </w:r>
      <w:r w:rsidRPr="0035568A">
        <w:rPr>
          <w:rFonts w:asciiTheme="minorBidi" w:eastAsia="Calibri" w:hAnsiTheme="minorBidi"/>
          <w:iCs/>
          <w:smallCaps w:val="0"/>
          <w:color w:val="auto"/>
          <w:spacing w:val="0"/>
          <w:sz w:val="22"/>
          <w:szCs w:val="22"/>
          <w:lang w:eastAsia="x-none"/>
        </w:rPr>
        <w:t>Oil &amp; Gas companies</w:t>
      </w:r>
      <w:bookmarkEnd w:id="43"/>
    </w:p>
    <w:p w14:paraId="4512DECD" w14:textId="77777777" w:rsidR="007C1AB6" w:rsidRDefault="00022E0E" w:rsidP="000D3A8D">
      <w:pPr>
        <w:spacing w:line="240" w:lineRule="auto"/>
        <w:jc w:val="both"/>
        <w:rPr>
          <w:rFonts w:ascii="Arial" w:eastAsia="Calibri" w:hAnsi="Arial" w:cs="Arial"/>
          <w:sz w:val="23"/>
          <w:szCs w:val="23"/>
        </w:rPr>
      </w:pPr>
      <w:r w:rsidRPr="0035568A">
        <w:rPr>
          <w:rFonts w:ascii="Arial" w:eastAsia="Calibri" w:hAnsi="Arial" w:cs="Arial"/>
          <w:sz w:val="23"/>
          <w:szCs w:val="23"/>
        </w:rPr>
        <w:t xml:space="preserve">This table lists the oil and gas companies </w:t>
      </w:r>
      <w:r w:rsidRPr="004029F5">
        <w:rPr>
          <w:rFonts w:ascii="Arial" w:eastAsia="Calibri" w:hAnsi="Arial" w:cs="Arial"/>
          <w:sz w:val="23"/>
          <w:szCs w:val="23"/>
        </w:rPr>
        <w:t xml:space="preserve">that participated in the </w:t>
      </w:r>
      <w:r w:rsidR="00B8317C" w:rsidRPr="004029F5">
        <w:rPr>
          <w:rFonts w:ascii="Arial" w:eastAsia="Calibri" w:hAnsi="Arial" w:cs="Arial"/>
          <w:sz w:val="23"/>
          <w:szCs w:val="23"/>
        </w:rPr>
        <w:t xml:space="preserve">2023 </w:t>
      </w:r>
      <w:r w:rsidRPr="004029F5">
        <w:rPr>
          <w:rFonts w:ascii="Arial" w:eastAsia="Calibri" w:hAnsi="Arial" w:cs="Arial"/>
          <w:sz w:val="23"/>
          <w:szCs w:val="23"/>
        </w:rPr>
        <w:t xml:space="preserve">reconciliation process </w:t>
      </w:r>
      <w:r w:rsidRPr="0035568A">
        <w:rPr>
          <w:rFonts w:ascii="Arial" w:eastAsia="Calibri" w:hAnsi="Arial" w:cs="Arial"/>
          <w:sz w:val="23"/>
          <w:szCs w:val="23"/>
        </w:rPr>
        <w:t xml:space="preserve">and provides a breakdown </w:t>
      </w:r>
      <w:r w:rsidRPr="004029F5">
        <w:rPr>
          <w:rFonts w:ascii="Arial" w:eastAsia="Calibri" w:hAnsi="Arial" w:cs="Arial"/>
          <w:sz w:val="23"/>
          <w:szCs w:val="23"/>
        </w:rPr>
        <w:t>of their</w:t>
      </w:r>
      <w:r w:rsidRPr="0035568A">
        <w:rPr>
          <w:rFonts w:ascii="Arial" w:eastAsia="Calibri" w:hAnsi="Arial" w:cs="Arial"/>
          <w:sz w:val="23"/>
          <w:szCs w:val="23"/>
        </w:rPr>
        <w:t xml:space="preserve"> total payments and receipts </w:t>
      </w:r>
      <w:r w:rsidR="0070437E" w:rsidRPr="0035568A">
        <w:rPr>
          <w:rFonts w:ascii="Arial" w:eastAsia="Calibri" w:hAnsi="Arial" w:cs="Arial"/>
          <w:sz w:val="23"/>
          <w:szCs w:val="23"/>
        </w:rPr>
        <w:t>that were above the agreed materiality thresholds</w:t>
      </w:r>
      <w:r w:rsidRPr="0035568A">
        <w:rPr>
          <w:rFonts w:ascii="Arial" w:eastAsia="Calibri" w:hAnsi="Arial" w:cs="Arial"/>
          <w:sz w:val="23"/>
          <w:szCs w:val="23"/>
        </w:rPr>
        <w:t>.</w:t>
      </w:r>
    </w:p>
    <w:tbl>
      <w:tblPr>
        <w:tblW w:w="5025" w:type="pct"/>
        <w:tblLayout w:type="fixed"/>
        <w:tblLook w:val="04A0" w:firstRow="1" w:lastRow="0" w:firstColumn="1" w:lastColumn="0" w:noHBand="0" w:noVBand="1"/>
      </w:tblPr>
      <w:tblGrid>
        <w:gridCol w:w="1985"/>
        <w:gridCol w:w="992"/>
        <w:gridCol w:w="992"/>
        <w:gridCol w:w="991"/>
        <w:gridCol w:w="847"/>
        <w:gridCol w:w="851"/>
        <w:gridCol w:w="708"/>
        <w:gridCol w:w="711"/>
        <w:gridCol w:w="994"/>
      </w:tblGrid>
      <w:tr w:rsidR="001658C9" w:rsidRPr="00DA4CC8" w14:paraId="5AD61D28" w14:textId="77777777" w:rsidTr="00DA4CC8">
        <w:trPr>
          <w:trHeight w:val="227"/>
        </w:trPr>
        <w:tc>
          <w:tcPr>
            <w:tcW w:w="5000" w:type="pct"/>
            <w:gridSpan w:val="9"/>
            <w:tcBorders>
              <w:top w:val="nil"/>
              <w:left w:val="nil"/>
              <w:bottom w:val="nil"/>
              <w:right w:val="nil"/>
            </w:tcBorders>
            <w:shd w:val="clear" w:color="auto" w:fill="auto"/>
            <w:noWrap/>
            <w:vAlign w:val="bottom"/>
            <w:hideMark/>
          </w:tcPr>
          <w:p w14:paraId="7A9549F3" w14:textId="77777777" w:rsidR="001658C9" w:rsidRPr="00DA4CC8" w:rsidRDefault="001658C9" w:rsidP="00094127">
            <w:pPr>
              <w:spacing w:after="0" w:line="240" w:lineRule="auto"/>
              <w:jc w:val="right"/>
              <w:rPr>
                <w:rFonts w:ascii="Arial" w:eastAsia="Times New Roman" w:hAnsi="Arial" w:cs="Arial"/>
                <w:i/>
                <w:iCs/>
                <w:sz w:val="15"/>
                <w:szCs w:val="15"/>
                <w:lang w:eastAsia="en-GB"/>
              </w:rPr>
            </w:pPr>
            <w:r w:rsidRPr="00DA4CC8">
              <w:rPr>
                <w:rFonts w:ascii="Arial" w:eastAsia="Times New Roman" w:hAnsi="Arial" w:cs="Arial"/>
                <w:i/>
                <w:iCs/>
                <w:sz w:val="15"/>
                <w:szCs w:val="15"/>
                <w:lang w:eastAsia="en-GB"/>
              </w:rPr>
              <w:t xml:space="preserve">(in £000) </w:t>
            </w:r>
          </w:p>
        </w:tc>
      </w:tr>
      <w:tr w:rsidR="00FD3AEF" w:rsidRPr="00DA4CC8" w14:paraId="50E077E0" w14:textId="77777777" w:rsidTr="4FAFC775">
        <w:trPr>
          <w:trHeight w:val="227"/>
        </w:trPr>
        <w:tc>
          <w:tcPr>
            <w:tcW w:w="1094" w:type="pct"/>
            <w:vMerge w:val="restart"/>
            <w:tcBorders>
              <w:top w:val="nil"/>
              <w:left w:val="nil"/>
              <w:bottom w:val="nil"/>
              <w:right w:val="nil"/>
            </w:tcBorders>
            <w:shd w:val="clear" w:color="auto" w:fill="203764"/>
            <w:noWrap/>
            <w:vAlign w:val="center"/>
            <w:hideMark/>
          </w:tcPr>
          <w:p w14:paraId="3FE7080D" w14:textId="77777777" w:rsidR="00924D18" w:rsidRPr="00DA4CC8" w:rsidRDefault="00924D18" w:rsidP="00DA4CC8">
            <w:pPr>
              <w:spacing w:after="0" w:line="240" w:lineRule="auto"/>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Companies</w:t>
            </w:r>
          </w:p>
        </w:tc>
        <w:tc>
          <w:tcPr>
            <w:tcW w:w="3906" w:type="pct"/>
            <w:gridSpan w:val="8"/>
            <w:tcBorders>
              <w:top w:val="nil"/>
              <w:left w:val="nil"/>
              <w:bottom w:val="single" w:sz="8" w:space="0" w:color="FFFFFF" w:themeColor="background1"/>
              <w:right w:val="nil"/>
            </w:tcBorders>
            <w:shd w:val="clear" w:color="auto" w:fill="203764"/>
            <w:vAlign w:val="center"/>
          </w:tcPr>
          <w:p w14:paraId="1D2CA9B3" w14:textId="492CECCE" w:rsidR="00924D18" w:rsidRPr="00DA4CC8" w:rsidRDefault="00924D18" w:rsidP="0095642E">
            <w:pPr>
              <w:spacing w:after="0" w:line="240" w:lineRule="auto"/>
              <w:jc w:val="center"/>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As reported by Government Agencies</w:t>
            </w:r>
          </w:p>
        </w:tc>
      </w:tr>
      <w:tr w:rsidR="00FD3AEF" w:rsidRPr="00DA4CC8" w14:paraId="723773E3" w14:textId="77777777" w:rsidTr="4FAFC775">
        <w:trPr>
          <w:trHeight w:val="227"/>
        </w:trPr>
        <w:tc>
          <w:tcPr>
            <w:tcW w:w="1094" w:type="pct"/>
            <w:vMerge/>
            <w:vAlign w:val="center"/>
            <w:hideMark/>
          </w:tcPr>
          <w:p w14:paraId="50CAA7CA" w14:textId="77777777" w:rsidR="00963096" w:rsidRPr="00DA4CC8" w:rsidRDefault="00963096" w:rsidP="00C56292">
            <w:pPr>
              <w:spacing w:after="0" w:line="240" w:lineRule="auto"/>
              <w:rPr>
                <w:rFonts w:ascii="Arial" w:eastAsia="Times New Roman" w:hAnsi="Arial" w:cs="Arial"/>
                <w:b/>
                <w:bCs/>
                <w:color w:val="FFFFFF"/>
                <w:sz w:val="15"/>
                <w:szCs w:val="15"/>
                <w:lang w:eastAsia="en-GB"/>
              </w:rPr>
            </w:pPr>
          </w:p>
        </w:tc>
        <w:tc>
          <w:tcPr>
            <w:tcW w:w="547" w:type="pct"/>
            <w:tcBorders>
              <w:top w:val="nil"/>
              <w:left w:val="nil"/>
              <w:right w:val="nil"/>
            </w:tcBorders>
            <w:shd w:val="clear" w:color="auto" w:fill="203764"/>
            <w:noWrap/>
            <w:vAlign w:val="center"/>
          </w:tcPr>
          <w:p w14:paraId="0993D504" w14:textId="41B2C331"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EPL</w:t>
            </w:r>
          </w:p>
        </w:tc>
        <w:tc>
          <w:tcPr>
            <w:tcW w:w="547" w:type="pct"/>
            <w:tcBorders>
              <w:top w:val="nil"/>
              <w:left w:val="nil"/>
              <w:right w:val="nil"/>
            </w:tcBorders>
            <w:shd w:val="clear" w:color="auto" w:fill="203764"/>
            <w:vAlign w:val="center"/>
          </w:tcPr>
          <w:p w14:paraId="2538842E" w14:textId="3F4614EF"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RFCT &amp; SC</w:t>
            </w:r>
          </w:p>
        </w:tc>
        <w:tc>
          <w:tcPr>
            <w:tcW w:w="546" w:type="pct"/>
            <w:tcBorders>
              <w:top w:val="nil"/>
              <w:left w:val="nil"/>
              <w:right w:val="nil"/>
            </w:tcBorders>
            <w:shd w:val="clear" w:color="auto" w:fill="203764"/>
            <w:noWrap/>
            <w:vAlign w:val="center"/>
          </w:tcPr>
          <w:p w14:paraId="7C4CF8E1" w14:textId="03D999EF"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PRT</w:t>
            </w:r>
          </w:p>
        </w:tc>
        <w:tc>
          <w:tcPr>
            <w:tcW w:w="467" w:type="pct"/>
            <w:tcBorders>
              <w:top w:val="nil"/>
              <w:left w:val="nil"/>
              <w:right w:val="nil"/>
            </w:tcBorders>
            <w:shd w:val="clear" w:color="auto" w:fill="203764"/>
            <w:noWrap/>
            <w:vAlign w:val="center"/>
          </w:tcPr>
          <w:p w14:paraId="2FF4D3EA" w14:textId="52E39B96"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themeColor="background1"/>
                <w:sz w:val="15"/>
                <w:szCs w:val="15"/>
                <w:lang w:eastAsia="en-GB"/>
              </w:rPr>
              <w:t>PLF</w:t>
            </w:r>
            <w:r w:rsidRPr="00DA4CC8">
              <w:rPr>
                <w:rStyle w:val="FootnoteReference"/>
                <w:rFonts w:ascii="Arial" w:eastAsia="Times New Roman" w:hAnsi="Arial" w:cs="Arial"/>
                <w:b/>
                <w:bCs/>
                <w:color w:val="FFFFFF"/>
                <w:sz w:val="15"/>
                <w:szCs w:val="15"/>
                <w:lang w:eastAsia="en-GB"/>
              </w:rPr>
              <w:footnoteReference w:id="4"/>
            </w:r>
          </w:p>
        </w:tc>
        <w:tc>
          <w:tcPr>
            <w:tcW w:w="469" w:type="pct"/>
            <w:tcBorders>
              <w:top w:val="nil"/>
              <w:left w:val="nil"/>
              <w:right w:val="nil"/>
            </w:tcBorders>
            <w:shd w:val="clear" w:color="auto" w:fill="203764"/>
            <w:vAlign w:val="center"/>
          </w:tcPr>
          <w:p w14:paraId="5E727B5E" w14:textId="2CF5C7F6" w:rsidR="00963096" w:rsidRPr="00DA4CC8" w:rsidRDefault="00963096" w:rsidP="00DA4CC8">
            <w:pPr>
              <w:spacing w:after="0" w:line="240" w:lineRule="auto"/>
              <w:jc w:val="right"/>
              <w:rPr>
                <w:rFonts w:ascii="Arial" w:eastAsia="Times New Roman" w:hAnsi="Arial" w:cs="Arial"/>
                <w:b/>
                <w:bCs/>
                <w:color w:val="FFFFFF"/>
                <w:sz w:val="15"/>
                <w:szCs w:val="15"/>
                <w:vertAlign w:val="superscript"/>
                <w:lang w:eastAsia="en-GB"/>
              </w:rPr>
            </w:pPr>
            <w:r w:rsidRPr="00DA4CC8">
              <w:rPr>
                <w:rFonts w:ascii="Arial" w:eastAsia="Times New Roman" w:hAnsi="Arial" w:cs="Arial"/>
                <w:b/>
                <w:bCs/>
                <w:color w:val="FFFFFF"/>
                <w:sz w:val="15"/>
                <w:szCs w:val="15"/>
                <w:lang w:eastAsia="en-GB"/>
              </w:rPr>
              <w:t>OGA levy</w:t>
            </w:r>
            <w:r w:rsidRPr="00DA4CC8">
              <w:rPr>
                <w:rStyle w:val="FootnoteReference"/>
                <w:rFonts w:ascii="Arial" w:eastAsia="Times New Roman" w:hAnsi="Arial" w:cs="Arial"/>
                <w:color w:val="FFFFFF"/>
                <w:lang w:eastAsia="en-GB"/>
              </w:rPr>
              <w:t>1</w:t>
            </w:r>
          </w:p>
        </w:tc>
        <w:tc>
          <w:tcPr>
            <w:tcW w:w="390" w:type="pct"/>
            <w:tcBorders>
              <w:top w:val="nil"/>
              <w:left w:val="nil"/>
              <w:right w:val="nil"/>
            </w:tcBorders>
            <w:shd w:val="clear" w:color="auto" w:fill="203764"/>
            <w:vAlign w:val="center"/>
            <w:hideMark/>
          </w:tcPr>
          <w:p w14:paraId="68F3AA4D" w14:textId="0D16FA06"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Payments to TCE</w:t>
            </w:r>
          </w:p>
        </w:tc>
        <w:tc>
          <w:tcPr>
            <w:tcW w:w="392" w:type="pct"/>
            <w:tcBorders>
              <w:top w:val="nil"/>
              <w:left w:val="nil"/>
              <w:right w:val="nil"/>
            </w:tcBorders>
            <w:shd w:val="clear" w:color="auto" w:fill="203764"/>
            <w:vAlign w:val="center"/>
            <w:hideMark/>
          </w:tcPr>
          <w:p w14:paraId="66D92E0D" w14:textId="77777777"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Payments to CES</w:t>
            </w:r>
          </w:p>
        </w:tc>
        <w:tc>
          <w:tcPr>
            <w:tcW w:w="548" w:type="pct"/>
            <w:tcBorders>
              <w:top w:val="nil"/>
              <w:left w:val="nil"/>
              <w:right w:val="nil"/>
            </w:tcBorders>
            <w:shd w:val="clear" w:color="auto" w:fill="203764"/>
            <w:vAlign w:val="center"/>
            <w:hideMark/>
          </w:tcPr>
          <w:p w14:paraId="34C8A002" w14:textId="0892A31D"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Total</w:t>
            </w:r>
          </w:p>
        </w:tc>
      </w:tr>
      <w:tr w:rsidR="00FD3AEF" w:rsidRPr="00DA4CC8" w14:paraId="3C4C6A8A" w14:textId="77777777" w:rsidTr="00DA4CC8">
        <w:trPr>
          <w:trHeight w:val="227"/>
        </w:trPr>
        <w:tc>
          <w:tcPr>
            <w:tcW w:w="1094" w:type="pct"/>
            <w:tcBorders>
              <w:top w:val="nil"/>
              <w:left w:val="nil"/>
              <w:bottom w:val="nil"/>
              <w:right w:val="nil"/>
            </w:tcBorders>
            <w:shd w:val="clear" w:color="auto" w:fill="B4C6E7"/>
            <w:vAlign w:val="center"/>
            <w:hideMark/>
          </w:tcPr>
          <w:p w14:paraId="256C4A0A" w14:textId="1227E1E9"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Anasuria Hibiscus UK Ltd</w:t>
            </w:r>
          </w:p>
        </w:tc>
        <w:tc>
          <w:tcPr>
            <w:tcW w:w="547" w:type="pct"/>
            <w:tcBorders>
              <w:top w:val="nil"/>
              <w:left w:val="nil"/>
              <w:bottom w:val="nil"/>
              <w:right w:val="nil"/>
            </w:tcBorders>
            <w:shd w:val="clear" w:color="auto" w:fill="B4C6E7"/>
            <w:noWrap/>
            <w:vAlign w:val="center"/>
          </w:tcPr>
          <w:p w14:paraId="46612A8A" w14:textId="01F712E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B4C6E7"/>
            <w:vAlign w:val="center"/>
          </w:tcPr>
          <w:p w14:paraId="4C0C3550" w14:textId="7E9DDA9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5,046</w:t>
            </w:r>
          </w:p>
        </w:tc>
        <w:tc>
          <w:tcPr>
            <w:tcW w:w="546" w:type="pct"/>
            <w:tcBorders>
              <w:top w:val="nil"/>
              <w:left w:val="nil"/>
              <w:bottom w:val="nil"/>
              <w:right w:val="nil"/>
            </w:tcBorders>
            <w:shd w:val="clear" w:color="auto" w:fill="B4C6E7"/>
            <w:noWrap/>
            <w:vAlign w:val="center"/>
          </w:tcPr>
          <w:p w14:paraId="43321897" w14:textId="4D572704"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73E61F23" w14:textId="58B4CCB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120</w:t>
            </w:r>
          </w:p>
        </w:tc>
        <w:tc>
          <w:tcPr>
            <w:tcW w:w="469" w:type="pct"/>
            <w:tcBorders>
              <w:top w:val="nil"/>
              <w:left w:val="nil"/>
              <w:bottom w:val="nil"/>
              <w:right w:val="nil"/>
            </w:tcBorders>
            <w:shd w:val="clear" w:color="auto" w:fill="B4C6E7"/>
            <w:noWrap/>
            <w:vAlign w:val="center"/>
          </w:tcPr>
          <w:p w14:paraId="5E456A17" w14:textId="2B1D681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43</w:t>
            </w:r>
          </w:p>
        </w:tc>
        <w:tc>
          <w:tcPr>
            <w:tcW w:w="390" w:type="pct"/>
            <w:tcBorders>
              <w:top w:val="nil"/>
              <w:left w:val="nil"/>
              <w:bottom w:val="nil"/>
              <w:right w:val="nil"/>
            </w:tcBorders>
            <w:shd w:val="clear" w:color="auto" w:fill="B4C6E7"/>
            <w:noWrap/>
            <w:vAlign w:val="center"/>
          </w:tcPr>
          <w:p w14:paraId="2803CF3F" w14:textId="568155D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35326407" w14:textId="0137D8B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69342699" w14:textId="3B39C608"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5,209</w:t>
            </w:r>
          </w:p>
        </w:tc>
      </w:tr>
      <w:tr w:rsidR="004F7DFA" w:rsidRPr="00DA4CC8" w14:paraId="73A99ADB" w14:textId="77777777" w:rsidTr="00DA4CC8">
        <w:trPr>
          <w:trHeight w:val="227"/>
        </w:trPr>
        <w:tc>
          <w:tcPr>
            <w:tcW w:w="1094" w:type="pct"/>
            <w:tcBorders>
              <w:top w:val="nil"/>
              <w:left w:val="nil"/>
              <w:bottom w:val="nil"/>
              <w:right w:val="nil"/>
            </w:tcBorders>
            <w:shd w:val="clear" w:color="auto" w:fill="auto"/>
            <w:vAlign w:val="center"/>
            <w:hideMark/>
          </w:tcPr>
          <w:p w14:paraId="3F718AAF"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Apache Corporation</w:t>
            </w:r>
          </w:p>
        </w:tc>
        <w:tc>
          <w:tcPr>
            <w:tcW w:w="547" w:type="pct"/>
            <w:tcBorders>
              <w:top w:val="nil"/>
              <w:left w:val="nil"/>
              <w:bottom w:val="nil"/>
              <w:right w:val="nil"/>
            </w:tcBorders>
            <w:shd w:val="clear" w:color="auto" w:fill="auto"/>
            <w:noWrap/>
            <w:vAlign w:val="center"/>
          </w:tcPr>
          <w:p w14:paraId="01E239FD" w14:textId="6C3614A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142,431</w:t>
            </w:r>
          </w:p>
        </w:tc>
        <w:tc>
          <w:tcPr>
            <w:tcW w:w="547" w:type="pct"/>
            <w:tcBorders>
              <w:top w:val="nil"/>
              <w:left w:val="nil"/>
              <w:bottom w:val="nil"/>
              <w:right w:val="nil"/>
            </w:tcBorders>
            <w:shd w:val="clear" w:color="auto" w:fill="auto"/>
            <w:vAlign w:val="center"/>
          </w:tcPr>
          <w:p w14:paraId="5B490B7F" w14:textId="08D7641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200,109</w:t>
            </w:r>
          </w:p>
        </w:tc>
        <w:tc>
          <w:tcPr>
            <w:tcW w:w="546" w:type="pct"/>
            <w:tcBorders>
              <w:top w:val="nil"/>
              <w:left w:val="nil"/>
              <w:bottom w:val="nil"/>
              <w:right w:val="nil"/>
            </w:tcBorders>
            <w:shd w:val="clear" w:color="auto" w:fill="auto"/>
            <w:noWrap/>
            <w:vAlign w:val="center"/>
          </w:tcPr>
          <w:p w14:paraId="04BCFA70" w14:textId="2380B1A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60E04A0A" w14:textId="222DE56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1,251</w:t>
            </w:r>
          </w:p>
        </w:tc>
        <w:tc>
          <w:tcPr>
            <w:tcW w:w="469" w:type="pct"/>
            <w:tcBorders>
              <w:top w:val="nil"/>
              <w:left w:val="nil"/>
              <w:bottom w:val="nil"/>
              <w:right w:val="nil"/>
            </w:tcBorders>
            <w:shd w:val="clear" w:color="auto" w:fill="auto"/>
            <w:noWrap/>
            <w:vAlign w:val="center"/>
          </w:tcPr>
          <w:p w14:paraId="17855A0C" w14:textId="55C6BE7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843</w:t>
            </w:r>
          </w:p>
        </w:tc>
        <w:tc>
          <w:tcPr>
            <w:tcW w:w="390" w:type="pct"/>
            <w:tcBorders>
              <w:top w:val="nil"/>
              <w:left w:val="nil"/>
              <w:bottom w:val="nil"/>
              <w:right w:val="nil"/>
            </w:tcBorders>
            <w:shd w:val="clear" w:color="auto" w:fill="auto"/>
            <w:noWrap/>
            <w:vAlign w:val="center"/>
          </w:tcPr>
          <w:p w14:paraId="71DC2DDC" w14:textId="2AC2669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hideMark/>
          </w:tcPr>
          <w:p w14:paraId="26D85745" w14:textId="6ED4D92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5498BFC4" w14:textId="54D8642F"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344,634</w:t>
            </w:r>
          </w:p>
        </w:tc>
      </w:tr>
      <w:tr w:rsidR="00FD3AEF" w:rsidRPr="00DA4CC8" w14:paraId="1270C4F1" w14:textId="77777777" w:rsidTr="4FAFC775">
        <w:trPr>
          <w:trHeight w:val="227"/>
        </w:trPr>
        <w:tc>
          <w:tcPr>
            <w:tcW w:w="1094" w:type="pct"/>
            <w:tcBorders>
              <w:top w:val="nil"/>
              <w:left w:val="nil"/>
              <w:bottom w:val="nil"/>
              <w:right w:val="nil"/>
            </w:tcBorders>
            <w:shd w:val="clear" w:color="auto" w:fill="B4C6E7"/>
            <w:vAlign w:val="center"/>
            <w:hideMark/>
          </w:tcPr>
          <w:p w14:paraId="71DFEBBD" w14:textId="4F913819" w:rsidR="00963096" w:rsidRPr="00DA4CC8" w:rsidRDefault="00963096" w:rsidP="00C56292">
            <w:pPr>
              <w:spacing w:after="0" w:line="240" w:lineRule="auto"/>
              <w:rPr>
                <w:rFonts w:ascii="Arial" w:eastAsia="Times New Roman" w:hAnsi="Arial" w:cs="Arial"/>
                <w:color w:val="000000"/>
                <w:sz w:val="15"/>
                <w:szCs w:val="15"/>
                <w:lang w:eastAsia="en-GB"/>
              </w:rPr>
            </w:pPr>
            <w:bookmarkStart w:id="44" w:name="_Hlk179876408"/>
            <w:r w:rsidRPr="00DA4CC8">
              <w:rPr>
                <w:rFonts w:ascii="Arial" w:eastAsia="Times New Roman" w:hAnsi="Arial" w:cs="Arial"/>
                <w:color w:val="000000"/>
                <w:sz w:val="15"/>
                <w:szCs w:val="15"/>
                <w:lang w:eastAsia="en-GB"/>
              </w:rPr>
              <w:t>BP Plc</w:t>
            </w:r>
            <w:bookmarkEnd w:id="44"/>
          </w:p>
        </w:tc>
        <w:tc>
          <w:tcPr>
            <w:tcW w:w="547" w:type="pct"/>
            <w:tcBorders>
              <w:top w:val="nil"/>
              <w:left w:val="nil"/>
              <w:bottom w:val="nil"/>
              <w:right w:val="nil"/>
            </w:tcBorders>
            <w:shd w:val="clear" w:color="auto" w:fill="B4C6E7"/>
            <w:noWrap/>
            <w:vAlign w:val="center"/>
          </w:tcPr>
          <w:p w14:paraId="3663B649" w14:textId="7584F26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621,000</w:t>
            </w:r>
          </w:p>
        </w:tc>
        <w:tc>
          <w:tcPr>
            <w:tcW w:w="547" w:type="pct"/>
            <w:tcBorders>
              <w:top w:val="nil"/>
              <w:left w:val="nil"/>
              <w:bottom w:val="nil"/>
              <w:right w:val="nil"/>
            </w:tcBorders>
            <w:shd w:val="clear" w:color="auto" w:fill="B4C6E7"/>
            <w:vAlign w:val="center"/>
          </w:tcPr>
          <w:p w14:paraId="29796947" w14:textId="4A2797C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907,000</w:t>
            </w:r>
          </w:p>
        </w:tc>
        <w:tc>
          <w:tcPr>
            <w:tcW w:w="546" w:type="pct"/>
            <w:tcBorders>
              <w:top w:val="nil"/>
              <w:left w:val="nil"/>
              <w:bottom w:val="nil"/>
              <w:right w:val="nil"/>
            </w:tcBorders>
            <w:shd w:val="clear" w:color="auto" w:fill="B4C6E7"/>
            <w:noWrap/>
            <w:vAlign w:val="center"/>
          </w:tcPr>
          <w:p w14:paraId="16FE1C1D" w14:textId="4DF3063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-90,596</w:t>
            </w:r>
          </w:p>
        </w:tc>
        <w:tc>
          <w:tcPr>
            <w:tcW w:w="467" w:type="pct"/>
            <w:tcBorders>
              <w:top w:val="nil"/>
              <w:left w:val="nil"/>
              <w:bottom w:val="nil"/>
              <w:right w:val="nil"/>
            </w:tcBorders>
            <w:shd w:val="clear" w:color="auto" w:fill="B4C6E7"/>
            <w:noWrap/>
            <w:vAlign w:val="center"/>
          </w:tcPr>
          <w:p w14:paraId="2D893F35" w14:textId="4484D1F6"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4,283</w:t>
            </w:r>
          </w:p>
        </w:tc>
        <w:tc>
          <w:tcPr>
            <w:tcW w:w="469" w:type="pct"/>
            <w:tcBorders>
              <w:top w:val="nil"/>
              <w:left w:val="nil"/>
              <w:bottom w:val="nil"/>
              <w:right w:val="nil"/>
            </w:tcBorders>
            <w:shd w:val="clear" w:color="auto" w:fill="B4C6E7"/>
            <w:noWrap/>
            <w:vAlign w:val="center"/>
          </w:tcPr>
          <w:p w14:paraId="054A905A" w14:textId="1827A66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1,620</w:t>
            </w:r>
          </w:p>
        </w:tc>
        <w:tc>
          <w:tcPr>
            <w:tcW w:w="390" w:type="pct"/>
            <w:tcBorders>
              <w:top w:val="nil"/>
              <w:left w:val="nil"/>
              <w:bottom w:val="nil"/>
              <w:right w:val="nil"/>
            </w:tcBorders>
            <w:shd w:val="clear" w:color="auto" w:fill="B4C6E7"/>
            <w:noWrap/>
            <w:vAlign w:val="center"/>
          </w:tcPr>
          <w:p w14:paraId="189073BC" w14:textId="7EE77FA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hideMark/>
          </w:tcPr>
          <w:p w14:paraId="78B4BF1F" w14:textId="632CC17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269</w:t>
            </w:r>
          </w:p>
        </w:tc>
        <w:tc>
          <w:tcPr>
            <w:tcW w:w="548" w:type="pct"/>
            <w:tcBorders>
              <w:top w:val="nil"/>
              <w:left w:val="nil"/>
              <w:bottom w:val="nil"/>
              <w:right w:val="nil"/>
            </w:tcBorders>
            <w:shd w:val="clear" w:color="auto" w:fill="B4C6E7"/>
            <w:noWrap/>
            <w:vAlign w:val="center"/>
            <w:hideMark/>
          </w:tcPr>
          <w:p w14:paraId="49150192" w14:textId="442758B1"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1,443,575</w:t>
            </w:r>
          </w:p>
        </w:tc>
      </w:tr>
      <w:tr w:rsidR="004F7DFA" w:rsidRPr="00DA4CC8" w14:paraId="60912DFE" w14:textId="77777777" w:rsidTr="00DA4CC8">
        <w:trPr>
          <w:trHeight w:val="227"/>
        </w:trPr>
        <w:tc>
          <w:tcPr>
            <w:tcW w:w="1094" w:type="pct"/>
            <w:tcBorders>
              <w:top w:val="nil"/>
              <w:left w:val="nil"/>
              <w:bottom w:val="nil"/>
              <w:right w:val="nil"/>
            </w:tcBorders>
            <w:shd w:val="clear" w:color="auto" w:fill="auto"/>
            <w:vAlign w:val="center"/>
            <w:hideMark/>
          </w:tcPr>
          <w:p w14:paraId="4115DF3D" w14:textId="77777777" w:rsidR="00963096" w:rsidRPr="00DA4CC8" w:rsidRDefault="00963096" w:rsidP="00C56292">
            <w:pPr>
              <w:spacing w:after="0" w:line="240" w:lineRule="auto"/>
              <w:rPr>
                <w:rFonts w:ascii="Arial" w:eastAsia="Times New Roman" w:hAnsi="Arial" w:cs="Arial"/>
                <w:color w:val="000000"/>
                <w:sz w:val="15"/>
                <w:szCs w:val="15"/>
                <w:lang w:eastAsia="en-GB"/>
              </w:rPr>
            </w:pPr>
            <w:proofErr w:type="spellStart"/>
            <w:r w:rsidRPr="00DA4CC8">
              <w:rPr>
                <w:rFonts w:ascii="Arial" w:eastAsia="Times New Roman" w:hAnsi="Arial" w:cs="Arial"/>
                <w:color w:val="000000"/>
                <w:sz w:val="15"/>
                <w:szCs w:val="15"/>
                <w:lang w:eastAsia="en-GB"/>
              </w:rPr>
              <w:t>CalEnergy</w:t>
            </w:r>
            <w:proofErr w:type="spellEnd"/>
            <w:r w:rsidRPr="00DA4CC8">
              <w:rPr>
                <w:rFonts w:ascii="Arial" w:eastAsia="Times New Roman" w:hAnsi="Arial" w:cs="Arial"/>
                <w:color w:val="000000"/>
                <w:sz w:val="15"/>
                <w:szCs w:val="15"/>
                <w:lang w:eastAsia="en-GB"/>
              </w:rPr>
              <w:t xml:space="preserve"> Gas Ltd</w:t>
            </w:r>
          </w:p>
        </w:tc>
        <w:tc>
          <w:tcPr>
            <w:tcW w:w="547" w:type="pct"/>
            <w:tcBorders>
              <w:top w:val="nil"/>
              <w:left w:val="nil"/>
              <w:bottom w:val="nil"/>
              <w:right w:val="nil"/>
            </w:tcBorders>
            <w:shd w:val="clear" w:color="auto" w:fill="auto"/>
            <w:noWrap/>
            <w:vAlign w:val="center"/>
          </w:tcPr>
          <w:p w14:paraId="7F21F528" w14:textId="3CB3169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117D4750"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auto"/>
            <w:noWrap/>
            <w:vAlign w:val="center"/>
          </w:tcPr>
          <w:p w14:paraId="71CEFB25" w14:textId="7F41719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-392</w:t>
            </w:r>
          </w:p>
        </w:tc>
        <w:tc>
          <w:tcPr>
            <w:tcW w:w="467" w:type="pct"/>
            <w:tcBorders>
              <w:top w:val="nil"/>
              <w:left w:val="nil"/>
              <w:bottom w:val="nil"/>
              <w:right w:val="nil"/>
            </w:tcBorders>
            <w:shd w:val="clear" w:color="auto" w:fill="auto"/>
            <w:noWrap/>
            <w:vAlign w:val="center"/>
          </w:tcPr>
          <w:p w14:paraId="2C85C091" w14:textId="5774006F" w:rsidR="00963096" w:rsidRPr="00DA4CC8" w:rsidRDefault="00963096" w:rsidP="00DA4CC8">
            <w:pPr>
              <w:spacing w:after="0" w:line="240" w:lineRule="auto"/>
              <w:jc w:val="right"/>
              <w:rPr>
                <w:rFonts w:ascii="Arial" w:eastAsia="Times New Roman" w:hAnsi="Arial" w:cs="Arial"/>
                <w:color w:val="FF0000"/>
                <w:sz w:val="15"/>
                <w:szCs w:val="15"/>
                <w:lang w:eastAsia="en-GB"/>
              </w:rPr>
            </w:pPr>
          </w:p>
        </w:tc>
        <w:tc>
          <w:tcPr>
            <w:tcW w:w="469" w:type="pct"/>
            <w:tcBorders>
              <w:top w:val="nil"/>
              <w:left w:val="nil"/>
              <w:bottom w:val="nil"/>
              <w:right w:val="nil"/>
            </w:tcBorders>
            <w:shd w:val="clear" w:color="auto" w:fill="auto"/>
            <w:noWrap/>
            <w:vAlign w:val="center"/>
          </w:tcPr>
          <w:p w14:paraId="2239338C" w14:textId="585D95B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077B5688" w14:textId="12193C1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21B35CA0" w14:textId="5A8BB77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78F528F5" w14:textId="5DBF1537"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-392</w:t>
            </w:r>
          </w:p>
        </w:tc>
      </w:tr>
      <w:tr w:rsidR="00FD3AEF" w:rsidRPr="00DA4CC8" w14:paraId="5EB0F58A" w14:textId="77777777" w:rsidTr="4FAFC775">
        <w:trPr>
          <w:trHeight w:val="227"/>
        </w:trPr>
        <w:tc>
          <w:tcPr>
            <w:tcW w:w="1094" w:type="pct"/>
            <w:tcBorders>
              <w:top w:val="nil"/>
              <w:left w:val="nil"/>
              <w:bottom w:val="nil"/>
              <w:right w:val="nil"/>
            </w:tcBorders>
            <w:shd w:val="clear" w:color="auto" w:fill="B4C6E7"/>
            <w:vAlign w:val="center"/>
            <w:hideMark/>
          </w:tcPr>
          <w:p w14:paraId="2C752473" w14:textId="38B708D1" w:rsidR="00963096" w:rsidRPr="00DA4CC8" w:rsidRDefault="00963096" w:rsidP="00C56292">
            <w:pPr>
              <w:spacing w:after="0" w:line="240" w:lineRule="auto"/>
              <w:rPr>
                <w:rFonts w:ascii="Arial" w:eastAsia="Times New Roman" w:hAnsi="Arial" w:cs="Arial"/>
                <w:color w:val="000000"/>
                <w:sz w:val="15"/>
                <w:szCs w:val="15"/>
                <w:lang w:eastAsia="en-GB"/>
              </w:rPr>
            </w:pPr>
            <w:bookmarkStart w:id="45" w:name="_Hlk179876414"/>
            <w:r w:rsidRPr="00DA4CC8">
              <w:rPr>
                <w:rFonts w:ascii="Arial" w:eastAsia="Times New Roman" w:hAnsi="Arial" w:cs="Arial"/>
                <w:color w:val="000000"/>
                <w:sz w:val="15"/>
                <w:szCs w:val="15"/>
                <w:lang w:eastAsia="en-GB"/>
              </w:rPr>
              <w:t>Centrica Plc</w:t>
            </w:r>
            <w:bookmarkEnd w:id="45"/>
          </w:p>
        </w:tc>
        <w:tc>
          <w:tcPr>
            <w:tcW w:w="547" w:type="pct"/>
            <w:tcBorders>
              <w:top w:val="nil"/>
              <w:left w:val="nil"/>
              <w:bottom w:val="nil"/>
              <w:right w:val="nil"/>
            </w:tcBorders>
            <w:shd w:val="clear" w:color="auto" w:fill="B4C6E7"/>
            <w:noWrap/>
            <w:vAlign w:val="center"/>
          </w:tcPr>
          <w:p w14:paraId="2504251F" w14:textId="0560BDB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120,317</w:t>
            </w:r>
          </w:p>
        </w:tc>
        <w:tc>
          <w:tcPr>
            <w:tcW w:w="547" w:type="pct"/>
            <w:tcBorders>
              <w:top w:val="nil"/>
              <w:left w:val="nil"/>
              <w:bottom w:val="nil"/>
              <w:right w:val="nil"/>
            </w:tcBorders>
            <w:shd w:val="clear" w:color="auto" w:fill="B4C6E7"/>
            <w:vAlign w:val="center"/>
          </w:tcPr>
          <w:p w14:paraId="3EC75E96" w14:textId="6BF77E5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102,622</w:t>
            </w:r>
          </w:p>
        </w:tc>
        <w:tc>
          <w:tcPr>
            <w:tcW w:w="546" w:type="pct"/>
            <w:tcBorders>
              <w:top w:val="nil"/>
              <w:left w:val="nil"/>
              <w:bottom w:val="nil"/>
              <w:right w:val="nil"/>
            </w:tcBorders>
            <w:shd w:val="clear" w:color="auto" w:fill="B4C6E7"/>
            <w:noWrap/>
            <w:vAlign w:val="center"/>
          </w:tcPr>
          <w:p w14:paraId="43340E7D" w14:textId="0CB0C93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-2,834</w:t>
            </w:r>
          </w:p>
        </w:tc>
        <w:tc>
          <w:tcPr>
            <w:tcW w:w="467" w:type="pct"/>
            <w:tcBorders>
              <w:top w:val="nil"/>
              <w:left w:val="nil"/>
              <w:bottom w:val="nil"/>
              <w:right w:val="nil"/>
            </w:tcBorders>
            <w:shd w:val="clear" w:color="auto" w:fill="B4C6E7"/>
            <w:noWrap/>
            <w:vAlign w:val="center"/>
          </w:tcPr>
          <w:p w14:paraId="3F1CAF85" w14:textId="283C4769"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2,153</w:t>
            </w:r>
          </w:p>
        </w:tc>
        <w:tc>
          <w:tcPr>
            <w:tcW w:w="469" w:type="pct"/>
            <w:tcBorders>
              <w:top w:val="nil"/>
              <w:left w:val="nil"/>
              <w:bottom w:val="nil"/>
              <w:right w:val="nil"/>
            </w:tcBorders>
            <w:shd w:val="clear" w:color="auto" w:fill="B4C6E7"/>
            <w:noWrap/>
            <w:vAlign w:val="center"/>
          </w:tcPr>
          <w:p w14:paraId="4A86608D" w14:textId="2B8C3E5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1,691</w:t>
            </w:r>
          </w:p>
        </w:tc>
        <w:tc>
          <w:tcPr>
            <w:tcW w:w="390" w:type="pct"/>
            <w:tcBorders>
              <w:top w:val="nil"/>
              <w:left w:val="nil"/>
              <w:bottom w:val="nil"/>
              <w:right w:val="nil"/>
            </w:tcBorders>
            <w:shd w:val="clear" w:color="auto" w:fill="B4C6E7"/>
            <w:noWrap/>
            <w:vAlign w:val="center"/>
          </w:tcPr>
          <w:p w14:paraId="2032D5E5" w14:textId="6D22A26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59446F68" w14:textId="3D09DBE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3172D1FB" w14:textId="3B958D16"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223,948</w:t>
            </w:r>
          </w:p>
        </w:tc>
      </w:tr>
      <w:tr w:rsidR="004F7DFA" w:rsidRPr="00DA4CC8" w14:paraId="4A154437" w14:textId="77777777" w:rsidTr="00DA4CC8">
        <w:trPr>
          <w:trHeight w:val="227"/>
        </w:trPr>
        <w:tc>
          <w:tcPr>
            <w:tcW w:w="1094" w:type="pct"/>
            <w:tcBorders>
              <w:top w:val="nil"/>
              <w:left w:val="nil"/>
              <w:bottom w:val="nil"/>
              <w:right w:val="nil"/>
            </w:tcBorders>
            <w:shd w:val="clear" w:color="auto" w:fill="auto"/>
            <w:vAlign w:val="center"/>
            <w:hideMark/>
          </w:tcPr>
          <w:p w14:paraId="00A28A4E"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Chevron</w:t>
            </w:r>
          </w:p>
        </w:tc>
        <w:tc>
          <w:tcPr>
            <w:tcW w:w="547" w:type="pct"/>
            <w:tcBorders>
              <w:top w:val="nil"/>
              <w:left w:val="nil"/>
              <w:bottom w:val="nil"/>
              <w:right w:val="nil"/>
            </w:tcBorders>
            <w:shd w:val="clear" w:color="auto" w:fill="auto"/>
            <w:noWrap/>
            <w:vAlign w:val="center"/>
          </w:tcPr>
          <w:p w14:paraId="76A07A45" w14:textId="13A89E8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61,019</w:t>
            </w:r>
          </w:p>
        </w:tc>
        <w:tc>
          <w:tcPr>
            <w:tcW w:w="547" w:type="pct"/>
            <w:tcBorders>
              <w:top w:val="nil"/>
              <w:left w:val="nil"/>
              <w:bottom w:val="nil"/>
              <w:right w:val="nil"/>
            </w:tcBorders>
            <w:shd w:val="clear" w:color="auto" w:fill="auto"/>
            <w:vAlign w:val="center"/>
          </w:tcPr>
          <w:p w14:paraId="1C4749CE" w14:textId="10B5EA6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93,539</w:t>
            </w:r>
          </w:p>
        </w:tc>
        <w:tc>
          <w:tcPr>
            <w:tcW w:w="546" w:type="pct"/>
            <w:tcBorders>
              <w:top w:val="nil"/>
              <w:left w:val="nil"/>
              <w:bottom w:val="nil"/>
              <w:right w:val="nil"/>
            </w:tcBorders>
            <w:shd w:val="clear" w:color="auto" w:fill="auto"/>
            <w:noWrap/>
            <w:vAlign w:val="center"/>
          </w:tcPr>
          <w:p w14:paraId="0C7C8591" w14:textId="5214BF6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201CC586" w14:textId="58D5B1A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auto"/>
            <w:noWrap/>
            <w:vAlign w:val="center"/>
          </w:tcPr>
          <w:p w14:paraId="0AD261DA" w14:textId="7E74CA3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44009634" w14:textId="64BD532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658F1098" w14:textId="3E46AD1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3C7C90E7" w14:textId="15D125BA"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154,558</w:t>
            </w:r>
          </w:p>
        </w:tc>
      </w:tr>
      <w:tr w:rsidR="00FD3AEF" w:rsidRPr="00DA4CC8" w14:paraId="203AFE05" w14:textId="77777777" w:rsidTr="4FAFC775">
        <w:trPr>
          <w:trHeight w:val="227"/>
        </w:trPr>
        <w:tc>
          <w:tcPr>
            <w:tcW w:w="1094" w:type="pct"/>
            <w:tcBorders>
              <w:top w:val="nil"/>
              <w:left w:val="nil"/>
              <w:bottom w:val="nil"/>
              <w:right w:val="nil"/>
            </w:tcBorders>
            <w:shd w:val="clear" w:color="auto" w:fill="B4C6E7"/>
            <w:vAlign w:val="center"/>
            <w:hideMark/>
          </w:tcPr>
          <w:p w14:paraId="6B18302E" w14:textId="4477C0C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CNOOC Petroleum Europe Ltd</w:t>
            </w:r>
          </w:p>
        </w:tc>
        <w:tc>
          <w:tcPr>
            <w:tcW w:w="547" w:type="pct"/>
            <w:tcBorders>
              <w:top w:val="nil"/>
              <w:left w:val="nil"/>
              <w:bottom w:val="nil"/>
              <w:right w:val="nil"/>
            </w:tcBorders>
            <w:shd w:val="clear" w:color="auto" w:fill="B4C6E7"/>
            <w:noWrap/>
            <w:vAlign w:val="center"/>
          </w:tcPr>
          <w:p w14:paraId="19FD4F12" w14:textId="18FEEA9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155,000</w:t>
            </w:r>
          </w:p>
        </w:tc>
        <w:tc>
          <w:tcPr>
            <w:tcW w:w="547" w:type="pct"/>
            <w:tcBorders>
              <w:top w:val="nil"/>
              <w:left w:val="nil"/>
              <w:bottom w:val="nil"/>
              <w:right w:val="nil"/>
            </w:tcBorders>
            <w:shd w:val="clear" w:color="auto" w:fill="B4C6E7"/>
            <w:vAlign w:val="center"/>
          </w:tcPr>
          <w:p w14:paraId="32805017" w14:textId="2DED55F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288,000</w:t>
            </w:r>
          </w:p>
        </w:tc>
        <w:tc>
          <w:tcPr>
            <w:tcW w:w="546" w:type="pct"/>
            <w:tcBorders>
              <w:top w:val="nil"/>
              <w:left w:val="nil"/>
              <w:bottom w:val="nil"/>
              <w:right w:val="nil"/>
            </w:tcBorders>
            <w:shd w:val="clear" w:color="auto" w:fill="B4C6E7"/>
            <w:noWrap/>
            <w:vAlign w:val="center"/>
          </w:tcPr>
          <w:p w14:paraId="18919701" w14:textId="00FEC42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245AAE3F" w14:textId="3E4170F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2,775</w:t>
            </w:r>
          </w:p>
        </w:tc>
        <w:tc>
          <w:tcPr>
            <w:tcW w:w="469" w:type="pct"/>
            <w:tcBorders>
              <w:top w:val="nil"/>
              <w:left w:val="nil"/>
              <w:bottom w:val="nil"/>
              <w:right w:val="nil"/>
            </w:tcBorders>
            <w:shd w:val="clear" w:color="auto" w:fill="B4C6E7"/>
            <w:noWrap/>
            <w:vAlign w:val="center"/>
          </w:tcPr>
          <w:p w14:paraId="45DB7928" w14:textId="6F97A53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619</w:t>
            </w:r>
          </w:p>
        </w:tc>
        <w:tc>
          <w:tcPr>
            <w:tcW w:w="390" w:type="pct"/>
            <w:tcBorders>
              <w:top w:val="nil"/>
              <w:left w:val="nil"/>
              <w:bottom w:val="nil"/>
              <w:right w:val="nil"/>
            </w:tcBorders>
            <w:shd w:val="clear" w:color="auto" w:fill="B4C6E7"/>
            <w:noWrap/>
            <w:vAlign w:val="center"/>
          </w:tcPr>
          <w:p w14:paraId="0FC3DE4F" w14:textId="4E2B3A2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683429F4" w14:textId="386B730C"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343A6AC1" w14:textId="1B789AC9"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446,395</w:t>
            </w:r>
          </w:p>
        </w:tc>
      </w:tr>
      <w:tr w:rsidR="004F7DFA" w:rsidRPr="00DA4CC8" w14:paraId="7D3B8B68" w14:textId="77777777" w:rsidTr="00DA4CC8">
        <w:trPr>
          <w:trHeight w:val="227"/>
        </w:trPr>
        <w:tc>
          <w:tcPr>
            <w:tcW w:w="1094" w:type="pct"/>
            <w:tcBorders>
              <w:top w:val="nil"/>
              <w:left w:val="nil"/>
              <w:bottom w:val="nil"/>
              <w:right w:val="nil"/>
            </w:tcBorders>
            <w:shd w:val="clear" w:color="auto" w:fill="auto"/>
            <w:vAlign w:val="center"/>
            <w:hideMark/>
          </w:tcPr>
          <w:p w14:paraId="642E53A6"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CNR International UK Investments Ltd</w:t>
            </w:r>
          </w:p>
        </w:tc>
        <w:tc>
          <w:tcPr>
            <w:tcW w:w="547" w:type="pct"/>
            <w:tcBorders>
              <w:top w:val="nil"/>
              <w:left w:val="nil"/>
              <w:bottom w:val="nil"/>
              <w:right w:val="nil"/>
            </w:tcBorders>
            <w:shd w:val="clear" w:color="auto" w:fill="auto"/>
            <w:noWrap/>
            <w:vAlign w:val="center"/>
          </w:tcPr>
          <w:p w14:paraId="604BEACF" w14:textId="0679572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140020BA" w14:textId="0506DC1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-4,608</w:t>
            </w:r>
          </w:p>
        </w:tc>
        <w:tc>
          <w:tcPr>
            <w:tcW w:w="546" w:type="pct"/>
            <w:tcBorders>
              <w:top w:val="nil"/>
              <w:left w:val="nil"/>
              <w:bottom w:val="nil"/>
              <w:right w:val="nil"/>
            </w:tcBorders>
            <w:shd w:val="clear" w:color="auto" w:fill="auto"/>
            <w:noWrap/>
            <w:vAlign w:val="center"/>
          </w:tcPr>
          <w:p w14:paraId="3BB6FFD2" w14:textId="7523FE8C"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FF0000"/>
                <w:sz w:val="15"/>
                <w:szCs w:val="15"/>
                <w:lang w:eastAsia="en-GB"/>
              </w:rPr>
              <w:t>-39,380</w:t>
            </w:r>
          </w:p>
        </w:tc>
        <w:tc>
          <w:tcPr>
            <w:tcW w:w="467" w:type="pct"/>
            <w:tcBorders>
              <w:top w:val="nil"/>
              <w:left w:val="nil"/>
              <w:bottom w:val="nil"/>
              <w:right w:val="nil"/>
            </w:tcBorders>
            <w:shd w:val="clear" w:color="auto" w:fill="auto"/>
            <w:noWrap/>
            <w:vAlign w:val="center"/>
          </w:tcPr>
          <w:p w14:paraId="7680F37A" w14:textId="27AB42D9"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149</w:t>
            </w:r>
          </w:p>
        </w:tc>
        <w:tc>
          <w:tcPr>
            <w:tcW w:w="469" w:type="pct"/>
            <w:tcBorders>
              <w:top w:val="nil"/>
              <w:left w:val="nil"/>
              <w:bottom w:val="nil"/>
              <w:right w:val="nil"/>
            </w:tcBorders>
            <w:shd w:val="clear" w:color="auto" w:fill="auto"/>
            <w:noWrap/>
            <w:vAlign w:val="center"/>
          </w:tcPr>
          <w:p w14:paraId="4C098781" w14:textId="7030341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571</w:t>
            </w:r>
          </w:p>
        </w:tc>
        <w:tc>
          <w:tcPr>
            <w:tcW w:w="390" w:type="pct"/>
            <w:tcBorders>
              <w:top w:val="nil"/>
              <w:left w:val="nil"/>
              <w:bottom w:val="nil"/>
              <w:right w:val="nil"/>
            </w:tcBorders>
            <w:shd w:val="clear" w:color="auto" w:fill="auto"/>
            <w:noWrap/>
            <w:vAlign w:val="center"/>
          </w:tcPr>
          <w:p w14:paraId="24A04731" w14:textId="6B63059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33D7E8C9" w14:textId="0D295A7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7D0A3385" w14:textId="147E70FA"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-43,268</w:t>
            </w:r>
          </w:p>
        </w:tc>
      </w:tr>
      <w:tr w:rsidR="00FD3AEF" w:rsidRPr="00DA4CC8" w14:paraId="755335B1" w14:textId="77777777" w:rsidTr="4FAFC775">
        <w:trPr>
          <w:trHeight w:val="227"/>
        </w:trPr>
        <w:tc>
          <w:tcPr>
            <w:tcW w:w="1094" w:type="pct"/>
            <w:tcBorders>
              <w:top w:val="nil"/>
              <w:left w:val="nil"/>
              <w:bottom w:val="nil"/>
              <w:right w:val="nil"/>
            </w:tcBorders>
            <w:shd w:val="clear" w:color="auto" w:fill="B4C6E7"/>
            <w:vAlign w:val="center"/>
            <w:hideMark/>
          </w:tcPr>
          <w:p w14:paraId="17F24513"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Dana Petroleum Ltd</w:t>
            </w:r>
          </w:p>
        </w:tc>
        <w:tc>
          <w:tcPr>
            <w:tcW w:w="547" w:type="pct"/>
            <w:tcBorders>
              <w:top w:val="nil"/>
              <w:left w:val="nil"/>
              <w:bottom w:val="nil"/>
              <w:right w:val="nil"/>
            </w:tcBorders>
            <w:shd w:val="clear" w:color="auto" w:fill="B4C6E7"/>
            <w:noWrap/>
            <w:vAlign w:val="center"/>
          </w:tcPr>
          <w:p w14:paraId="44509BCE" w14:textId="23353F0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70,843</w:t>
            </w:r>
          </w:p>
        </w:tc>
        <w:tc>
          <w:tcPr>
            <w:tcW w:w="547" w:type="pct"/>
            <w:tcBorders>
              <w:top w:val="nil"/>
              <w:left w:val="nil"/>
              <w:bottom w:val="nil"/>
              <w:right w:val="nil"/>
            </w:tcBorders>
            <w:shd w:val="clear" w:color="auto" w:fill="B4C6E7"/>
            <w:vAlign w:val="center"/>
          </w:tcPr>
          <w:p w14:paraId="78634DF2" w14:textId="73351FA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37,224</w:t>
            </w:r>
          </w:p>
        </w:tc>
        <w:tc>
          <w:tcPr>
            <w:tcW w:w="546" w:type="pct"/>
            <w:tcBorders>
              <w:top w:val="nil"/>
              <w:left w:val="nil"/>
              <w:bottom w:val="nil"/>
              <w:right w:val="nil"/>
            </w:tcBorders>
            <w:shd w:val="clear" w:color="auto" w:fill="B4C6E7"/>
            <w:noWrap/>
            <w:vAlign w:val="center"/>
          </w:tcPr>
          <w:p w14:paraId="41E90B55" w14:textId="00E92A3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-1,674</w:t>
            </w:r>
          </w:p>
        </w:tc>
        <w:tc>
          <w:tcPr>
            <w:tcW w:w="467" w:type="pct"/>
            <w:tcBorders>
              <w:top w:val="nil"/>
              <w:left w:val="nil"/>
              <w:bottom w:val="nil"/>
              <w:right w:val="nil"/>
            </w:tcBorders>
            <w:shd w:val="clear" w:color="auto" w:fill="B4C6E7"/>
            <w:noWrap/>
            <w:vAlign w:val="center"/>
          </w:tcPr>
          <w:p w14:paraId="2464823D" w14:textId="044BCF45"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164</w:t>
            </w:r>
          </w:p>
        </w:tc>
        <w:tc>
          <w:tcPr>
            <w:tcW w:w="469" w:type="pct"/>
            <w:tcBorders>
              <w:top w:val="nil"/>
              <w:left w:val="nil"/>
              <w:bottom w:val="nil"/>
              <w:right w:val="nil"/>
            </w:tcBorders>
            <w:shd w:val="clear" w:color="auto" w:fill="B4C6E7"/>
            <w:noWrap/>
            <w:vAlign w:val="center"/>
          </w:tcPr>
          <w:p w14:paraId="3EE52724" w14:textId="6B5B4D6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619</w:t>
            </w:r>
          </w:p>
        </w:tc>
        <w:tc>
          <w:tcPr>
            <w:tcW w:w="390" w:type="pct"/>
            <w:tcBorders>
              <w:top w:val="nil"/>
              <w:left w:val="nil"/>
              <w:bottom w:val="nil"/>
              <w:right w:val="nil"/>
            </w:tcBorders>
            <w:shd w:val="clear" w:color="auto" w:fill="B4C6E7"/>
            <w:noWrap/>
            <w:vAlign w:val="center"/>
          </w:tcPr>
          <w:p w14:paraId="781B66C4" w14:textId="50D9813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4E427379" w14:textId="06806F8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6654D5FA" w14:textId="007CFDF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107,177</w:t>
            </w:r>
          </w:p>
        </w:tc>
      </w:tr>
      <w:tr w:rsidR="004F7DFA" w:rsidRPr="00DA4CC8" w14:paraId="2EEA7E4E" w14:textId="77777777" w:rsidTr="00DA4CC8">
        <w:trPr>
          <w:trHeight w:val="227"/>
        </w:trPr>
        <w:tc>
          <w:tcPr>
            <w:tcW w:w="1094" w:type="pct"/>
            <w:tcBorders>
              <w:top w:val="nil"/>
              <w:left w:val="nil"/>
              <w:bottom w:val="nil"/>
              <w:right w:val="nil"/>
            </w:tcBorders>
            <w:shd w:val="clear" w:color="auto" w:fill="auto"/>
            <w:vAlign w:val="center"/>
            <w:hideMark/>
          </w:tcPr>
          <w:p w14:paraId="5ACFFF0E"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ENI UK Ltd</w:t>
            </w:r>
          </w:p>
        </w:tc>
        <w:tc>
          <w:tcPr>
            <w:tcW w:w="547" w:type="pct"/>
            <w:tcBorders>
              <w:top w:val="nil"/>
              <w:left w:val="nil"/>
              <w:bottom w:val="nil"/>
              <w:right w:val="nil"/>
            </w:tcBorders>
            <w:shd w:val="clear" w:color="auto" w:fill="auto"/>
            <w:noWrap/>
            <w:vAlign w:val="center"/>
          </w:tcPr>
          <w:p w14:paraId="78789D7D" w14:textId="6022722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212,230</w:t>
            </w:r>
          </w:p>
        </w:tc>
        <w:tc>
          <w:tcPr>
            <w:tcW w:w="547" w:type="pct"/>
            <w:tcBorders>
              <w:top w:val="nil"/>
              <w:left w:val="nil"/>
              <w:bottom w:val="nil"/>
              <w:right w:val="nil"/>
            </w:tcBorders>
            <w:shd w:val="clear" w:color="auto" w:fill="auto"/>
            <w:vAlign w:val="center"/>
          </w:tcPr>
          <w:p w14:paraId="3E595A1A" w14:textId="580C8C0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200,103</w:t>
            </w:r>
          </w:p>
        </w:tc>
        <w:tc>
          <w:tcPr>
            <w:tcW w:w="546" w:type="pct"/>
            <w:tcBorders>
              <w:top w:val="nil"/>
              <w:left w:val="nil"/>
              <w:bottom w:val="nil"/>
              <w:right w:val="nil"/>
            </w:tcBorders>
            <w:shd w:val="clear" w:color="auto" w:fill="auto"/>
            <w:noWrap/>
            <w:vAlign w:val="center"/>
          </w:tcPr>
          <w:p w14:paraId="71CD03FC" w14:textId="0C051C15"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-254</w:t>
            </w:r>
          </w:p>
        </w:tc>
        <w:tc>
          <w:tcPr>
            <w:tcW w:w="467" w:type="pct"/>
            <w:tcBorders>
              <w:top w:val="nil"/>
              <w:left w:val="nil"/>
              <w:bottom w:val="nil"/>
              <w:right w:val="nil"/>
            </w:tcBorders>
            <w:shd w:val="clear" w:color="auto" w:fill="auto"/>
            <w:noWrap/>
            <w:vAlign w:val="center"/>
          </w:tcPr>
          <w:p w14:paraId="611ED594" w14:textId="28B633C1"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1,040</w:t>
            </w:r>
          </w:p>
        </w:tc>
        <w:tc>
          <w:tcPr>
            <w:tcW w:w="469" w:type="pct"/>
            <w:tcBorders>
              <w:top w:val="nil"/>
              <w:left w:val="nil"/>
              <w:bottom w:val="nil"/>
              <w:right w:val="nil"/>
            </w:tcBorders>
            <w:shd w:val="clear" w:color="auto" w:fill="auto"/>
            <w:noWrap/>
            <w:vAlign w:val="center"/>
          </w:tcPr>
          <w:p w14:paraId="76F4727E" w14:textId="70EC2EF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474</w:t>
            </w:r>
          </w:p>
        </w:tc>
        <w:tc>
          <w:tcPr>
            <w:tcW w:w="390" w:type="pct"/>
            <w:tcBorders>
              <w:top w:val="nil"/>
              <w:left w:val="nil"/>
              <w:bottom w:val="nil"/>
              <w:right w:val="nil"/>
            </w:tcBorders>
            <w:shd w:val="clear" w:color="auto" w:fill="auto"/>
            <w:noWrap/>
            <w:vAlign w:val="center"/>
          </w:tcPr>
          <w:p w14:paraId="1AD942E9" w14:textId="433FDAD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1BE8B74B" w14:textId="0843884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49CC7922" w14:textId="272ACB2C"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413,593</w:t>
            </w:r>
          </w:p>
        </w:tc>
      </w:tr>
      <w:tr w:rsidR="00FD3AEF" w:rsidRPr="00DA4CC8" w14:paraId="69EC454A" w14:textId="77777777" w:rsidTr="4FAFC775">
        <w:trPr>
          <w:trHeight w:val="227"/>
        </w:trPr>
        <w:tc>
          <w:tcPr>
            <w:tcW w:w="1094" w:type="pct"/>
            <w:tcBorders>
              <w:top w:val="nil"/>
              <w:left w:val="nil"/>
              <w:bottom w:val="nil"/>
              <w:right w:val="nil"/>
            </w:tcBorders>
            <w:shd w:val="clear" w:color="auto" w:fill="B4C6E7"/>
            <w:vAlign w:val="center"/>
            <w:hideMark/>
          </w:tcPr>
          <w:p w14:paraId="4A1FC08E"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EnQuest Plc</w:t>
            </w:r>
          </w:p>
        </w:tc>
        <w:tc>
          <w:tcPr>
            <w:tcW w:w="547" w:type="pct"/>
            <w:tcBorders>
              <w:top w:val="nil"/>
              <w:left w:val="nil"/>
              <w:bottom w:val="nil"/>
              <w:right w:val="nil"/>
            </w:tcBorders>
            <w:shd w:val="clear" w:color="auto" w:fill="B4C6E7"/>
            <w:noWrap/>
            <w:vAlign w:val="center"/>
          </w:tcPr>
          <w:p w14:paraId="3F2AF282" w14:textId="3F4B48A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17,683</w:t>
            </w:r>
          </w:p>
        </w:tc>
        <w:tc>
          <w:tcPr>
            <w:tcW w:w="547" w:type="pct"/>
            <w:tcBorders>
              <w:top w:val="nil"/>
              <w:left w:val="nil"/>
              <w:bottom w:val="nil"/>
              <w:right w:val="nil"/>
            </w:tcBorders>
            <w:shd w:val="clear" w:color="auto" w:fill="B4C6E7"/>
            <w:vAlign w:val="center"/>
          </w:tcPr>
          <w:p w14:paraId="31ADD40A" w14:textId="7464EFA3"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282</w:t>
            </w:r>
          </w:p>
        </w:tc>
        <w:tc>
          <w:tcPr>
            <w:tcW w:w="546" w:type="pct"/>
            <w:tcBorders>
              <w:top w:val="nil"/>
              <w:left w:val="nil"/>
              <w:bottom w:val="nil"/>
              <w:right w:val="nil"/>
            </w:tcBorders>
            <w:shd w:val="clear" w:color="auto" w:fill="B4C6E7"/>
            <w:noWrap/>
            <w:vAlign w:val="center"/>
          </w:tcPr>
          <w:p w14:paraId="1EF65388" w14:textId="73E7FDA4"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6AEF3908" w14:textId="2FD3320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1,307</w:t>
            </w:r>
          </w:p>
        </w:tc>
        <w:tc>
          <w:tcPr>
            <w:tcW w:w="469" w:type="pct"/>
            <w:tcBorders>
              <w:top w:val="nil"/>
              <w:left w:val="nil"/>
              <w:bottom w:val="nil"/>
              <w:right w:val="nil"/>
            </w:tcBorders>
            <w:shd w:val="clear" w:color="auto" w:fill="B4C6E7"/>
            <w:noWrap/>
            <w:vAlign w:val="center"/>
          </w:tcPr>
          <w:p w14:paraId="766BE3AF" w14:textId="5433A85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690</w:t>
            </w:r>
          </w:p>
        </w:tc>
        <w:tc>
          <w:tcPr>
            <w:tcW w:w="390" w:type="pct"/>
            <w:tcBorders>
              <w:top w:val="nil"/>
              <w:left w:val="nil"/>
              <w:bottom w:val="nil"/>
              <w:right w:val="nil"/>
            </w:tcBorders>
            <w:shd w:val="clear" w:color="auto" w:fill="B4C6E7"/>
            <w:noWrap/>
            <w:vAlign w:val="center"/>
          </w:tcPr>
          <w:p w14:paraId="240AB37A" w14:textId="03BBA0E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hideMark/>
          </w:tcPr>
          <w:p w14:paraId="49940F62" w14:textId="2024CFB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113</w:t>
            </w:r>
          </w:p>
        </w:tc>
        <w:tc>
          <w:tcPr>
            <w:tcW w:w="548" w:type="pct"/>
            <w:tcBorders>
              <w:top w:val="nil"/>
              <w:left w:val="nil"/>
              <w:bottom w:val="nil"/>
              <w:right w:val="nil"/>
            </w:tcBorders>
            <w:shd w:val="clear" w:color="auto" w:fill="B4C6E7"/>
            <w:noWrap/>
            <w:vAlign w:val="center"/>
            <w:hideMark/>
          </w:tcPr>
          <w:p w14:paraId="501F080E" w14:textId="4C87BF9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20,074</w:t>
            </w:r>
          </w:p>
        </w:tc>
      </w:tr>
      <w:tr w:rsidR="004F7DFA" w:rsidRPr="00DA4CC8" w14:paraId="10B14339" w14:textId="77777777" w:rsidTr="00DA4CC8">
        <w:trPr>
          <w:trHeight w:val="227"/>
        </w:trPr>
        <w:tc>
          <w:tcPr>
            <w:tcW w:w="1094" w:type="pct"/>
            <w:tcBorders>
              <w:top w:val="nil"/>
              <w:left w:val="nil"/>
              <w:bottom w:val="nil"/>
              <w:right w:val="nil"/>
            </w:tcBorders>
            <w:shd w:val="clear" w:color="auto" w:fill="auto"/>
            <w:vAlign w:val="center"/>
            <w:hideMark/>
          </w:tcPr>
          <w:p w14:paraId="70794BA6" w14:textId="11E84778"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Equinor UK Ltd</w:t>
            </w:r>
          </w:p>
        </w:tc>
        <w:tc>
          <w:tcPr>
            <w:tcW w:w="547" w:type="pct"/>
            <w:tcBorders>
              <w:top w:val="nil"/>
              <w:left w:val="nil"/>
              <w:bottom w:val="nil"/>
              <w:right w:val="nil"/>
            </w:tcBorders>
            <w:shd w:val="clear" w:color="auto" w:fill="auto"/>
            <w:noWrap/>
            <w:vAlign w:val="center"/>
          </w:tcPr>
          <w:p w14:paraId="7858013C" w14:textId="2CCCA763"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12,316</w:t>
            </w:r>
          </w:p>
        </w:tc>
        <w:tc>
          <w:tcPr>
            <w:tcW w:w="547" w:type="pct"/>
            <w:tcBorders>
              <w:top w:val="nil"/>
              <w:left w:val="nil"/>
              <w:bottom w:val="nil"/>
              <w:right w:val="nil"/>
            </w:tcBorders>
            <w:shd w:val="clear" w:color="auto" w:fill="auto"/>
            <w:vAlign w:val="center"/>
          </w:tcPr>
          <w:p w14:paraId="3AE43389" w14:textId="5F4A2D2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7,846</w:t>
            </w:r>
          </w:p>
        </w:tc>
        <w:tc>
          <w:tcPr>
            <w:tcW w:w="546" w:type="pct"/>
            <w:tcBorders>
              <w:top w:val="nil"/>
              <w:left w:val="nil"/>
              <w:bottom w:val="nil"/>
              <w:right w:val="nil"/>
            </w:tcBorders>
            <w:shd w:val="clear" w:color="auto" w:fill="auto"/>
            <w:noWrap/>
            <w:vAlign w:val="center"/>
          </w:tcPr>
          <w:p w14:paraId="672A080F" w14:textId="25FA833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528420FB" w14:textId="5CCDCB0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2,519</w:t>
            </w:r>
          </w:p>
        </w:tc>
        <w:tc>
          <w:tcPr>
            <w:tcW w:w="469" w:type="pct"/>
            <w:tcBorders>
              <w:top w:val="nil"/>
              <w:left w:val="nil"/>
              <w:bottom w:val="nil"/>
              <w:right w:val="nil"/>
            </w:tcBorders>
            <w:shd w:val="clear" w:color="auto" w:fill="auto"/>
            <w:noWrap/>
            <w:vAlign w:val="center"/>
          </w:tcPr>
          <w:p w14:paraId="31F22EDA" w14:textId="5DF19E15"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1,246</w:t>
            </w:r>
          </w:p>
        </w:tc>
        <w:tc>
          <w:tcPr>
            <w:tcW w:w="390" w:type="pct"/>
            <w:tcBorders>
              <w:top w:val="nil"/>
              <w:left w:val="nil"/>
              <w:bottom w:val="nil"/>
              <w:right w:val="nil"/>
            </w:tcBorders>
            <w:shd w:val="clear" w:color="auto" w:fill="auto"/>
            <w:noWrap/>
            <w:vAlign w:val="center"/>
          </w:tcPr>
          <w:p w14:paraId="32FC29BA" w14:textId="5019AC1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0ED997D2" w14:textId="70AEAB8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4CA1FF32" w14:textId="3310E9DE"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23,927</w:t>
            </w:r>
          </w:p>
        </w:tc>
      </w:tr>
      <w:tr w:rsidR="00FD3AEF" w:rsidRPr="00DA4CC8" w14:paraId="7C5A073D" w14:textId="77777777" w:rsidTr="4FAFC775">
        <w:trPr>
          <w:trHeight w:val="227"/>
        </w:trPr>
        <w:tc>
          <w:tcPr>
            <w:tcW w:w="1094" w:type="pct"/>
            <w:tcBorders>
              <w:top w:val="nil"/>
              <w:left w:val="nil"/>
              <w:bottom w:val="nil"/>
              <w:right w:val="nil"/>
            </w:tcBorders>
            <w:shd w:val="clear" w:color="auto" w:fill="B4C6E7"/>
            <w:vAlign w:val="center"/>
            <w:hideMark/>
          </w:tcPr>
          <w:p w14:paraId="7E7EC9CE" w14:textId="760E5A89"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Everard Energy Ltd</w:t>
            </w:r>
            <w:r w:rsidRPr="00DA4CC8">
              <w:rPr>
                <w:rStyle w:val="FootnoteReference"/>
                <w:rFonts w:ascii="Arial" w:eastAsia="Times New Roman" w:hAnsi="Arial" w:cs="Arial"/>
                <w:color w:val="000000"/>
                <w:sz w:val="15"/>
                <w:szCs w:val="15"/>
                <w:lang w:eastAsia="en-GB"/>
              </w:rPr>
              <w:footnoteReference w:id="5"/>
            </w:r>
          </w:p>
        </w:tc>
        <w:tc>
          <w:tcPr>
            <w:tcW w:w="547" w:type="pct"/>
            <w:tcBorders>
              <w:top w:val="nil"/>
              <w:left w:val="nil"/>
              <w:bottom w:val="nil"/>
              <w:right w:val="nil"/>
            </w:tcBorders>
            <w:shd w:val="clear" w:color="auto" w:fill="B4C6E7"/>
            <w:noWrap/>
            <w:vAlign w:val="center"/>
          </w:tcPr>
          <w:p w14:paraId="6110D8F2" w14:textId="423E391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120</w:t>
            </w:r>
          </w:p>
        </w:tc>
        <w:tc>
          <w:tcPr>
            <w:tcW w:w="547" w:type="pct"/>
            <w:tcBorders>
              <w:top w:val="nil"/>
              <w:left w:val="nil"/>
              <w:bottom w:val="nil"/>
              <w:right w:val="nil"/>
            </w:tcBorders>
            <w:shd w:val="clear" w:color="auto" w:fill="B4C6E7"/>
            <w:vAlign w:val="center"/>
          </w:tcPr>
          <w:p w14:paraId="54548CB1"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B4C6E7"/>
            <w:noWrap/>
            <w:vAlign w:val="center"/>
          </w:tcPr>
          <w:p w14:paraId="1936A2C8" w14:textId="650FB0A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600F8BAD" w14:textId="74A4170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B4C6E7"/>
            <w:noWrap/>
            <w:vAlign w:val="center"/>
          </w:tcPr>
          <w:p w14:paraId="4F6E4E74" w14:textId="00E25CBC"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B4C6E7"/>
            <w:noWrap/>
            <w:vAlign w:val="center"/>
          </w:tcPr>
          <w:p w14:paraId="55C4937A" w14:textId="03EBE233"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715A9944" w14:textId="77F780D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3BB6BFC3" w14:textId="03B0CE19"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120</w:t>
            </w:r>
          </w:p>
        </w:tc>
      </w:tr>
      <w:tr w:rsidR="004F7DFA" w:rsidRPr="00DA4CC8" w14:paraId="55279EB1" w14:textId="77777777" w:rsidTr="00DA4CC8">
        <w:trPr>
          <w:trHeight w:val="227"/>
        </w:trPr>
        <w:tc>
          <w:tcPr>
            <w:tcW w:w="1094" w:type="pct"/>
            <w:tcBorders>
              <w:top w:val="nil"/>
              <w:left w:val="nil"/>
              <w:bottom w:val="nil"/>
              <w:right w:val="nil"/>
            </w:tcBorders>
            <w:shd w:val="clear" w:color="auto" w:fill="auto"/>
            <w:vAlign w:val="center"/>
            <w:hideMark/>
          </w:tcPr>
          <w:p w14:paraId="05FF2CDF"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ExxonMobil International Ltd</w:t>
            </w:r>
          </w:p>
        </w:tc>
        <w:tc>
          <w:tcPr>
            <w:tcW w:w="547" w:type="pct"/>
            <w:tcBorders>
              <w:top w:val="nil"/>
              <w:left w:val="nil"/>
              <w:bottom w:val="nil"/>
              <w:right w:val="nil"/>
            </w:tcBorders>
            <w:shd w:val="clear" w:color="auto" w:fill="auto"/>
            <w:noWrap/>
            <w:vAlign w:val="center"/>
          </w:tcPr>
          <w:p w14:paraId="29691266" w14:textId="4FBFCBD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77,000</w:t>
            </w:r>
          </w:p>
        </w:tc>
        <w:tc>
          <w:tcPr>
            <w:tcW w:w="547" w:type="pct"/>
            <w:tcBorders>
              <w:top w:val="nil"/>
              <w:left w:val="nil"/>
              <w:bottom w:val="nil"/>
              <w:right w:val="nil"/>
            </w:tcBorders>
            <w:shd w:val="clear" w:color="auto" w:fill="auto"/>
            <w:vAlign w:val="center"/>
          </w:tcPr>
          <w:p w14:paraId="7281F00B" w14:textId="3BB35BE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19,465</w:t>
            </w:r>
          </w:p>
        </w:tc>
        <w:tc>
          <w:tcPr>
            <w:tcW w:w="546" w:type="pct"/>
            <w:tcBorders>
              <w:top w:val="nil"/>
              <w:left w:val="nil"/>
              <w:bottom w:val="nil"/>
              <w:right w:val="nil"/>
            </w:tcBorders>
            <w:shd w:val="clear" w:color="auto" w:fill="auto"/>
            <w:noWrap/>
            <w:vAlign w:val="center"/>
          </w:tcPr>
          <w:p w14:paraId="2076F5D4" w14:textId="3B13098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-58,794</w:t>
            </w:r>
          </w:p>
        </w:tc>
        <w:tc>
          <w:tcPr>
            <w:tcW w:w="467" w:type="pct"/>
            <w:tcBorders>
              <w:top w:val="nil"/>
              <w:left w:val="nil"/>
              <w:bottom w:val="nil"/>
              <w:right w:val="nil"/>
            </w:tcBorders>
            <w:shd w:val="clear" w:color="auto" w:fill="auto"/>
            <w:noWrap/>
            <w:vAlign w:val="center"/>
          </w:tcPr>
          <w:p w14:paraId="0EC19225" w14:textId="5D6AFFEF"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sz w:val="15"/>
                <w:szCs w:val="15"/>
                <w:lang w:eastAsia="en-GB"/>
              </w:rPr>
              <w:t>2</w:t>
            </w:r>
          </w:p>
        </w:tc>
        <w:tc>
          <w:tcPr>
            <w:tcW w:w="469" w:type="pct"/>
            <w:tcBorders>
              <w:top w:val="nil"/>
              <w:left w:val="nil"/>
              <w:bottom w:val="nil"/>
              <w:right w:val="nil"/>
            </w:tcBorders>
            <w:shd w:val="clear" w:color="auto" w:fill="auto"/>
            <w:noWrap/>
            <w:vAlign w:val="center"/>
          </w:tcPr>
          <w:p w14:paraId="33105DE6" w14:textId="070C38E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15EF0CD6" w14:textId="0B516AF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0ECC1DC6" w14:textId="6D16521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479EF8F7" w14:textId="00C14AC3"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37,673</w:t>
            </w:r>
          </w:p>
        </w:tc>
      </w:tr>
      <w:tr w:rsidR="00FD3AEF" w:rsidRPr="00DA4CC8" w14:paraId="5E6E7CF3" w14:textId="77777777" w:rsidTr="4FAFC775">
        <w:trPr>
          <w:trHeight w:val="227"/>
        </w:trPr>
        <w:tc>
          <w:tcPr>
            <w:tcW w:w="1094" w:type="pct"/>
            <w:tcBorders>
              <w:top w:val="nil"/>
              <w:left w:val="nil"/>
              <w:bottom w:val="nil"/>
              <w:right w:val="nil"/>
            </w:tcBorders>
            <w:shd w:val="clear" w:color="auto" w:fill="B4C6E7"/>
            <w:vAlign w:val="center"/>
            <w:hideMark/>
          </w:tcPr>
          <w:p w14:paraId="038F385F" w14:textId="77777777" w:rsidR="00963096" w:rsidRPr="00DA4CC8" w:rsidRDefault="00963096" w:rsidP="00C56292">
            <w:pPr>
              <w:spacing w:after="0" w:line="240" w:lineRule="auto"/>
              <w:rPr>
                <w:rFonts w:ascii="Arial" w:eastAsia="Times New Roman" w:hAnsi="Arial" w:cs="Arial"/>
                <w:color w:val="000000"/>
                <w:sz w:val="15"/>
                <w:szCs w:val="15"/>
                <w:lang w:eastAsia="en-GB"/>
              </w:rPr>
            </w:pPr>
            <w:bookmarkStart w:id="46" w:name="_Hlk179876422"/>
            <w:r w:rsidRPr="00DA4CC8">
              <w:rPr>
                <w:rFonts w:ascii="Arial" w:eastAsia="Times New Roman" w:hAnsi="Arial" w:cs="Arial"/>
                <w:color w:val="000000"/>
                <w:sz w:val="15"/>
                <w:szCs w:val="15"/>
                <w:lang w:eastAsia="en-GB"/>
              </w:rPr>
              <w:t>Harbour Energy Plc</w:t>
            </w:r>
            <w:bookmarkEnd w:id="46"/>
            <w:r w:rsidRPr="00DA4CC8">
              <w:rPr>
                <w:rFonts w:ascii="Arial" w:eastAsia="Times New Roman" w:hAnsi="Arial" w:cs="Arial"/>
                <w:color w:val="000000"/>
                <w:sz w:val="15"/>
                <w:szCs w:val="15"/>
                <w:lang w:eastAsia="en-GB"/>
              </w:rPr>
              <w:t xml:space="preserve"> </w:t>
            </w:r>
          </w:p>
        </w:tc>
        <w:tc>
          <w:tcPr>
            <w:tcW w:w="547" w:type="pct"/>
            <w:tcBorders>
              <w:top w:val="nil"/>
              <w:left w:val="nil"/>
              <w:bottom w:val="nil"/>
              <w:right w:val="nil"/>
            </w:tcBorders>
            <w:shd w:val="clear" w:color="auto" w:fill="B4C6E7"/>
            <w:noWrap/>
            <w:vAlign w:val="center"/>
          </w:tcPr>
          <w:p w14:paraId="28724272" w14:textId="35CABED5"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312,500</w:t>
            </w:r>
          </w:p>
        </w:tc>
        <w:tc>
          <w:tcPr>
            <w:tcW w:w="547" w:type="pct"/>
            <w:tcBorders>
              <w:top w:val="nil"/>
              <w:left w:val="nil"/>
              <w:bottom w:val="nil"/>
              <w:right w:val="nil"/>
            </w:tcBorders>
            <w:shd w:val="clear" w:color="auto" w:fill="B4C6E7"/>
            <w:vAlign w:val="center"/>
          </w:tcPr>
          <w:p w14:paraId="026BE70E" w14:textId="6ADA91B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13,623</w:t>
            </w:r>
          </w:p>
        </w:tc>
        <w:tc>
          <w:tcPr>
            <w:tcW w:w="546" w:type="pct"/>
            <w:tcBorders>
              <w:top w:val="nil"/>
              <w:left w:val="nil"/>
              <w:bottom w:val="nil"/>
              <w:right w:val="nil"/>
            </w:tcBorders>
            <w:shd w:val="clear" w:color="auto" w:fill="B4C6E7"/>
            <w:noWrap/>
            <w:vAlign w:val="center"/>
          </w:tcPr>
          <w:p w14:paraId="3D1D3F9C" w14:textId="6461525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-6,970</w:t>
            </w:r>
          </w:p>
        </w:tc>
        <w:tc>
          <w:tcPr>
            <w:tcW w:w="467" w:type="pct"/>
            <w:tcBorders>
              <w:top w:val="nil"/>
              <w:left w:val="nil"/>
              <w:bottom w:val="nil"/>
              <w:right w:val="nil"/>
            </w:tcBorders>
            <w:shd w:val="clear" w:color="auto" w:fill="B4C6E7"/>
            <w:noWrap/>
            <w:vAlign w:val="center"/>
          </w:tcPr>
          <w:p w14:paraId="261E1C8A" w14:textId="194A78BA"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4,894</w:t>
            </w:r>
          </w:p>
        </w:tc>
        <w:tc>
          <w:tcPr>
            <w:tcW w:w="469" w:type="pct"/>
            <w:tcBorders>
              <w:top w:val="nil"/>
              <w:left w:val="nil"/>
              <w:bottom w:val="nil"/>
              <w:right w:val="nil"/>
            </w:tcBorders>
            <w:shd w:val="clear" w:color="auto" w:fill="B4C6E7"/>
            <w:noWrap/>
            <w:vAlign w:val="center"/>
          </w:tcPr>
          <w:p w14:paraId="6C399DF1" w14:textId="59063D0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3,706</w:t>
            </w:r>
          </w:p>
        </w:tc>
        <w:tc>
          <w:tcPr>
            <w:tcW w:w="390" w:type="pct"/>
            <w:tcBorders>
              <w:top w:val="nil"/>
              <w:left w:val="nil"/>
              <w:bottom w:val="nil"/>
              <w:right w:val="nil"/>
            </w:tcBorders>
            <w:shd w:val="clear" w:color="auto" w:fill="B4C6E7"/>
            <w:noWrap/>
            <w:vAlign w:val="center"/>
            <w:hideMark/>
          </w:tcPr>
          <w:p w14:paraId="796D0F26" w14:textId="5215B0B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511</w:t>
            </w:r>
          </w:p>
        </w:tc>
        <w:tc>
          <w:tcPr>
            <w:tcW w:w="392" w:type="pct"/>
            <w:tcBorders>
              <w:top w:val="nil"/>
              <w:left w:val="nil"/>
              <w:bottom w:val="nil"/>
              <w:right w:val="nil"/>
            </w:tcBorders>
            <w:shd w:val="clear" w:color="auto" w:fill="B4C6E7"/>
            <w:noWrap/>
            <w:vAlign w:val="center"/>
            <w:hideMark/>
          </w:tcPr>
          <w:p w14:paraId="67EB1485" w14:textId="6FF638A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157</w:t>
            </w:r>
          </w:p>
        </w:tc>
        <w:tc>
          <w:tcPr>
            <w:tcW w:w="548" w:type="pct"/>
            <w:tcBorders>
              <w:top w:val="nil"/>
              <w:left w:val="nil"/>
              <w:bottom w:val="nil"/>
              <w:right w:val="nil"/>
            </w:tcBorders>
            <w:shd w:val="clear" w:color="auto" w:fill="B4C6E7"/>
            <w:noWrap/>
            <w:vAlign w:val="center"/>
            <w:hideMark/>
          </w:tcPr>
          <w:p w14:paraId="407F2BED" w14:textId="2B773ABB"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328,422</w:t>
            </w:r>
          </w:p>
        </w:tc>
      </w:tr>
      <w:tr w:rsidR="004F7DFA" w:rsidRPr="00DA4CC8" w14:paraId="556B140C" w14:textId="77777777" w:rsidTr="00DA4CC8">
        <w:trPr>
          <w:trHeight w:val="227"/>
        </w:trPr>
        <w:tc>
          <w:tcPr>
            <w:tcW w:w="1094" w:type="pct"/>
            <w:tcBorders>
              <w:top w:val="nil"/>
              <w:left w:val="nil"/>
              <w:bottom w:val="nil"/>
              <w:right w:val="nil"/>
            </w:tcBorders>
            <w:shd w:val="clear" w:color="auto" w:fill="auto"/>
            <w:vAlign w:val="center"/>
            <w:hideMark/>
          </w:tcPr>
          <w:p w14:paraId="440601EC" w14:textId="7A8FD09E"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Humbly Grove Energy Ltd</w:t>
            </w:r>
          </w:p>
        </w:tc>
        <w:tc>
          <w:tcPr>
            <w:tcW w:w="547" w:type="pct"/>
            <w:tcBorders>
              <w:top w:val="nil"/>
              <w:left w:val="nil"/>
              <w:bottom w:val="nil"/>
              <w:right w:val="nil"/>
            </w:tcBorders>
            <w:shd w:val="clear" w:color="auto" w:fill="auto"/>
            <w:noWrap/>
            <w:vAlign w:val="center"/>
          </w:tcPr>
          <w:p w14:paraId="35848E5B" w14:textId="3E07B1D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3F0A9B8A" w14:textId="5E15655C"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1,178</w:t>
            </w:r>
          </w:p>
        </w:tc>
        <w:tc>
          <w:tcPr>
            <w:tcW w:w="546" w:type="pct"/>
            <w:tcBorders>
              <w:top w:val="nil"/>
              <w:left w:val="nil"/>
              <w:bottom w:val="nil"/>
              <w:right w:val="nil"/>
            </w:tcBorders>
            <w:shd w:val="clear" w:color="auto" w:fill="auto"/>
            <w:noWrap/>
            <w:vAlign w:val="center"/>
          </w:tcPr>
          <w:p w14:paraId="3476665E" w14:textId="084F46D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3D41F9A4" w14:textId="5F601DF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w:t>
            </w:r>
          </w:p>
        </w:tc>
        <w:tc>
          <w:tcPr>
            <w:tcW w:w="469" w:type="pct"/>
            <w:tcBorders>
              <w:top w:val="nil"/>
              <w:left w:val="nil"/>
              <w:bottom w:val="nil"/>
              <w:right w:val="nil"/>
            </w:tcBorders>
            <w:shd w:val="clear" w:color="auto" w:fill="auto"/>
            <w:noWrap/>
            <w:vAlign w:val="center"/>
          </w:tcPr>
          <w:p w14:paraId="2712EC16" w14:textId="6DD370F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1BF7C3DD" w14:textId="3366122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0B21ADC9" w14:textId="56FFEE4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2614A9D9" w14:textId="0304F981"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1,190</w:t>
            </w:r>
          </w:p>
        </w:tc>
      </w:tr>
      <w:tr w:rsidR="00FD3AEF" w:rsidRPr="00DA4CC8" w14:paraId="29B8DA7B" w14:textId="77777777" w:rsidTr="4FAFC775">
        <w:trPr>
          <w:trHeight w:val="227"/>
        </w:trPr>
        <w:tc>
          <w:tcPr>
            <w:tcW w:w="1094" w:type="pct"/>
            <w:tcBorders>
              <w:top w:val="nil"/>
              <w:left w:val="nil"/>
              <w:bottom w:val="nil"/>
              <w:right w:val="nil"/>
            </w:tcBorders>
            <w:shd w:val="clear" w:color="auto" w:fill="B4C6E7"/>
            <w:vAlign w:val="center"/>
            <w:hideMark/>
          </w:tcPr>
          <w:p w14:paraId="735FDCFE"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INEOS Industries</w:t>
            </w:r>
          </w:p>
        </w:tc>
        <w:tc>
          <w:tcPr>
            <w:tcW w:w="547" w:type="pct"/>
            <w:tcBorders>
              <w:top w:val="nil"/>
              <w:left w:val="nil"/>
              <w:bottom w:val="nil"/>
              <w:right w:val="nil"/>
            </w:tcBorders>
            <w:shd w:val="clear" w:color="auto" w:fill="B4C6E7"/>
            <w:noWrap/>
            <w:vAlign w:val="center"/>
          </w:tcPr>
          <w:p w14:paraId="3FADE89F" w14:textId="483D80D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39,991</w:t>
            </w:r>
          </w:p>
        </w:tc>
        <w:tc>
          <w:tcPr>
            <w:tcW w:w="547" w:type="pct"/>
            <w:tcBorders>
              <w:top w:val="nil"/>
              <w:left w:val="nil"/>
              <w:bottom w:val="nil"/>
              <w:right w:val="nil"/>
            </w:tcBorders>
            <w:shd w:val="clear" w:color="auto" w:fill="B4C6E7"/>
            <w:vAlign w:val="center"/>
          </w:tcPr>
          <w:p w14:paraId="48B49C87"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B4C6E7"/>
            <w:noWrap/>
            <w:vAlign w:val="center"/>
          </w:tcPr>
          <w:p w14:paraId="666D95CE" w14:textId="04A121D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-1,329</w:t>
            </w:r>
          </w:p>
        </w:tc>
        <w:tc>
          <w:tcPr>
            <w:tcW w:w="467" w:type="pct"/>
            <w:tcBorders>
              <w:top w:val="nil"/>
              <w:left w:val="nil"/>
              <w:bottom w:val="nil"/>
              <w:right w:val="nil"/>
            </w:tcBorders>
            <w:shd w:val="clear" w:color="auto" w:fill="B4C6E7"/>
            <w:noWrap/>
            <w:vAlign w:val="center"/>
          </w:tcPr>
          <w:p w14:paraId="1518DA94" w14:textId="056B7B0F"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1,024</w:t>
            </w:r>
          </w:p>
        </w:tc>
        <w:tc>
          <w:tcPr>
            <w:tcW w:w="469" w:type="pct"/>
            <w:tcBorders>
              <w:top w:val="nil"/>
              <w:left w:val="nil"/>
              <w:bottom w:val="nil"/>
              <w:right w:val="nil"/>
            </w:tcBorders>
            <w:shd w:val="clear" w:color="auto" w:fill="B4C6E7"/>
            <w:noWrap/>
            <w:vAlign w:val="center"/>
          </w:tcPr>
          <w:p w14:paraId="758611F7" w14:textId="075CA38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367</w:t>
            </w:r>
          </w:p>
        </w:tc>
        <w:tc>
          <w:tcPr>
            <w:tcW w:w="390" w:type="pct"/>
            <w:tcBorders>
              <w:top w:val="nil"/>
              <w:left w:val="nil"/>
              <w:bottom w:val="nil"/>
              <w:right w:val="nil"/>
            </w:tcBorders>
            <w:shd w:val="clear" w:color="auto" w:fill="B4C6E7"/>
            <w:noWrap/>
            <w:vAlign w:val="center"/>
            <w:hideMark/>
          </w:tcPr>
          <w:p w14:paraId="336C2565" w14:textId="0A971A6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183</w:t>
            </w:r>
          </w:p>
        </w:tc>
        <w:tc>
          <w:tcPr>
            <w:tcW w:w="392" w:type="pct"/>
            <w:tcBorders>
              <w:top w:val="nil"/>
              <w:left w:val="nil"/>
              <w:bottom w:val="nil"/>
              <w:right w:val="nil"/>
            </w:tcBorders>
            <w:shd w:val="clear" w:color="auto" w:fill="B4C6E7"/>
            <w:noWrap/>
            <w:vAlign w:val="center"/>
            <w:hideMark/>
          </w:tcPr>
          <w:p w14:paraId="56E3667C" w14:textId="07C06EC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223</w:t>
            </w:r>
          </w:p>
        </w:tc>
        <w:tc>
          <w:tcPr>
            <w:tcW w:w="548" w:type="pct"/>
            <w:tcBorders>
              <w:top w:val="nil"/>
              <w:left w:val="nil"/>
              <w:bottom w:val="nil"/>
              <w:right w:val="nil"/>
            </w:tcBorders>
            <w:shd w:val="clear" w:color="auto" w:fill="B4C6E7"/>
            <w:noWrap/>
            <w:vAlign w:val="center"/>
            <w:hideMark/>
          </w:tcPr>
          <w:p w14:paraId="6CDF983B" w14:textId="6791BE2C"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40,459</w:t>
            </w:r>
          </w:p>
        </w:tc>
      </w:tr>
      <w:tr w:rsidR="004F7DFA" w:rsidRPr="00DA4CC8" w14:paraId="314C8D95" w14:textId="77777777" w:rsidTr="00DA4CC8">
        <w:trPr>
          <w:trHeight w:val="227"/>
        </w:trPr>
        <w:tc>
          <w:tcPr>
            <w:tcW w:w="1094" w:type="pct"/>
            <w:tcBorders>
              <w:top w:val="nil"/>
              <w:left w:val="nil"/>
              <w:bottom w:val="nil"/>
              <w:right w:val="nil"/>
            </w:tcBorders>
            <w:shd w:val="clear" w:color="auto" w:fill="auto"/>
            <w:vAlign w:val="center"/>
            <w:hideMark/>
          </w:tcPr>
          <w:p w14:paraId="27432C46"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Iranian Oil Company (U.K.) Ltd</w:t>
            </w:r>
          </w:p>
        </w:tc>
        <w:tc>
          <w:tcPr>
            <w:tcW w:w="547" w:type="pct"/>
            <w:tcBorders>
              <w:top w:val="nil"/>
              <w:left w:val="nil"/>
              <w:bottom w:val="nil"/>
              <w:right w:val="nil"/>
            </w:tcBorders>
            <w:shd w:val="clear" w:color="auto" w:fill="auto"/>
            <w:noWrap/>
            <w:vAlign w:val="center"/>
          </w:tcPr>
          <w:p w14:paraId="57063DEA" w14:textId="6431BEF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78,835</w:t>
            </w:r>
          </w:p>
        </w:tc>
        <w:tc>
          <w:tcPr>
            <w:tcW w:w="547" w:type="pct"/>
            <w:tcBorders>
              <w:top w:val="nil"/>
              <w:left w:val="nil"/>
              <w:bottom w:val="nil"/>
              <w:right w:val="nil"/>
            </w:tcBorders>
            <w:shd w:val="clear" w:color="auto" w:fill="auto"/>
            <w:vAlign w:val="center"/>
          </w:tcPr>
          <w:p w14:paraId="67998D99" w14:textId="75DE5DB3"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104,491</w:t>
            </w:r>
          </w:p>
        </w:tc>
        <w:tc>
          <w:tcPr>
            <w:tcW w:w="546" w:type="pct"/>
            <w:tcBorders>
              <w:top w:val="nil"/>
              <w:left w:val="nil"/>
              <w:bottom w:val="nil"/>
              <w:right w:val="nil"/>
            </w:tcBorders>
            <w:shd w:val="clear" w:color="auto" w:fill="auto"/>
            <w:noWrap/>
            <w:vAlign w:val="center"/>
          </w:tcPr>
          <w:p w14:paraId="0A5CFC37" w14:textId="645D4FE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2C447A29" w14:textId="7B97404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auto"/>
            <w:noWrap/>
            <w:vAlign w:val="center"/>
          </w:tcPr>
          <w:p w14:paraId="5A0F48DD" w14:textId="1369AFA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176B3B8D" w14:textId="50E976C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07D84DF8" w14:textId="492B16A3"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1033C9FC" w14:textId="53217474"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183,326</w:t>
            </w:r>
          </w:p>
        </w:tc>
      </w:tr>
      <w:tr w:rsidR="00FD3AEF" w:rsidRPr="00DA4CC8" w14:paraId="4B4A71A7" w14:textId="77777777" w:rsidTr="4FAFC775">
        <w:trPr>
          <w:trHeight w:val="227"/>
        </w:trPr>
        <w:tc>
          <w:tcPr>
            <w:tcW w:w="1094" w:type="pct"/>
            <w:tcBorders>
              <w:top w:val="nil"/>
              <w:left w:val="nil"/>
              <w:bottom w:val="nil"/>
              <w:right w:val="nil"/>
            </w:tcBorders>
            <w:shd w:val="clear" w:color="auto" w:fill="B4C6E7"/>
            <w:vAlign w:val="center"/>
            <w:hideMark/>
          </w:tcPr>
          <w:p w14:paraId="66AA51E0" w14:textId="77777777" w:rsidR="00963096" w:rsidRPr="00DA4CC8" w:rsidRDefault="00963096" w:rsidP="00C56292">
            <w:pPr>
              <w:spacing w:after="0" w:line="240" w:lineRule="auto"/>
              <w:rPr>
                <w:rFonts w:ascii="Arial" w:eastAsia="Times New Roman" w:hAnsi="Arial" w:cs="Arial"/>
                <w:color w:val="000000"/>
                <w:sz w:val="15"/>
                <w:szCs w:val="15"/>
                <w:lang w:eastAsia="en-GB"/>
              </w:rPr>
            </w:pPr>
            <w:bookmarkStart w:id="47" w:name="_Hlk179876428"/>
            <w:r w:rsidRPr="00DA4CC8">
              <w:rPr>
                <w:rFonts w:ascii="Arial" w:eastAsia="Times New Roman" w:hAnsi="Arial" w:cs="Arial"/>
                <w:color w:val="000000"/>
                <w:sz w:val="15"/>
                <w:szCs w:val="15"/>
                <w:lang w:eastAsia="en-GB"/>
              </w:rPr>
              <w:t>Ithaca Energy UK</w:t>
            </w:r>
            <w:bookmarkEnd w:id="47"/>
          </w:p>
        </w:tc>
        <w:tc>
          <w:tcPr>
            <w:tcW w:w="547" w:type="pct"/>
            <w:tcBorders>
              <w:top w:val="nil"/>
              <w:left w:val="nil"/>
              <w:bottom w:val="nil"/>
              <w:right w:val="nil"/>
            </w:tcBorders>
            <w:shd w:val="clear" w:color="auto" w:fill="B4C6E7"/>
            <w:noWrap/>
            <w:vAlign w:val="center"/>
          </w:tcPr>
          <w:p w14:paraId="2F13DA63" w14:textId="7C787E6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73,500</w:t>
            </w:r>
          </w:p>
        </w:tc>
        <w:tc>
          <w:tcPr>
            <w:tcW w:w="547" w:type="pct"/>
            <w:tcBorders>
              <w:top w:val="nil"/>
              <w:left w:val="nil"/>
              <w:bottom w:val="nil"/>
              <w:right w:val="nil"/>
            </w:tcBorders>
            <w:shd w:val="clear" w:color="auto" w:fill="B4C6E7"/>
            <w:vAlign w:val="center"/>
          </w:tcPr>
          <w:p w14:paraId="6A68FFCA" w14:textId="6EBD8FB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72,010</w:t>
            </w:r>
          </w:p>
        </w:tc>
        <w:tc>
          <w:tcPr>
            <w:tcW w:w="546" w:type="pct"/>
            <w:tcBorders>
              <w:top w:val="nil"/>
              <w:left w:val="nil"/>
              <w:bottom w:val="nil"/>
              <w:right w:val="nil"/>
            </w:tcBorders>
            <w:shd w:val="clear" w:color="auto" w:fill="B4C6E7"/>
            <w:noWrap/>
            <w:vAlign w:val="center"/>
          </w:tcPr>
          <w:p w14:paraId="550CE9E3" w14:textId="349AD73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-172</w:t>
            </w:r>
          </w:p>
        </w:tc>
        <w:tc>
          <w:tcPr>
            <w:tcW w:w="467" w:type="pct"/>
            <w:tcBorders>
              <w:top w:val="nil"/>
              <w:left w:val="nil"/>
              <w:bottom w:val="nil"/>
              <w:right w:val="nil"/>
            </w:tcBorders>
            <w:shd w:val="clear" w:color="auto" w:fill="B4C6E7"/>
            <w:noWrap/>
            <w:vAlign w:val="center"/>
          </w:tcPr>
          <w:p w14:paraId="6B75828D" w14:textId="07F9300F"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3,322</w:t>
            </w:r>
          </w:p>
        </w:tc>
        <w:tc>
          <w:tcPr>
            <w:tcW w:w="469" w:type="pct"/>
            <w:tcBorders>
              <w:top w:val="nil"/>
              <w:left w:val="nil"/>
              <w:bottom w:val="nil"/>
              <w:right w:val="nil"/>
            </w:tcBorders>
            <w:shd w:val="clear" w:color="auto" w:fill="B4C6E7"/>
            <w:noWrap/>
            <w:vAlign w:val="center"/>
          </w:tcPr>
          <w:p w14:paraId="161E5A4E" w14:textId="7DB558A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1,079</w:t>
            </w:r>
          </w:p>
        </w:tc>
        <w:tc>
          <w:tcPr>
            <w:tcW w:w="390" w:type="pct"/>
            <w:tcBorders>
              <w:top w:val="nil"/>
              <w:left w:val="nil"/>
              <w:bottom w:val="nil"/>
              <w:right w:val="nil"/>
            </w:tcBorders>
            <w:shd w:val="clear" w:color="auto" w:fill="B4C6E7"/>
            <w:noWrap/>
            <w:vAlign w:val="center"/>
          </w:tcPr>
          <w:p w14:paraId="257B1836" w14:textId="277E703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7E5C9A18" w14:textId="15104F9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419079B0" w14:textId="7476D72A"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149,739</w:t>
            </w:r>
          </w:p>
        </w:tc>
      </w:tr>
      <w:tr w:rsidR="004F7DFA" w:rsidRPr="00DA4CC8" w14:paraId="0686C5B3" w14:textId="77777777" w:rsidTr="00DA4CC8">
        <w:trPr>
          <w:trHeight w:val="227"/>
        </w:trPr>
        <w:tc>
          <w:tcPr>
            <w:tcW w:w="1094" w:type="pct"/>
            <w:tcBorders>
              <w:top w:val="nil"/>
              <w:left w:val="nil"/>
              <w:bottom w:val="nil"/>
              <w:right w:val="nil"/>
            </w:tcBorders>
            <w:shd w:val="clear" w:color="auto" w:fill="auto"/>
            <w:vAlign w:val="center"/>
            <w:hideMark/>
          </w:tcPr>
          <w:p w14:paraId="35B59931"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Neo Energy</w:t>
            </w:r>
          </w:p>
        </w:tc>
        <w:tc>
          <w:tcPr>
            <w:tcW w:w="547" w:type="pct"/>
            <w:tcBorders>
              <w:top w:val="nil"/>
              <w:left w:val="nil"/>
              <w:bottom w:val="nil"/>
              <w:right w:val="nil"/>
            </w:tcBorders>
            <w:shd w:val="clear" w:color="auto" w:fill="auto"/>
            <w:noWrap/>
            <w:vAlign w:val="center"/>
          </w:tcPr>
          <w:p w14:paraId="12C2AD78" w14:textId="3597563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214,684</w:t>
            </w:r>
          </w:p>
        </w:tc>
        <w:tc>
          <w:tcPr>
            <w:tcW w:w="547" w:type="pct"/>
            <w:tcBorders>
              <w:top w:val="nil"/>
              <w:left w:val="nil"/>
              <w:bottom w:val="nil"/>
              <w:right w:val="nil"/>
            </w:tcBorders>
            <w:vAlign w:val="center"/>
          </w:tcPr>
          <w:p w14:paraId="48136246"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auto"/>
            <w:noWrap/>
            <w:vAlign w:val="center"/>
          </w:tcPr>
          <w:p w14:paraId="095A9C61" w14:textId="33404595"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-1,151</w:t>
            </w:r>
          </w:p>
        </w:tc>
        <w:tc>
          <w:tcPr>
            <w:tcW w:w="467" w:type="pct"/>
            <w:tcBorders>
              <w:top w:val="nil"/>
              <w:left w:val="nil"/>
              <w:bottom w:val="nil"/>
              <w:right w:val="nil"/>
            </w:tcBorders>
            <w:shd w:val="clear" w:color="auto" w:fill="auto"/>
            <w:noWrap/>
            <w:vAlign w:val="center"/>
          </w:tcPr>
          <w:p w14:paraId="742DF8AC" w14:textId="3117217D"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1,203</w:t>
            </w:r>
          </w:p>
        </w:tc>
        <w:tc>
          <w:tcPr>
            <w:tcW w:w="469" w:type="pct"/>
            <w:tcBorders>
              <w:top w:val="nil"/>
              <w:left w:val="nil"/>
              <w:bottom w:val="nil"/>
              <w:right w:val="nil"/>
            </w:tcBorders>
            <w:shd w:val="clear" w:color="auto" w:fill="auto"/>
            <w:noWrap/>
            <w:vAlign w:val="center"/>
          </w:tcPr>
          <w:p w14:paraId="22A9CA9C" w14:textId="5F6C870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821</w:t>
            </w:r>
          </w:p>
        </w:tc>
        <w:tc>
          <w:tcPr>
            <w:tcW w:w="390" w:type="pct"/>
            <w:tcBorders>
              <w:top w:val="nil"/>
              <w:left w:val="nil"/>
              <w:bottom w:val="nil"/>
              <w:right w:val="nil"/>
            </w:tcBorders>
            <w:shd w:val="clear" w:color="auto" w:fill="auto"/>
            <w:noWrap/>
            <w:vAlign w:val="center"/>
          </w:tcPr>
          <w:p w14:paraId="66CE7A57" w14:textId="38A378C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1A385A3D" w14:textId="2DCB498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auto"/>
            <w:noWrap/>
            <w:vAlign w:val="center"/>
            <w:hideMark/>
          </w:tcPr>
          <w:p w14:paraId="7EEA8895" w14:textId="7783443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215,558</w:t>
            </w:r>
          </w:p>
        </w:tc>
      </w:tr>
      <w:tr w:rsidR="00FD3AEF" w:rsidRPr="00DA4CC8" w14:paraId="1A2770EB" w14:textId="77777777" w:rsidTr="4FAFC775">
        <w:trPr>
          <w:trHeight w:val="227"/>
        </w:trPr>
        <w:tc>
          <w:tcPr>
            <w:tcW w:w="1094" w:type="pct"/>
            <w:tcBorders>
              <w:top w:val="nil"/>
              <w:left w:val="nil"/>
              <w:bottom w:val="nil"/>
              <w:right w:val="nil"/>
            </w:tcBorders>
            <w:shd w:val="clear" w:color="auto" w:fill="B4C6E7"/>
            <w:vAlign w:val="center"/>
            <w:hideMark/>
          </w:tcPr>
          <w:p w14:paraId="7B5B2A62" w14:textId="67D158A5"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Neptune Energy Group Ltd</w:t>
            </w:r>
          </w:p>
        </w:tc>
        <w:tc>
          <w:tcPr>
            <w:tcW w:w="547" w:type="pct"/>
            <w:tcBorders>
              <w:top w:val="nil"/>
              <w:left w:val="nil"/>
              <w:bottom w:val="nil"/>
              <w:right w:val="nil"/>
            </w:tcBorders>
            <w:shd w:val="clear" w:color="auto" w:fill="B4C6E7"/>
            <w:noWrap/>
            <w:vAlign w:val="center"/>
          </w:tcPr>
          <w:p w14:paraId="7375E0F1" w14:textId="09D4745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B4C6E7"/>
            <w:vAlign w:val="center"/>
          </w:tcPr>
          <w:p w14:paraId="41DD5C53" w14:textId="793F4AB3"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-6,296</w:t>
            </w:r>
          </w:p>
        </w:tc>
        <w:tc>
          <w:tcPr>
            <w:tcW w:w="546" w:type="pct"/>
            <w:tcBorders>
              <w:top w:val="nil"/>
              <w:left w:val="nil"/>
              <w:bottom w:val="nil"/>
              <w:right w:val="nil"/>
            </w:tcBorders>
            <w:shd w:val="clear" w:color="auto" w:fill="B4C6E7"/>
            <w:noWrap/>
            <w:vAlign w:val="center"/>
          </w:tcPr>
          <w:p w14:paraId="13C92C09" w14:textId="3BF287F8" w:rsidR="00963096" w:rsidRPr="00DA4CC8" w:rsidRDefault="00963096" w:rsidP="00DA4CC8">
            <w:pPr>
              <w:spacing w:after="0" w:line="240" w:lineRule="auto"/>
              <w:jc w:val="right"/>
              <w:rPr>
                <w:rFonts w:ascii="Arial" w:eastAsia="Times New Roman" w:hAnsi="Arial" w:cs="Arial"/>
                <w:color w:val="FF0000"/>
                <w:sz w:val="15"/>
                <w:szCs w:val="15"/>
                <w:lang w:eastAsia="en-GB"/>
              </w:rPr>
            </w:pPr>
          </w:p>
        </w:tc>
        <w:tc>
          <w:tcPr>
            <w:tcW w:w="467" w:type="pct"/>
            <w:tcBorders>
              <w:top w:val="nil"/>
              <w:left w:val="nil"/>
              <w:bottom w:val="nil"/>
              <w:right w:val="nil"/>
            </w:tcBorders>
            <w:shd w:val="clear" w:color="auto" w:fill="B4C6E7"/>
            <w:noWrap/>
            <w:vAlign w:val="center"/>
          </w:tcPr>
          <w:p w14:paraId="27AB1AA8" w14:textId="6184465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1,975</w:t>
            </w:r>
          </w:p>
        </w:tc>
        <w:tc>
          <w:tcPr>
            <w:tcW w:w="469" w:type="pct"/>
            <w:tcBorders>
              <w:top w:val="nil"/>
              <w:left w:val="nil"/>
              <w:bottom w:val="nil"/>
              <w:right w:val="nil"/>
            </w:tcBorders>
            <w:shd w:val="clear" w:color="auto" w:fill="B4C6E7"/>
            <w:noWrap/>
            <w:vAlign w:val="center"/>
          </w:tcPr>
          <w:p w14:paraId="6A2A5A26" w14:textId="2A8A958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367</w:t>
            </w:r>
          </w:p>
        </w:tc>
        <w:tc>
          <w:tcPr>
            <w:tcW w:w="390" w:type="pct"/>
            <w:tcBorders>
              <w:top w:val="nil"/>
              <w:left w:val="nil"/>
              <w:bottom w:val="nil"/>
              <w:right w:val="nil"/>
            </w:tcBorders>
            <w:shd w:val="clear" w:color="auto" w:fill="B4C6E7"/>
            <w:noWrap/>
            <w:vAlign w:val="center"/>
          </w:tcPr>
          <w:p w14:paraId="75D149B4" w14:textId="725CFD6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79057FCA" w14:textId="6AD06D7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63045CE5" w14:textId="5482AC99"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-3,954</w:t>
            </w:r>
          </w:p>
        </w:tc>
      </w:tr>
      <w:tr w:rsidR="004F7DFA" w:rsidRPr="00DA4CC8" w14:paraId="68D27E8A" w14:textId="77777777" w:rsidTr="00DA4CC8">
        <w:trPr>
          <w:trHeight w:val="227"/>
        </w:trPr>
        <w:tc>
          <w:tcPr>
            <w:tcW w:w="1094" w:type="pct"/>
            <w:tcBorders>
              <w:top w:val="nil"/>
              <w:left w:val="nil"/>
              <w:bottom w:val="nil"/>
              <w:right w:val="nil"/>
            </w:tcBorders>
            <w:shd w:val="clear" w:color="auto" w:fill="auto"/>
            <w:vAlign w:val="center"/>
            <w:hideMark/>
          </w:tcPr>
          <w:p w14:paraId="1885C194"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 xml:space="preserve">NSMP Operations Ltd </w:t>
            </w:r>
          </w:p>
        </w:tc>
        <w:tc>
          <w:tcPr>
            <w:tcW w:w="547" w:type="pct"/>
            <w:tcBorders>
              <w:top w:val="nil"/>
              <w:left w:val="nil"/>
              <w:bottom w:val="nil"/>
              <w:right w:val="nil"/>
            </w:tcBorders>
            <w:shd w:val="clear" w:color="auto" w:fill="auto"/>
            <w:noWrap/>
            <w:vAlign w:val="center"/>
          </w:tcPr>
          <w:p w14:paraId="5E6000CA" w14:textId="6A0A0D0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3E62475E"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auto"/>
            <w:noWrap/>
            <w:vAlign w:val="center"/>
          </w:tcPr>
          <w:p w14:paraId="598301D6" w14:textId="4AA0049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11EA49B5" w14:textId="6ACEDA12"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auto"/>
            <w:noWrap/>
            <w:vAlign w:val="center"/>
          </w:tcPr>
          <w:p w14:paraId="641A6BDC" w14:textId="5EDDAF8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64A8BF38" w14:textId="7472181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hideMark/>
          </w:tcPr>
          <w:p w14:paraId="38BCC18D" w14:textId="21CE323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207</w:t>
            </w:r>
          </w:p>
        </w:tc>
        <w:tc>
          <w:tcPr>
            <w:tcW w:w="548" w:type="pct"/>
            <w:tcBorders>
              <w:top w:val="nil"/>
              <w:left w:val="nil"/>
              <w:bottom w:val="nil"/>
              <w:right w:val="nil"/>
            </w:tcBorders>
            <w:noWrap/>
            <w:vAlign w:val="center"/>
            <w:hideMark/>
          </w:tcPr>
          <w:p w14:paraId="3C5A21E1" w14:textId="2728C5CC"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207</w:t>
            </w:r>
          </w:p>
        </w:tc>
      </w:tr>
      <w:tr w:rsidR="00FD3AEF" w:rsidRPr="00DA4CC8" w14:paraId="78E215EA" w14:textId="77777777" w:rsidTr="4FAFC775">
        <w:trPr>
          <w:trHeight w:val="227"/>
        </w:trPr>
        <w:tc>
          <w:tcPr>
            <w:tcW w:w="1094" w:type="pct"/>
            <w:tcBorders>
              <w:top w:val="nil"/>
              <w:left w:val="nil"/>
              <w:bottom w:val="nil"/>
              <w:right w:val="nil"/>
            </w:tcBorders>
            <w:shd w:val="clear" w:color="auto" w:fill="B4C6E7"/>
            <w:vAlign w:val="center"/>
            <w:hideMark/>
          </w:tcPr>
          <w:p w14:paraId="6E4D711C"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ONE-Dyas UK Ltd</w:t>
            </w:r>
          </w:p>
        </w:tc>
        <w:tc>
          <w:tcPr>
            <w:tcW w:w="547" w:type="pct"/>
            <w:tcBorders>
              <w:top w:val="nil"/>
              <w:left w:val="nil"/>
              <w:bottom w:val="nil"/>
              <w:right w:val="nil"/>
            </w:tcBorders>
            <w:shd w:val="clear" w:color="auto" w:fill="B4C6E7"/>
            <w:noWrap/>
            <w:vAlign w:val="center"/>
          </w:tcPr>
          <w:p w14:paraId="2BF93E7A" w14:textId="709AB6A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90,700</w:t>
            </w:r>
          </w:p>
        </w:tc>
        <w:tc>
          <w:tcPr>
            <w:tcW w:w="547" w:type="pct"/>
            <w:tcBorders>
              <w:top w:val="nil"/>
              <w:left w:val="nil"/>
              <w:bottom w:val="nil"/>
              <w:right w:val="nil"/>
            </w:tcBorders>
            <w:shd w:val="clear" w:color="auto" w:fill="B4C6E7"/>
            <w:vAlign w:val="center"/>
          </w:tcPr>
          <w:p w14:paraId="55AFC8F0" w14:textId="0C21B28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88,111</w:t>
            </w:r>
          </w:p>
        </w:tc>
        <w:tc>
          <w:tcPr>
            <w:tcW w:w="546" w:type="pct"/>
            <w:tcBorders>
              <w:top w:val="nil"/>
              <w:left w:val="nil"/>
              <w:bottom w:val="nil"/>
              <w:right w:val="nil"/>
            </w:tcBorders>
            <w:shd w:val="clear" w:color="auto" w:fill="B4C6E7"/>
            <w:noWrap/>
            <w:vAlign w:val="center"/>
          </w:tcPr>
          <w:p w14:paraId="5DA7186E" w14:textId="6256F95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6E611FEE" w14:textId="2197187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407</w:t>
            </w:r>
          </w:p>
        </w:tc>
        <w:tc>
          <w:tcPr>
            <w:tcW w:w="469" w:type="pct"/>
            <w:tcBorders>
              <w:top w:val="nil"/>
              <w:left w:val="nil"/>
              <w:bottom w:val="nil"/>
              <w:right w:val="nil"/>
            </w:tcBorders>
            <w:shd w:val="clear" w:color="auto" w:fill="B4C6E7"/>
            <w:noWrap/>
            <w:vAlign w:val="center"/>
          </w:tcPr>
          <w:p w14:paraId="1F12E3DA" w14:textId="3C91439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49</w:t>
            </w:r>
          </w:p>
        </w:tc>
        <w:tc>
          <w:tcPr>
            <w:tcW w:w="390" w:type="pct"/>
            <w:tcBorders>
              <w:top w:val="nil"/>
              <w:left w:val="nil"/>
              <w:bottom w:val="nil"/>
              <w:right w:val="nil"/>
            </w:tcBorders>
            <w:shd w:val="clear" w:color="auto" w:fill="B4C6E7"/>
            <w:noWrap/>
            <w:vAlign w:val="center"/>
          </w:tcPr>
          <w:p w14:paraId="32BBD55F" w14:textId="5813ACE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6AF579AC" w14:textId="4BA9D69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6649A55B" w14:textId="4EC4C6C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179,267</w:t>
            </w:r>
          </w:p>
        </w:tc>
      </w:tr>
      <w:tr w:rsidR="004F7DFA" w:rsidRPr="00DA4CC8" w14:paraId="492A946D" w14:textId="77777777" w:rsidTr="00DA4CC8">
        <w:trPr>
          <w:trHeight w:val="227"/>
        </w:trPr>
        <w:tc>
          <w:tcPr>
            <w:tcW w:w="1094" w:type="pct"/>
            <w:tcBorders>
              <w:top w:val="nil"/>
              <w:left w:val="nil"/>
              <w:bottom w:val="nil"/>
              <w:right w:val="nil"/>
            </w:tcBorders>
            <w:shd w:val="clear" w:color="auto" w:fill="auto"/>
            <w:vAlign w:val="center"/>
            <w:hideMark/>
          </w:tcPr>
          <w:p w14:paraId="2FA57684" w14:textId="77777777" w:rsidR="00963096" w:rsidRPr="00DA4CC8" w:rsidRDefault="00963096" w:rsidP="00C56292">
            <w:pPr>
              <w:spacing w:after="0" w:line="240" w:lineRule="auto"/>
              <w:rPr>
                <w:rFonts w:ascii="Arial" w:eastAsia="Times New Roman" w:hAnsi="Arial" w:cs="Arial"/>
                <w:color w:val="000000"/>
                <w:sz w:val="15"/>
                <w:szCs w:val="15"/>
                <w:lang w:eastAsia="en-GB"/>
              </w:rPr>
            </w:pPr>
            <w:proofErr w:type="spellStart"/>
            <w:r w:rsidRPr="00DA4CC8">
              <w:rPr>
                <w:rFonts w:ascii="Arial" w:eastAsia="Times New Roman" w:hAnsi="Arial" w:cs="Arial"/>
                <w:color w:val="000000"/>
                <w:sz w:val="15"/>
                <w:szCs w:val="15"/>
                <w:lang w:eastAsia="en-GB"/>
              </w:rPr>
              <w:t>Perenco</w:t>
            </w:r>
            <w:proofErr w:type="spellEnd"/>
            <w:r w:rsidRPr="00DA4CC8">
              <w:rPr>
                <w:rFonts w:ascii="Arial" w:eastAsia="Times New Roman" w:hAnsi="Arial" w:cs="Arial"/>
                <w:color w:val="000000"/>
                <w:sz w:val="15"/>
                <w:szCs w:val="15"/>
                <w:lang w:eastAsia="en-GB"/>
              </w:rPr>
              <w:t xml:space="preserve"> UK Ltd</w:t>
            </w:r>
          </w:p>
        </w:tc>
        <w:tc>
          <w:tcPr>
            <w:tcW w:w="547" w:type="pct"/>
            <w:tcBorders>
              <w:top w:val="nil"/>
              <w:left w:val="nil"/>
              <w:bottom w:val="nil"/>
              <w:right w:val="nil"/>
            </w:tcBorders>
            <w:shd w:val="clear" w:color="auto" w:fill="auto"/>
            <w:noWrap/>
            <w:vAlign w:val="center"/>
          </w:tcPr>
          <w:p w14:paraId="79C07380" w14:textId="0335F03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144,623</w:t>
            </w:r>
          </w:p>
        </w:tc>
        <w:tc>
          <w:tcPr>
            <w:tcW w:w="547" w:type="pct"/>
            <w:tcBorders>
              <w:top w:val="nil"/>
              <w:left w:val="nil"/>
              <w:bottom w:val="nil"/>
              <w:right w:val="nil"/>
            </w:tcBorders>
            <w:shd w:val="clear" w:color="auto" w:fill="auto"/>
            <w:vAlign w:val="center"/>
          </w:tcPr>
          <w:p w14:paraId="0EC48CB4" w14:textId="03CAEED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216,020</w:t>
            </w:r>
          </w:p>
        </w:tc>
        <w:tc>
          <w:tcPr>
            <w:tcW w:w="546" w:type="pct"/>
            <w:tcBorders>
              <w:top w:val="nil"/>
              <w:left w:val="nil"/>
              <w:bottom w:val="nil"/>
              <w:right w:val="nil"/>
            </w:tcBorders>
            <w:shd w:val="clear" w:color="auto" w:fill="auto"/>
            <w:noWrap/>
            <w:vAlign w:val="center"/>
          </w:tcPr>
          <w:p w14:paraId="36AAEC58" w14:textId="43BA39B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-7,760</w:t>
            </w:r>
          </w:p>
        </w:tc>
        <w:tc>
          <w:tcPr>
            <w:tcW w:w="467" w:type="pct"/>
            <w:tcBorders>
              <w:top w:val="nil"/>
              <w:left w:val="nil"/>
              <w:bottom w:val="nil"/>
              <w:right w:val="nil"/>
            </w:tcBorders>
            <w:shd w:val="clear" w:color="auto" w:fill="auto"/>
            <w:noWrap/>
            <w:vAlign w:val="center"/>
          </w:tcPr>
          <w:p w14:paraId="5639B10D" w14:textId="2BDB264A"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2,033</w:t>
            </w:r>
          </w:p>
        </w:tc>
        <w:tc>
          <w:tcPr>
            <w:tcW w:w="469" w:type="pct"/>
            <w:tcBorders>
              <w:top w:val="nil"/>
              <w:left w:val="nil"/>
              <w:bottom w:val="nil"/>
              <w:right w:val="nil"/>
            </w:tcBorders>
            <w:shd w:val="clear" w:color="auto" w:fill="auto"/>
            <w:noWrap/>
            <w:vAlign w:val="center"/>
          </w:tcPr>
          <w:p w14:paraId="7E4A2BB1" w14:textId="1158B955"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1,938</w:t>
            </w:r>
          </w:p>
        </w:tc>
        <w:tc>
          <w:tcPr>
            <w:tcW w:w="390" w:type="pct"/>
            <w:tcBorders>
              <w:top w:val="nil"/>
              <w:left w:val="nil"/>
              <w:bottom w:val="nil"/>
              <w:right w:val="nil"/>
            </w:tcBorders>
            <w:shd w:val="clear" w:color="auto" w:fill="auto"/>
            <w:noWrap/>
            <w:vAlign w:val="center"/>
            <w:hideMark/>
          </w:tcPr>
          <w:p w14:paraId="7E7B1BAF" w14:textId="43E60B5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561</w:t>
            </w:r>
          </w:p>
        </w:tc>
        <w:tc>
          <w:tcPr>
            <w:tcW w:w="392" w:type="pct"/>
            <w:tcBorders>
              <w:top w:val="nil"/>
              <w:left w:val="nil"/>
              <w:bottom w:val="nil"/>
              <w:right w:val="nil"/>
            </w:tcBorders>
            <w:shd w:val="clear" w:color="auto" w:fill="auto"/>
            <w:noWrap/>
            <w:vAlign w:val="center"/>
          </w:tcPr>
          <w:p w14:paraId="53E2087A" w14:textId="4D9AD49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noWrap/>
            <w:vAlign w:val="center"/>
            <w:hideMark/>
          </w:tcPr>
          <w:p w14:paraId="216C0C8F" w14:textId="67EDC528"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357,415</w:t>
            </w:r>
          </w:p>
        </w:tc>
      </w:tr>
      <w:tr w:rsidR="00FD3AEF" w:rsidRPr="00DA4CC8" w14:paraId="23F704CC" w14:textId="77777777" w:rsidTr="4FAFC775">
        <w:trPr>
          <w:trHeight w:val="227"/>
        </w:trPr>
        <w:tc>
          <w:tcPr>
            <w:tcW w:w="1094" w:type="pct"/>
            <w:tcBorders>
              <w:top w:val="nil"/>
              <w:left w:val="nil"/>
              <w:bottom w:val="nil"/>
              <w:right w:val="nil"/>
            </w:tcBorders>
            <w:shd w:val="clear" w:color="auto" w:fill="B4C6E7"/>
            <w:vAlign w:val="center"/>
            <w:hideMark/>
          </w:tcPr>
          <w:p w14:paraId="018D0892" w14:textId="7AA2C140"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Prax Upstream Ltd</w:t>
            </w:r>
            <w:r w:rsidRPr="00DA4CC8">
              <w:rPr>
                <w:rStyle w:val="FootnoteReference"/>
                <w:rFonts w:ascii="Arial" w:eastAsia="Times New Roman" w:hAnsi="Arial" w:cs="Arial"/>
                <w:color w:val="000000"/>
                <w:sz w:val="15"/>
                <w:szCs w:val="15"/>
                <w:lang w:eastAsia="en-GB"/>
              </w:rPr>
              <w:footnoteReference w:id="6"/>
            </w:r>
          </w:p>
        </w:tc>
        <w:tc>
          <w:tcPr>
            <w:tcW w:w="547" w:type="pct"/>
            <w:tcBorders>
              <w:top w:val="nil"/>
              <w:left w:val="nil"/>
              <w:bottom w:val="nil"/>
              <w:right w:val="nil"/>
            </w:tcBorders>
            <w:shd w:val="clear" w:color="auto" w:fill="B4C6E7"/>
            <w:noWrap/>
            <w:vAlign w:val="center"/>
          </w:tcPr>
          <w:p w14:paraId="1A8E7CE4" w14:textId="474C0AB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3,042</w:t>
            </w:r>
          </w:p>
        </w:tc>
        <w:tc>
          <w:tcPr>
            <w:tcW w:w="547" w:type="pct"/>
            <w:tcBorders>
              <w:top w:val="nil"/>
              <w:left w:val="nil"/>
              <w:bottom w:val="nil"/>
              <w:right w:val="nil"/>
            </w:tcBorders>
            <w:shd w:val="clear" w:color="auto" w:fill="B4C6E7"/>
            <w:vAlign w:val="center"/>
          </w:tcPr>
          <w:p w14:paraId="0B1E3592"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B4C6E7"/>
            <w:noWrap/>
            <w:vAlign w:val="center"/>
          </w:tcPr>
          <w:p w14:paraId="037DE179" w14:textId="7EBD230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0F3F974E" w14:textId="13CA9A3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445</w:t>
            </w:r>
          </w:p>
        </w:tc>
        <w:tc>
          <w:tcPr>
            <w:tcW w:w="469" w:type="pct"/>
            <w:tcBorders>
              <w:top w:val="nil"/>
              <w:left w:val="nil"/>
              <w:bottom w:val="nil"/>
              <w:right w:val="nil"/>
            </w:tcBorders>
            <w:shd w:val="clear" w:color="auto" w:fill="B4C6E7"/>
            <w:noWrap/>
            <w:vAlign w:val="center"/>
          </w:tcPr>
          <w:p w14:paraId="159C5598" w14:textId="5E8A190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109</w:t>
            </w:r>
          </w:p>
        </w:tc>
        <w:tc>
          <w:tcPr>
            <w:tcW w:w="390" w:type="pct"/>
            <w:tcBorders>
              <w:top w:val="nil"/>
              <w:left w:val="nil"/>
              <w:bottom w:val="nil"/>
              <w:right w:val="nil"/>
            </w:tcBorders>
            <w:shd w:val="clear" w:color="auto" w:fill="B4C6E7"/>
            <w:noWrap/>
            <w:vAlign w:val="center"/>
          </w:tcPr>
          <w:p w14:paraId="298C5BEC" w14:textId="2B2FF518"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08AF2CF4" w14:textId="47DBA93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435C334E" w14:textId="7AD3911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3,597</w:t>
            </w:r>
          </w:p>
        </w:tc>
      </w:tr>
      <w:tr w:rsidR="004F7DFA" w:rsidRPr="00DA4CC8" w14:paraId="516C606F" w14:textId="77777777" w:rsidTr="00DA4CC8">
        <w:trPr>
          <w:trHeight w:val="227"/>
        </w:trPr>
        <w:tc>
          <w:tcPr>
            <w:tcW w:w="1094" w:type="pct"/>
            <w:tcBorders>
              <w:top w:val="nil"/>
              <w:left w:val="nil"/>
              <w:bottom w:val="nil"/>
              <w:right w:val="nil"/>
            </w:tcBorders>
            <w:shd w:val="clear" w:color="auto" w:fill="auto"/>
            <w:vAlign w:val="center"/>
            <w:hideMark/>
          </w:tcPr>
          <w:p w14:paraId="17F24F21"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Repsol Resources UK Ltd</w:t>
            </w:r>
          </w:p>
        </w:tc>
        <w:tc>
          <w:tcPr>
            <w:tcW w:w="547" w:type="pct"/>
            <w:tcBorders>
              <w:top w:val="nil"/>
              <w:left w:val="nil"/>
              <w:bottom w:val="nil"/>
              <w:right w:val="nil"/>
            </w:tcBorders>
            <w:shd w:val="clear" w:color="auto" w:fill="auto"/>
            <w:noWrap/>
            <w:vAlign w:val="center"/>
          </w:tcPr>
          <w:p w14:paraId="45D25983" w14:textId="132F907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6,231</w:t>
            </w:r>
          </w:p>
        </w:tc>
        <w:tc>
          <w:tcPr>
            <w:tcW w:w="547" w:type="pct"/>
            <w:tcBorders>
              <w:top w:val="nil"/>
              <w:left w:val="nil"/>
              <w:bottom w:val="nil"/>
              <w:right w:val="nil"/>
            </w:tcBorders>
            <w:vAlign w:val="center"/>
          </w:tcPr>
          <w:p w14:paraId="2DEA8C15" w14:textId="1B39630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-39,011</w:t>
            </w:r>
          </w:p>
        </w:tc>
        <w:tc>
          <w:tcPr>
            <w:tcW w:w="546" w:type="pct"/>
            <w:tcBorders>
              <w:top w:val="nil"/>
              <w:left w:val="nil"/>
              <w:bottom w:val="nil"/>
              <w:right w:val="nil"/>
            </w:tcBorders>
            <w:shd w:val="clear" w:color="auto" w:fill="auto"/>
            <w:noWrap/>
            <w:vAlign w:val="center"/>
          </w:tcPr>
          <w:p w14:paraId="4EEEA7C7" w14:textId="5A454AD1"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FF0000"/>
                <w:sz w:val="15"/>
                <w:szCs w:val="15"/>
                <w:lang w:eastAsia="en-GB"/>
              </w:rPr>
              <w:t>-41,500</w:t>
            </w:r>
          </w:p>
        </w:tc>
        <w:tc>
          <w:tcPr>
            <w:tcW w:w="467" w:type="pct"/>
            <w:tcBorders>
              <w:top w:val="nil"/>
              <w:left w:val="nil"/>
              <w:bottom w:val="nil"/>
              <w:right w:val="nil"/>
            </w:tcBorders>
            <w:shd w:val="clear" w:color="auto" w:fill="auto"/>
            <w:noWrap/>
            <w:vAlign w:val="center"/>
          </w:tcPr>
          <w:p w14:paraId="34A750C4" w14:textId="72EDEE9D"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1,588</w:t>
            </w:r>
          </w:p>
        </w:tc>
        <w:tc>
          <w:tcPr>
            <w:tcW w:w="469" w:type="pct"/>
            <w:tcBorders>
              <w:top w:val="nil"/>
              <w:left w:val="nil"/>
              <w:bottom w:val="nil"/>
              <w:right w:val="nil"/>
            </w:tcBorders>
            <w:shd w:val="clear" w:color="auto" w:fill="auto"/>
            <w:noWrap/>
            <w:vAlign w:val="center"/>
          </w:tcPr>
          <w:p w14:paraId="11D23005" w14:textId="2CE7E02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2,519</w:t>
            </w:r>
          </w:p>
        </w:tc>
        <w:tc>
          <w:tcPr>
            <w:tcW w:w="390" w:type="pct"/>
            <w:tcBorders>
              <w:top w:val="nil"/>
              <w:left w:val="nil"/>
              <w:bottom w:val="nil"/>
              <w:right w:val="nil"/>
            </w:tcBorders>
            <w:shd w:val="clear" w:color="auto" w:fill="auto"/>
            <w:noWrap/>
            <w:vAlign w:val="center"/>
          </w:tcPr>
          <w:p w14:paraId="4788E7DD" w14:textId="69DA55BC"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6A33DE07" w14:textId="50F7411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auto"/>
            <w:noWrap/>
            <w:vAlign w:val="center"/>
            <w:hideMark/>
          </w:tcPr>
          <w:p w14:paraId="62D99D17" w14:textId="400300E5"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-70,173</w:t>
            </w:r>
          </w:p>
        </w:tc>
      </w:tr>
      <w:tr w:rsidR="00FD3AEF" w:rsidRPr="00DA4CC8" w14:paraId="001358CF" w14:textId="77777777" w:rsidTr="4FAFC775">
        <w:trPr>
          <w:trHeight w:val="227"/>
        </w:trPr>
        <w:tc>
          <w:tcPr>
            <w:tcW w:w="1094" w:type="pct"/>
            <w:tcBorders>
              <w:top w:val="nil"/>
              <w:left w:val="nil"/>
              <w:bottom w:val="nil"/>
              <w:right w:val="nil"/>
            </w:tcBorders>
            <w:shd w:val="clear" w:color="auto" w:fill="B4C6E7"/>
            <w:vAlign w:val="center"/>
            <w:hideMark/>
          </w:tcPr>
          <w:p w14:paraId="45BC5D70" w14:textId="77777777" w:rsidR="00963096" w:rsidRPr="00DA4CC8" w:rsidRDefault="00963096" w:rsidP="00C56292">
            <w:pPr>
              <w:spacing w:after="0" w:line="240" w:lineRule="auto"/>
              <w:rPr>
                <w:rFonts w:ascii="Arial" w:eastAsia="Times New Roman" w:hAnsi="Arial" w:cs="Arial"/>
                <w:color w:val="000000"/>
                <w:sz w:val="15"/>
                <w:szCs w:val="15"/>
                <w:lang w:eastAsia="en-GB"/>
              </w:rPr>
            </w:pPr>
            <w:proofErr w:type="spellStart"/>
            <w:r w:rsidRPr="00DA4CC8">
              <w:rPr>
                <w:rFonts w:ascii="Arial" w:eastAsia="Times New Roman" w:hAnsi="Arial" w:cs="Arial"/>
                <w:color w:val="000000"/>
                <w:sz w:val="15"/>
                <w:szCs w:val="15"/>
                <w:lang w:eastAsia="en-GB"/>
              </w:rPr>
              <w:t>RockRose</w:t>
            </w:r>
            <w:proofErr w:type="spellEnd"/>
          </w:p>
        </w:tc>
        <w:tc>
          <w:tcPr>
            <w:tcW w:w="547" w:type="pct"/>
            <w:tcBorders>
              <w:top w:val="nil"/>
              <w:left w:val="nil"/>
              <w:bottom w:val="nil"/>
              <w:right w:val="nil"/>
            </w:tcBorders>
            <w:shd w:val="clear" w:color="auto" w:fill="B4C6E7"/>
            <w:noWrap/>
            <w:vAlign w:val="center"/>
          </w:tcPr>
          <w:p w14:paraId="665966BB" w14:textId="2D1A19F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23,349</w:t>
            </w:r>
          </w:p>
        </w:tc>
        <w:tc>
          <w:tcPr>
            <w:tcW w:w="547" w:type="pct"/>
            <w:tcBorders>
              <w:top w:val="nil"/>
              <w:left w:val="nil"/>
              <w:bottom w:val="nil"/>
              <w:right w:val="nil"/>
            </w:tcBorders>
            <w:shd w:val="clear" w:color="auto" w:fill="B4C6E7"/>
            <w:vAlign w:val="center"/>
          </w:tcPr>
          <w:p w14:paraId="710FFDB7" w14:textId="0398005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55,681</w:t>
            </w:r>
          </w:p>
        </w:tc>
        <w:tc>
          <w:tcPr>
            <w:tcW w:w="546" w:type="pct"/>
            <w:tcBorders>
              <w:top w:val="nil"/>
              <w:left w:val="nil"/>
              <w:bottom w:val="nil"/>
              <w:right w:val="nil"/>
            </w:tcBorders>
            <w:shd w:val="clear" w:color="auto" w:fill="B4C6E7"/>
            <w:noWrap/>
            <w:vAlign w:val="center"/>
          </w:tcPr>
          <w:p w14:paraId="018B2BDF" w14:textId="12AE03E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531EC042" w14:textId="568F911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142</w:t>
            </w:r>
          </w:p>
        </w:tc>
        <w:tc>
          <w:tcPr>
            <w:tcW w:w="469" w:type="pct"/>
            <w:tcBorders>
              <w:top w:val="nil"/>
              <w:left w:val="nil"/>
              <w:bottom w:val="nil"/>
              <w:right w:val="nil"/>
            </w:tcBorders>
            <w:shd w:val="clear" w:color="auto" w:fill="B4C6E7"/>
            <w:noWrap/>
            <w:vAlign w:val="center"/>
          </w:tcPr>
          <w:p w14:paraId="5DC2914C" w14:textId="5CBDCD0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228</w:t>
            </w:r>
          </w:p>
        </w:tc>
        <w:tc>
          <w:tcPr>
            <w:tcW w:w="390" w:type="pct"/>
            <w:tcBorders>
              <w:top w:val="nil"/>
              <w:left w:val="nil"/>
              <w:bottom w:val="nil"/>
              <w:right w:val="nil"/>
            </w:tcBorders>
            <w:shd w:val="clear" w:color="auto" w:fill="B4C6E7"/>
            <w:noWrap/>
            <w:vAlign w:val="center"/>
          </w:tcPr>
          <w:p w14:paraId="0C4CF671" w14:textId="7817FA1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7F96FAC1" w14:textId="38895D0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5E1EB6AC" w14:textId="055CEA20"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79,400</w:t>
            </w:r>
          </w:p>
        </w:tc>
      </w:tr>
      <w:tr w:rsidR="004F7DFA" w:rsidRPr="00DA4CC8" w14:paraId="6BFF3771" w14:textId="77777777" w:rsidTr="00DA4CC8">
        <w:trPr>
          <w:trHeight w:val="227"/>
        </w:trPr>
        <w:tc>
          <w:tcPr>
            <w:tcW w:w="1094" w:type="pct"/>
            <w:tcBorders>
              <w:top w:val="nil"/>
              <w:left w:val="nil"/>
              <w:bottom w:val="nil"/>
              <w:right w:val="nil"/>
            </w:tcBorders>
            <w:shd w:val="clear" w:color="auto" w:fill="auto"/>
            <w:vAlign w:val="center"/>
            <w:hideMark/>
          </w:tcPr>
          <w:p w14:paraId="11DD767F"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SAGE North Sea Ltd</w:t>
            </w:r>
          </w:p>
        </w:tc>
        <w:tc>
          <w:tcPr>
            <w:tcW w:w="547" w:type="pct"/>
            <w:tcBorders>
              <w:top w:val="nil"/>
              <w:left w:val="nil"/>
              <w:bottom w:val="nil"/>
              <w:right w:val="nil"/>
            </w:tcBorders>
            <w:shd w:val="clear" w:color="auto" w:fill="auto"/>
            <w:noWrap/>
            <w:vAlign w:val="center"/>
          </w:tcPr>
          <w:p w14:paraId="7817B063" w14:textId="426688C1"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6124BC63"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auto"/>
            <w:noWrap/>
            <w:vAlign w:val="center"/>
          </w:tcPr>
          <w:p w14:paraId="2D85D10E" w14:textId="7362CA1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01B1E10E" w14:textId="0DB6B58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auto"/>
            <w:noWrap/>
            <w:vAlign w:val="center"/>
          </w:tcPr>
          <w:p w14:paraId="201376D5" w14:textId="66BAE18C"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25C28B52" w14:textId="4AE23AA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hideMark/>
          </w:tcPr>
          <w:p w14:paraId="33678D46" w14:textId="6CF32003"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259</w:t>
            </w:r>
          </w:p>
        </w:tc>
        <w:tc>
          <w:tcPr>
            <w:tcW w:w="548" w:type="pct"/>
            <w:tcBorders>
              <w:top w:val="nil"/>
              <w:left w:val="nil"/>
              <w:bottom w:val="nil"/>
              <w:right w:val="nil"/>
            </w:tcBorders>
            <w:noWrap/>
            <w:vAlign w:val="center"/>
            <w:hideMark/>
          </w:tcPr>
          <w:p w14:paraId="26A39105" w14:textId="56D33E8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259</w:t>
            </w:r>
          </w:p>
        </w:tc>
      </w:tr>
      <w:tr w:rsidR="00FD3AEF" w:rsidRPr="00DA4CC8" w14:paraId="3F37176E" w14:textId="77777777" w:rsidTr="4FAFC775">
        <w:trPr>
          <w:trHeight w:val="227"/>
        </w:trPr>
        <w:tc>
          <w:tcPr>
            <w:tcW w:w="1094" w:type="pct"/>
            <w:tcBorders>
              <w:top w:val="nil"/>
              <w:left w:val="nil"/>
              <w:bottom w:val="nil"/>
              <w:right w:val="nil"/>
            </w:tcBorders>
            <w:shd w:val="clear" w:color="auto" w:fill="B4C6E7"/>
            <w:vAlign w:val="center"/>
            <w:hideMark/>
          </w:tcPr>
          <w:p w14:paraId="38FEE6F5" w14:textId="11BFB433"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Serica Energy Plc</w:t>
            </w:r>
          </w:p>
        </w:tc>
        <w:tc>
          <w:tcPr>
            <w:tcW w:w="547" w:type="pct"/>
            <w:tcBorders>
              <w:top w:val="nil"/>
              <w:left w:val="nil"/>
              <w:bottom w:val="nil"/>
              <w:right w:val="nil"/>
            </w:tcBorders>
            <w:shd w:val="clear" w:color="auto" w:fill="B4C6E7"/>
            <w:noWrap/>
            <w:vAlign w:val="center"/>
          </w:tcPr>
          <w:p w14:paraId="25EF170D" w14:textId="58AD645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98,730</w:t>
            </w:r>
          </w:p>
        </w:tc>
        <w:tc>
          <w:tcPr>
            <w:tcW w:w="547" w:type="pct"/>
            <w:tcBorders>
              <w:top w:val="nil"/>
              <w:left w:val="nil"/>
              <w:bottom w:val="nil"/>
              <w:right w:val="nil"/>
            </w:tcBorders>
            <w:shd w:val="clear" w:color="auto" w:fill="B4C6E7"/>
            <w:vAlign w:val="center"/>
          </w:tcPr>
          <w:p w14:paraId="1AFE6682" w14:textId="795207C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181,047</w:t>
            </w:r>
          </w:p>
        </w:tc>
        <w:tc>
          <w:tcPr>
            <w:tcW w:w="546" w:type="pct"/>
            <w:tcBorders>
              <w:top w:val="nil"/>
              <w:left w:val="nil"/>
              <w:bottom w:val="nil"/>
              <w:right w:val="nil"/>
            </w:tcBorders>
            <w:shd w:val="clear" w:color="auto" w:fill="B4C6E7"/>
            <w:noWrap/>
            <w:vAlign w:val="center"/>
          </w:tcPr>
          <w:p w14:paraId="16E637D7" w14:textId="38D75E8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18F900BC" w14:textId="7870B10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555</w:t>
            </w:r>
          </w:p>
        </w:tc>
        <w:tc>
          <w:tcPr>
            <w:tcW w:w="469" w:type="pct"/>
            <w:tcBorders>
              <w:top w:val="nil"/>
              <w:left w:val="nil"/>
              <w:bottom w:val="nil"/>
              <w:right w:val="nil"/>
            </w:tcBorders>
            <w:shd w:val="clear" w:color="auto" w:fill="B4C6E7"/>
            <w:noWrap/>
            <w:vAlign w:val="center"/>
          </w:tcPr>
          <w:p w14:paraId="239DE6AB" w14:textId="16437D8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733</w:t>
            </w:r>
          </w:p>
        </w:tc>
        <w:tc>
          <w:tcPr>
            <w:tcW w:w="390" w:type="pct"/>
            <w:tcBorders>
              <w:top w:val="nil"/>
              <w:left w:val="nil"/>
              <w:bottom w:val="nil"/>
              <w:right w:val="nil"/>
            </w:tcBorders>
            <w:shd w:val="clear" w:color="auto" w:fill="B4C6E7"/>
            <w:noWrap/>
            <w:vAlign w:val="center"/>
          </w:tcPr>
          <w:p w14:paraId="7BA6F4B3" w14:textId="63F184C4"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hideMark/>
          </w:tcPr>
          <w:p w14:paraId="4F067B46" w14:textId="2D890B6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46B41D32" w14:textId="5B768872"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281,065</w:t>
            </w:r>
          </w:p>
        </w:tc>
      </w:tr>
      <w:tr w:rsidR="004F7DFA" w:rsidRPr="00DA4CC8" w14:paraId="2E643D69" w14:textId="77777777" w:rsidTr="00DA4CC8">
        <w:trPr>
          <w:trHeight w:val="227"/>
        </w:trPr>
        <w:tc>
          <w:tcPr>
            <w:tcW w:w="1094" w:type="pct"/>
            <w:tcBorders>
              <w:top w:val="nil"/>
              <w:left w:val="nil"/>
              <w:bottom w:val="nil"/>
              <w:right w:val="nil"/>
            </w:tcBorders>
            <w:shd w:val="clear" w:color="auto" w:fill="auto"/>
            <w:vAlign w:val="center"/>
            <w:hideMark/>
          </w:tcPr>
          <w:p w14:paraId="1873FC98" w14:textId="50FC5C3A"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Shell Plc</w:t>
            </w:r>
          </w:p>
        </w:tc>
        <w:tc>
          <w:tcPr>
            <w:tcW w:w="547" w:type="pct"/>
            <w:tcBorders>
              <w:top w:val="nil"/>
              <w:left w:val="nil"/>
              <w:bottom w:val="nil"/>
              <w:right w:val="nil"/>
            </w:tcBorders>
            <w:shd w:val="clear" w:color="auto" w:fill="auto"/>
            <w:noWrap/>
            <w:vAlign w:val="center"/>
          </w:tcPr>
          <w:p w14:paraId="34AE20FF" w14:textId="3A6BB681"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369,000</w:t>
            </w:r>
          </w:p>
        </w:tc>
        <w:tc>
          <w:tcPr>
            <w:tcW w:w="547" w:type="pct"/>
            <w:tcBorders>
              <w:top w:val="nil"/>
              <w:left w:val="nil"/>
              <w:bottom w:val="nil"/>
              <w:right w:val="nil"/>
            </w:tcBorders>
            <w:shd w:val="clear" w:color="auto" w:fill="auto"/>
            <w:vAlign w:val="center"/>
          </w:tcPr>
          <w:p w14:paraId="0C1D526B" w14:textId="5B017F5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29,987</w:t>
            </w:r>
          </w:p>
        </w:tc>
        <w:tc>
          <w:tcPr>
            <w:tcW w:w="546" w:type="pct"/>
            <w:tcBorders>
              <w:top w:val="nil"/>
              <w:left w:val="nil"/>
              <w:bottom w:val="nil"/>
              <w:right w:val="nil"/>
            </w:tcBorders>
            <w:shd w:val="clear" w:color="auto" w:fill="auto"/>
            <w:noWrap/>
            <w:vAlign w:val="center"/>
          </w:tcPr>
          <w:p w14:paraId="58C26841" w14:textId="2F54213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-61,960</w:t>
            </w:r>
          </w:p>
        </w:tc>
        <w:tc>
          <w:tcPr>
            <w:tcW w:w="467" w:type="pct"/>
            <w:tcBorders>
              <w:top w:val="nil"/>
              <w:left w:val="nil"/>
              <w:bottom w:val="nil"/>
              <w:right w:val="nil"/>
            </w:tcBorders>
            <w:shd w:val="clear" w:color="auto" w:fill="auto"/>
            <w:noWrap/>
            <w:vAlign w:val="center"/>
          </w:tcPr>
          <w:p w14:paraId="35266440" w14:textId="3633A226"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3,036</w:t>
            </w:r>
          </w:p>
        </w:tc>
        <w:tc>
          <w:tcPr>
            <w:tcW w:w="469" w:type="pct"/>
            <w:tcBorders>
              <w:top w:val="nil"/>
              <w:left w:val="nil"/>
              <w:bottom w:val="nil"/>
              <w:right w:val="nil"/>
            </w:tcBorders>
            <w:shd w:val="clear" w:color="auto" w:fill="auto"/>
            <w:noWrap/>
            <w:vAlign w:val="center"/>
          </w:tcPr>
          <w:p w14:paraId="1CE0AE8A" w14:textId="75E05A2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3,690</w:t>
            </w:r>
          </w:p>
        </w:tc>
        <w:tc>
          <w:tcPr>
            <w:tcW w:w="390" w:type="pct"/>
            <w:tcBorders>
              <w:top w:val="nil"/>
              <w:left w:val="nil"/>
              <w:bottom w:val="nil"/>
              <w:right w:val="nil"/>
            </w:tcBorders>
            <w:shd w:val="clear" w:color="auto" w:fill="auto"/>
            <w:noWrap/>
            <w:vAlign w:val="center"/>
            <w:hideMark/>
          </w:tcPr>
          <w:p w14:paraId="72949BF4" w14:textId="6D357EC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651</w:t>
            </w:r>
          </w:p>
        </w:tc>
        <w:tc>
          <w:tcPr>
            <w:tcW w:w="392" w:type="pct"/>
            <w:tcBorders>
              <w:top w:val="nil"/>
              <w:left w:val="nil"/>
              <w:bottom w:val="nil"/>
              <w:right w:val="nil"/>
            </w:tcBorders>
            <w:shd w:val="clear" w:color="auto" w:fill="auto"/>
            <w:noWrap/>
            <w:vAlign w:val="center"/>
            <w:hideMark/>
          </w:tcPr>
          <w:p w14:paraId="4A2FC5D8" w14:textId="32255C0F"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142</w:t>
            </w:r>
          </w:p>
        </w:tc>
        <w:tc>
          <w:tcPr>
            <w:tcW w:w="548" w:type="pct"/>
            <w:tcBorders>
              <w:top w:val="nil"/>
              <w:left w:val="nil"/>
              <w:bottom w:val="nil"/>
              <w:right w:val="nil"/>
            </w:tcBorders>
            <w:noWrap/>
            <w:vAlign w:val="center"/>
            <w:hideMark/>
          </w:tcPr>
          <w:p w14:paraId="25C5C005" w14:textId="46882E2D"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344,547</w:t>
            </w:r>
          </w:p>
        </w:tc>
      </w:tr>
      <w:tr w:rsidR="00FD3AEF" w:rsidRPr="00DA4CC8" w14:paraId="4167BCC6" w14:textId="77777777" w:rsidTr="4FAFC775">
        <w:trPr>
          <w:trHeight w:val="227"/>
        </w:trPr>
        <w:tc>
          <w:tcPr>
            <w:tcW w:w="1094" w:type="pct"/>
            <w:tcBorders>
              <w:top w:val="nil"/>
              <w:left w:val="nil"/>
              <w:bottom w:val="nil"/>
              <w:right w:val="nil"/>
            </w:tcBorders>
            <w:shd w:val="clear" w:color="auto" w:fill="B4C6E7"/>
            <w:vAlign w:val="center"/>
            <w:hideMark/>
          </w:tcPr>
          <w:p w14:paraId="5694A475" w14:textId="317F08EE"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Suncor Energy UK Holdings Ltd</w:t>
            </w:r>
            <w:r w:rsidRPr="00DA4CC8">
              <w:rPr>
                <w:rStyle w:val="FootnoteReference"/>
                <w:rFonts w:ascii="Arial" w:eastAsia="Times New Roman" w:hAnsi="Arial" w:cs="Arial"/>
                <w:color w:val="000000"/>
                <w:sz w:val="15"/>
                <w:szCs w:val="15"/>
                <w:lang w:eastAsia="en-GB"/>
              </w:rPr>
              <w:footnoteReference w:id="7"/>
            </w:r>
          </w:p>
        </w:tc>
        <w:tc>
          <w:tcPr>
            <w:tcW w:w="547" w:type="pct"/>
            <w:tcBorders>
              <w:top w:val="nil"/>
              <w:left w:val="nil"/>
              <w:bottom w:val="nil"/>
              <w:right w:val="nil"/>
            </w:tcBorders>
            <w:shd w:val="clear" w:color="auto" w:fill="B4C6E7"/>
            <w:noWrap/>
            <w:vAlign w:val="center"/>
          </w:tcPr>
          <w:p w14:paraId="1F760901" w14:textId="67C247E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39,342</w:t>
            </w:r>
          </w:p>
        </w:tc>
        <w:tc>
          <w:tcPr>
            <w:tcW w:w="547" w:type="pct"/>
            <w:tcBorders>
              <w:top w:val="nil"/>
              <w:left w:val="nil"/>
              <w:bottom w:val="nil"/>
              <w:right w:val="nil"/>
            </w:tcBorders>
            <w:shd w:val="clear" w:color="auto" w:fill="B4C6E7"/>
            <w:vAlign w:val="center"/>
          </w:tcPr>
          <w:p w14:paraId="54400567" w14:textId="637FE86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89,565</w:t>
            </w:r>
          </w:p>
        </w:tc>
        <w:tc>
          <w:tcPr>
            <w:tcW w:w="546" w:type="pct"/>
            <w:tcBorders>
              <w:top w:val="nil"/>
              <w:left w:val="nil"/>
              <w:bottom w:val="nil"/>
              <w:right w:val="nil"/>
            </w:tcBorders>
            <w:shd w:val="clear" w:color="auto" w:fill="B4C6E7"/>
            <w:noWrap/>
            <w:vAlign w:val="center"/>
          </w:tcPr>
          <w:p w14:paraId="6676EEBE" w14:textId="4148811A"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7BB1CDCE" w14:textId="2656679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9" w:type="pct"/>
            <w:tcBorders>
              <w:top w:val="nil"/>
              <w:left w:val="nil"/>
              <w:bottom w:val="nil"/>
              <w:right w:val="nil"/>
            </w:tcBorders>
            <w:shd w:val="clear" w:color="auto" w:fill="B4C6E7"/>
            <w:noWrap/>
            <w:vAlign w:val="center"/>
          </w:tcPr>
          <w:p w14:paraId="6F314F6B" w14:textId="3AF0706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w:t>
            </w:r>
          </w:p>
        </w:tc>
        <w:tc>
          <w:tcPr>
            <w:tcW w:w="390" w:type="pct"/>
            <w:tcBorders>
              <w:top w:val="nil"/>
              <w:left w:val="nil"/>
              <w:bottom w:val="nil"/>
              <w:right w:val="nil"/>
            </w:tcBorders>
            <w:shd w:val="clear" w:color="auto" w:fill="B4C6E7"/>
            <w:noWrap/>
            <w:vAlign w:val="center"/>
          </w:tcPr>
          <w:p w14:paraId="51C0B82D" w14:textId="6F9A1979"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69667D5F" w14:textId="1B1853EF"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1BE49C5A" w14:textId="6AC1B247"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128,932</w:t>
            </w:r>
          </w:p>
        </w:tc>
      </w:tr>
      <w:tr w:rsidR="004F7DFA" w:rsidRPr="00DA4CC8" w14:paraId="03D24759" w14:textId="77777777" w:rsidTr="00DA4CC8">
        <w:trPr>
          <w:trHeight w:val="227"/>
        </w:trPr>
        <w:tc>
          <w:tcPr>
            <w:tcW w:w="1094" w:type="pct"/>
            <w:tcBorders>
              <w:top w:val="nil"/>
              <w:left w:val="nil"/>
              <w:bottom w:val="nil"/>
              <w:right w:val="nil"/>
            </w:tcBorders>
            <w:shd w:val="clear" w:color="auto" w:fill="auto"/>
            <w:vAlign w:val="center"/>
            <w:hideMark/>
          </w:tcPr>
          <w:p w14:paraId="68DA1039"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TAQA Bratani Ltd</w:t>
            </w:r>
          </w:p>
        </w:tc>
        <w:tc>
          <w:tcPr>
            <w:tcW w:w="547" w:type="pct"/>
            <w:tcBorders>
              <w:top w:val="nil"/>
              <w:left w:val="nil"/>
              <w:bottom w:val="nil"/>
              <w:right w:val="nil"/>
            </w:tcBorders>
            <w:shd w:val="clear" w:color="auto" w:fill="auto"/>
            <w:noWrap/>
            <w:vAlign w:val="center"/>
          </w:tcPr>
          <w:p w14:paraId="10AD46D5" w14:textId="7318C79C"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105,583</w:t>
            </w:r>
          </w:p>
        </w:tc>
        <w:tc>
          <w:tcPr>
            <w:tcW w:w="547" w:type="pct"/>
            <w:tcBorders>
              <w:top w:val="nil"/>
              <w:left w:val="nil"/>
              <w:bottom w:val="nil"/>
              <w:right w:val="nil"/>
            </w:tcBorders>
            <w:vAlign w:val="center"/>
          </w:tcPr>
          <w:p w14:paraId="7ED524C9" w14:textId="3D048F0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121,724</w:t>
            </w:r>
          </w:p>
        </w:tc>
        <w:tc>
          <w:tcPr>
            <w:tcW w:w="546" w:type="pct"/>
            <w:tcBorders>
              <w:top w:val="nil"/>
              <w:left w:val="nil"/>
              <w:bottom w:val="nil"/>
              <w:right w:val="nil"/>
            </w:tcBorders>
            <w:shd w:val="clear" w:color="auto" w:fill="auto"/>
            <w:noWrap/>
            <w:vAlign w:val="center"/>
          </w:tcPr>
          <w:p w14:paraId="592F181E" w14:textId="498C484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-31,175</w:t>
            </w:r>
          </w:p>
        </w:tc>
        <w:tc>
          <w:tcPr>
            <w:tcW w:w="467" w:type="pct"/>
            <w:tcBorders>
              <w:top w:val="nil"/>
              <w:left w:val="nil"/>
              <w:bottom w:val="nil"/>
              <w:right w:val="nil"/>
            </w:tcBorders>
            <w:shd w:val="clear" w:color="auto" w:fill="auto"/>
            <w:noWrap/>
            <w:vAlign w:val="center"/>
          </w:tcPr>
          <w:p w14:paraId="7EBD13CE" w14:textId="3514E33B"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921</w:t>
            </w:r>
          </w:p>
        </w:tc>
        <w:tc>
          <w:tcPr>
            <w:tcW w:w="469" w:type="pct"/>
            <w:tcBorders>
              <w:top w:val="nil"/>
              <w:left w:val="nil"/>
              <w:bottom w:val="nil"/>
              <w:right w:val="nil"/>
            </w:tcBorders>
            <w:shd w:val="clear" w:color="auto" w:fill="auto"/>
            <w:noWrap/>
            <w:vAlign w:val="center"/>
          </w:tcPr>
          <w:p w14:paraId="36ADCF08" w14:textId="7D5E10A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1,369</w:t>
            </w:r>
          </w:p>
        </w:tc>
        <w:tc>
          <w:tcPr>
            <w:tcW w:w="390" w:type="pct"/>
            <w:tcBorders>
              <w:top w:val="nil"/>
              <w:left w:val="nil"/>
              <w:bottom w:val="nil"/>
              <w:right w:val="nil"/>
            </w:tcBorders>
            <w:shd w:val="clear" w:color="auto" w:fill="auto"/>
            <w:noWrap/>
            <w:vAlign w:val="center"/>
          </w:tcPr>
          <w:p w14:paraId="44EC2FDC" w14:textId="05D023F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33F4EF7A" w14:textId="0F58B7AB"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auto"/>
            <w:noWrap/>
            <w:vAlign w:val="center"/>
            <w:hideMark/>
          </w:tcPr>
          <w:p w14:paraId="5693EC04" w14:textId="5E64A3A5"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198,422</w:t>
            </w:r>
          </w:p>
        </w:tc>
      </w:tr>
      <w:tr w:rsidR="00FD3AEF" w:rsidRPr="00DA4CC8" w14:paraId="021BC7A6" w14:textId="77777777" w:rsidTr="4FAFC775">
        <w:trPr>
          <w:trHeight w:val="227"/>
        </w:trPr>
        <w:tc>
          <w:tcPr>
            <w:tcW w:w="1094" w:type="pct"/>
            <w:tcBorders>
              <w:top w:val="nil"/>
              <w:left w:val="nil"/>
              <w:bottom w:val="nil"/>
              <w:right w:val="nil"/>
            </w:tcBorders>
            <w:shd w:val="clear" w:color="auto" w:fill="B4C6E7"/>
            <w:vAlign w:val="center"/>
            <w:hideMark/>
          </w:tcPr>
          <w:p w14:paraId="3507D868" w14:textId="31C46940"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TotalEnergies Holdings UK Ltd</w:t>
            </w:r>
          </w:p>
        </w:tc>
        <w:tc>
          <w:tcPr>
            <w:tcW w:w="547" w:type="pct"/>
            <w:tcBorders>
              <w:top w:val="nil"/>
              <w:left w:val="nil"/>
              <w:bottom w:val="nil"/>
              <w:right w:val="nil"/>
            </w:tcBorders>
            <w:shd w:val="clear" w:color="auto" w:fill="B4C6E7"/>
            <w:noWrap/>
            <w:vAlign w:val="center"/>
          </w:tcPr>
          <w:p w14:paraId="0905D4AB" w14:textId="7FB9C57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820,519</w:t>
            </w:r>
          </w:p>
        </w:tc>
        <w:tc>
          <w:tcPr>
            <w:tcW w:w="547" w:type="pct"/>
            <w:tcBorders>
              <w:top w:val="nil"/>
              <w:left w:val="nil"/>
              <w:bottom w:val="nil"/>
              <w:right w:val="nil"/>
            </w:tcBorders>
            <w:shd w:val="clear" w:color="auto" w:fill="B4C6E7"/>
            <w:vAlign w:val="center"/>
          </w:tcPr>
          <w:p w14:paraId="573C1068" w14:textId="72F04C9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1,069,329</w:t>
            </w:r>
          </w:p>
        </w:tc>
        <w:tc>
          <w:tcPr>
            <w:tcW w:w="546" w:type="pct"/>
            <w:tcBorders>
              <w:top w:val="nil"/>
              <w:left w:val="nil"/>
              <w:bottom w:val="nil"/>
              <w:right w:val="nil"/>
            </w:tcBorders>
            <w:shd w:val="clear" w:color="auto" w:fill="B4C6E7"/>
            <w:noWrap/>
            <w:vAlign w:val="center"/>
          </w:tcPr>
          <w:p w14:paraId="36822560" w14:textId="74F94AF5"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B4C6E7"/>
            <w:noWrap/>
            <w:vAlign w:val="center"/>
          </w:tcPr>
          <w:p w14:paraId="39E0B668" w14:textId="1CB25FD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3,908</w:t>
            </w:r>
          </w:p>
        </w:tc>
        <w:tc>
          <w:tcPr>
            <w:tcW w:w="469" w:type="pct"/>
            <w:tcBorders>
              <w:top w:val="nil"/>
              <w:left w:val="nil"/>
              <w:bottom w:val="nil"/>
              <w:right w:val="nil"/>
            </w:tcBorders>
            <w:shd w:val="clear" w:color="auto" w:fill="B4C6E7"/>
            <w:noWrap/>
            <w:vAlign w:val="center"/>
          </w:tcPr>
          <w:p w14:paraId="7CC28826" w14:textId="02138E5B"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2,652</w:t>
            </w:r>
          </w:p>
        </w:tc>
        <w:tc>
          <w:tcPr>
            <w:tcW w:w="390" w:type="pct"/>
            <w:tcBorders>
              <w:top w:val="nil"/>
              <w:left w:val="nil"/>
              <w:bottom w:val="nil"/>
              <w:right w:val="nil"/>
            </w:tcBorders>
            <w:shd w:val="clear" w:color="auto" w:fill="B4C6E7"/>
            <w:noWrap/>
            <w:vAlign w:val="center"/>
          </w:tcPr>
          <w:p w14:paraId="4DEE07E0" w14:textId="1D0112C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hideMark/>
          </w:tcPr>
          <w:p w14:paraId="3FB0EFC5" w14:textId="124EA8B6"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258</w:t>
            </w:r>
          </w:p>
        </w:tc>
        <w:tc>
          <w:tcPr>
            <w:tcW w:w="548" w:type="pct"/>
            <w:tcBorders>
              <w:top w:val="nil"/>
              <w:left w:val="nil"/>
              <w:bottom w:val="nil"/>
              <w:right w:val="nil"/>
            </w:tcBorders>
            <w:shd w:val="clear" w:color="auto" w:fill="B4C6E7"/>
            <w:noWrap/>
            <w:vAlign w:val="center"/>
            <w:hideMark/>
          </w:tcPr>
          <w:p w14:paraId="01EB38C7" w14:textId="314C372F"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1,896,666</w:t>
            </w:r>
          </w:p>
        </w:tc>
      </w:tr>
      <w:tr w:rsidR="004F7DFA" w:rsidRPr="00DA4CC8" w14:paraId="69673C2D" w14:textId="77777777" w:rsidTr="00DA4CC8">
        <w:trPr>
          <w:trHeight w:val="227"/>
        </w:trPr>
        <w:tc>
          <w:tcPr>
            <w:tcW w:w="1094" w:type="pct"/>
            <w:tcBorders>
              <w:top w:val="nil"/>
              <w:left w:val="nil"/>
              <w:bottom w:val="nil"/>
              <w:right w:val="nil"/>
            </w:tcBorders>
            <w:shd w:val="clear" w:color="auto" w:fill="auto"/>
            <w:vAlign w:val="center"/>
          </w:tcPr>
          <w:p w14:paraId="1F581D93" w14:textId="3BEBF7AD" w:rsidR="00963096" w:rsidRPr="00DA4CC8" w:rsidRDefault="00C86AA4"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Tullow Oil Plc</w:t>
            </w:r>
          </w:p>
        </w:tc>
        <w:tc>
          <w:tcPr>
            <w:tcW w:w="547" w:type="pct"/>
            <w:tcBorders>
              <w:top w:val="nil"/>
              <w:left w:val="nil"/>
              <w:bottom w:val="nil"/>
              <w:right w:val="nil"/>
            </w:tcBorders>
            <w:shd w:val="clear" w:color="auto" w:fill="auto"/>
            <w:noWrap/>
            <w:vAlign w:val="center"/>
          </w:tcPr>
          <w:p w14:paraId="12736167" w14:textId="14D9FE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auto"/>
            <w:vAlign w:val="center"/>
          </w:tcPr>
          <w:p w14:paraId="014B7377" w14:textId="07B84F60"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-9,520</w:t>
            </w:r>
          </w:p>
        </w:tc>
        <w:tc>
          <w:tcPr>
            <w:tcW w:w="546" w:type="pct"/>
            <w:tcBorders>
              <w:top w:val="nil"/>
              <w:left w:val="nil"/>
              <w:bottom w:val="nil"/>
              <w:right w:val="nil"/>
            </w:tcBorders>
            <w:shd w:val="clear" w:color="auto" w:fill="auto"/>
            <w:noWrap/>
            <w:vAlign w:val="center"/>
          </w:tcPr>
          <w:p w14:paraId="2DAFEE75" w14:textId="52A585C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-2,329</w:t>
            </w:r>
          </w:p>
        </w:tc>
        <w:tc>
          <w:tcPr>
            <w:tcW w:w="467" w:type="pct"/>
            <w:tcBorders>
              <w:top w:val="nil"/>
              <w:left w:val="nil"/>
              <w:bottom w:val="nil"/>
              <w:right w:val="nil"/>
            </w:tcBorders>
            <w:shd w:val="clear" w:color="auto" w:fill="auto"/>
            <w:noWrap/>
            <w:vAlign w:val="center"/>
          </w:tcPr>
          <w:p w14:paraId="515BC6F5" w14:textId="02FF724A" w:rsidR="00963096" w:rsidRPr="00DA4CC8" w:rsidRDefault="00963096" w:rsidP="00DA4CC8">
            <w:pPr>
              <w:spacing w:after="0" w:line="240" w:lineRule="auto"/>
              <w:jc w:val="right"/>
              <w:rPr>
                <w:rFonts w:ascii="Arial" w:eastAsia="Times New Roman" w:hAnsi="Arial" w:cs="Arial"/>
                <w:color w:val="FF0000"/>
                <w:sz w:val="15"/>
                <w:szCs w:val="15"/>
                <w:lang w:eastAsia="en-GB"/>
              </w:rPr>
            </w:pPr>
          </w:p>
        </w:tc>
        <w:tc>
          <w:tcPr>
            <w:tcW w:w="469" w:type="pct"/>
            <w:tcBorders>
              <w:top w:val="nil"/>
              <w:left w:val="nil"/>
              <w:bottom w:val="nil"/>
              <w:right w:val="nil"/>
            </w:tcBorders>
            <w:shd w:val="clear" w:color="auto" w:fill="auto"/>
            <w:noWrap/>
            <w:vAlign w:val="center"/>
          </w:tcPr>
          <w:p w14:paraId="48EC97A5" w14:textId="47437C2C"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0" w:type="pct"/>
            <w:tcBorders>
              <w:top w:val="nil"/>
              <w:left w:val="nil"/>
              <w:bottom w:val="nil"/>
              <w:right w:val="nil"/>
            </w:tcBorders>
            <w:shd w:val="clear" w:color="auto" w:fill="auto"/>
            <w:noWrap/>
            <w:vAlign w:val="center"/>
          </w:tcPr>
          <w:p w14:paraId="37826B56"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215C8647"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auto"/>
            <w:noWrap/>
            <w:vAlign w:val="center"/>
          </w:tcPr>
          <w:p w14:paraId="759828EE" w14:textId="7544A103"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-11,849</w:t>
            </w:r>
          </w:p>
        </w:tc>
      </w:tr>
      <w:tr w:rsidR="004F7DFA" w:rsidRPr="00DA4CC8" w14:paraId="11592849" w14:textId="77777777" w:rsidTr="00DA4CC8">
        <w:trPr>
          <w:trHeight w:val="227"/>
        </w:trPr>
        <w:tc>
          <w:tcPr>
            <w:tcW w:w="1094" w:type="pct"/>
            <w:tcBorders>
              <w:top w:val="nil"/>
              <w:left w:val="nil"/>
              <w:bottom w:val="nil"/>
              <w:right w:val="nil"/>
            </w:tcBorders>
            <w:shd w:val="clear" w:color="auto" w:fill="B4C6E7"/>
            <w:vAlign w:val="center"/>
            <w:hideMark/>
          </w:tcPr>
          <w:p w14:paraId="3CAF113D" w14:textId="77777777" w:rsidR="00963096" w:rsidRPr="00DA4CC8" w:rsidRDefault="00963096" w:rsidP="00C56292">
            <w:pPr>
              <w:spacing w:after="0" w:line="240" w:lineRule="auto"/>
              <w:rPr>
                <w:rFonts w:ascii="Arial" w:eastAsia="Times New Roman" w:hAnsi="Arial" w:cs="Arial"/>
                <w:color w:val="000000"/>
                <w:sz w:val="15"/>
                <w:szCs w:val="15"/>
                <w:lang w:eastAsia="en-GB"/>
              </w:rPr>
            </w:pPr>
            <w:bookmarkStart w:id="48" w:name="_Hlk179876438"/>
            <w:r w:rsidRPr="00DA4CC8">
              <w:rPr>
                <w:rFonts w:ascii="Arial" w:eastAsia="Times New Roman" w:hAnsi="Arial" w:cs="Arial"/>
                <w:color w:val="000000"/>
                <w:sz w:val="15"/>
                <w:szCs w:val="15"/>
                <w:lang w:eastAsia="en-GB"/>
              </w:rPr>
              <w:t>Waldorf Production UK Ltd</w:t>
            </w:r>
            <w:bookmarkEnd w:id="48"/>
          </w:p>
        </w:tc>
        <w:tc>
          <w:tcPr>
            <w:tcW w:w="547" w:type="pct"/>
            <w:tcBorders>
              <w:top w:val="nil"/>
              <w:left w:val="nil"/>
              <w:bottom w:val="nil"/>
              <w:right w:val="nil"/>
            </w:tcBorders>
            <w:shd w:val="clear" w:color="auto" w:fill="B4C6E7"/>
            <w:noWrap/>
            <w:vAlign w:val="center"/>
          </w:tcPr>
          <w:p w14:paraId="23352FDF" w14:textId="4D387500"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7" w:type="pct"/>
            <w:tcBorders>
              <w:top w:val="nil"/>
              <w:left w:val="nil"/>
              <w:bottom w:val="nil"/>
              <w:right w:val="nil"/>
            </w:tcBorders>
            <w:shd w:val="clear" w:color="auto" w:fill="B4C6E7"/>
            <w:vAlign w:val="center"/>
          </w:tcPr>
          <w:p w14:paraId="781DFBEE" w14:textId="77777777"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6" w:type="pct"/>
            <w:tcBorders>
              <w:top w:val="nil"/>
              <w:left w:val="nil"/>
              <w:bottom w:val="nil"/>
              <w:right w:val="nil"/>
            </w:tcBorders>
            <w:shd w:val="clear" w:color="auto" w:fill="B4C6E7"/>
            <w:noWrap/>
            <w:vAlign w:val="center"/>
          </w:tcPr>
          <w:p w14:paraId="503332C4" w14:textId="25BC9B57"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FF0000"/>
                <w:sz w:val="15"/>
                <w:szCs w:val="15"/>
                <w:lang w:eastAsia="en-GB"/>
              </w:rPr>
              <w:t>-1,208</w:t>
            </w:r>
          </w:p>
        </w:tc>
        <w:tc>
          <w:tcPr>
            <w:tcW w:w="467" w:type="pct"/>
            <w:tcBorders>
              <w:top w:val="nil"/>
              <w:left w:val="nil"/>
              <w:bottom w:val="nil"/>
              <w:right w:val="nil"/>
            </w:tcBorders>
            <w:shd w:val="clear" w:color="auto" w:fill="B4C6E7"/>
            <w:noWrap/>
            <w:vAlign w:val="center"/>
          </w:tcPr>
          <w:p w14:paraId="572F6FC7" w14:textId="4348E4F7" w:rsidR="00963096" w:rsidRPr="00DA4CC8" w:rsidRDefault="00963096" w:rsidP="00DA4CC8">
            <w:pPr>
              <w:spacing w:after="0" w:line="240" w:lineRule="auto"/>
              <w:jc w:val="right"/>
              <w:rPr>
                <w:rFonts w:ascii="Arial" w:eastAsia="Times New Roman" w:hAnsi="Arial" w:cs="Arial"/>
                <w:color w:val="FF0000"/>
                <w:sz w:val="15"/>
                <w:szCs w:val="15"/>
                <w:lang w:eastAsia="en-GB"/>
              </w:rPr>
            </w:pPr>
            <w:r w:rsidRPr="00DA4CC8">
              <w:rPr>
                <w:rFonts w:ascii="Arial" w:eastAsia="Times New Roman" w:hAnsi="Arial" w:cs="Arial"/>
                <w:color w:val="000000"/>
                <w:sz w:val="15"/>
                <w:szCs w:val="15"/>
                <w:lang w:eastAsia="en-GB"/>
              </w:rPr>
              <w:t>735</w:t>
            </w:r>
          </w:p>
        </w:tc>
        <w:tc>
          <w:tcPr>
            <w:tcW w:w="469" w:type="pct"/>
            <w:tcBorders>
              <w:top w:val="nil"/>
              <w:left w:val="nil"/>
              <w:bottom w:val="nil"/>
              <w:right w:val="nil"/>
            </w:tcBorders>
            <w:shd w:val="clear" w:color="auto" w:fill="B4C6E7"/>
            <w:noWrap/>
            <w:vAlign w:val="center"/>
          </w:tcPr>
          <w:p w14:paraId="51E018AF" w14:textId="6626F21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256</w:t>
            </w:r>
          </w:p>
        </w:tc>
        <w:tc>
          <w:tcPr>
            <w:tcW w:w="390" w:type="pct"/>
            <w:tcBorders>
              <w:top w:val="nil"/>
              <w:left w:val="nil"/>
              <w:bottom w:val="nil"/>
              <w:right w:val="nil"/>
            </w:tcBorders>
            <w:shd w:val="clear" w:color="auto" w:fill="B4C6E7"/>
            <w:noWrap/>
            <w:vAlign w:val="center"/>
          </w:tcPr>
          <w:p w14:paraId="1D1FC0ED" w14:textId="4D391CED"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B4C6E7"/>
            <w:noWrap/>
            <w:vAlign w:val="center"/>
          </w:tcPr>
          <w:p w14:paraId="66390549" w14:textId="25BF223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B4C6E7"/>
            <w:noWrap/>
            <w:vAlign w:val="center"/>
            <w:hideMark/>
          </w:tcPr>
          <w:p w14:paraId="348C9C69" w14:textId="5B4E812E"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eastAsia="Times New Roman" w:hAnsi="Arial" w:cs="Arial"/>
                <w:b/>
                <w:bCs/>
                <w:color w:val="FF0000"/>
                <w:sz w:val="15"/>
                <w:szCs w:val="15"/>
                <w:lang w:eastAsia="en-GB"/>
              </w:rPr>
              <w:t>-217</w:t>
            </w:r>
          </w:p>
        </w:tc>
      </w:tr>
      <w:tr w:rsidR="004F7DFA" w:rsidRPr="00DA4CC8" w14:paraId="7FB54E29" w14:textId="77777777" w:rsidTr="00DA4CC8">
        <w:trPr>
          <w:trHeight w:val="227"/>
        </w:trPr>
        <w:tc>
          <w:tcPr>
            <w:tcW w:w="1094" w:type="pct"/>
            <w:tcBorders>
              <w:top w:val="nil"/>
              <w:left w:val="nil"/>
              <w:bottom w:val="nil"/>
              <w:right w:val="nil"/>
            </w:tcBorders>
            <w:shd w:val="clear" w:color="auto" w:fill="auto"/>
            <w:vAlign w:val="center"/>
            <w:hideMark/>
          </w:tcPr>
          <w:p w14:paraId="246B3E94" w14:textId="77777777"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 xml:space="preserve">Wintershall </w:t>
            </w:r>
            <w:proofErr w:type="spellStart"/>
            <w:r w:rsidRPr="00DA4CC8">
              <w:rPr>
                <w:rFonts w:ascii="Arial" w:eastAsia="Times New Roman" w:hAnsi="Arial" w:cs="Arial"/>
                <w:color w:val="000000"/>
                <w:sz w:val="15"/>
                <w:szCs w:val="15"/>
                <w:lang w:eastAsia="en-GB"/>
              </w:rPr>
              <w:t>Noordzee</w:t>
            </w:r>
            <w:proofErr w:type="spellEnd"/>
            <w:r w:rsidRPr="00DA4CC8">
              <w:rPr>
                <w:rFonts w:ascii="Arial" w:eastAsia="Times New Roman" w:hAnsi="Arial" w:cs="Arial"/>
                <w:color w:val="000000"/>
                <w:sz w:val="15"/>
                <w:szCs w:val="15"/>
                <w:lang w:eastAsia="en-GB"/>
              </w:rPr>
              <w:t xml:space="preserve"> B.V.</w:t>
            </w:r>
          </w:p>
        </w:tc>
        <w:tc>
          <w:tcPr>
            <w:tcW w:w="547" w:type="pct"/>
            <w:tcBorders>
              <w:top w:val="nil"/>
              <w:left w:val="nil"/>
              <w:bottom w:val="nil"/>
              <w:right w:val="nil"/>
            </w:tcBorders>
            <w:shd w:val="clear" w:color="auto" w:fill="auto"/>
            <w:noWrap/>
            <w:vAlign w:val="center"/>
          </w:tcPr>
          <w:p w14:paraId="414C873C" w14:textId="510C312E"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5,164</w:t>
            </w:r>
          </w:p>
        </w:tc>
        <w:tc>
          <w:tcPr>
            <w:tcW w:w="547" w:type="pct"/>
            <w:tcBorders>
              <w:top w:val="nil"/>
              <w:left w:val="nil"/>
              <w:bottom w:val="nil"/>
              <w:right w:val="nil"/>
            </w:tcBorders>
            <w:vAlign w:val="center"/>
          </w:tcPr>
          <w:p w14:paraId="151C349C" w14:textId="44C9C0A9"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3,688</w:t>
            </w:r>
          </w:p>
        </w:tc>
        <w:tc>
          <w:tcPr>
            <w:tcW w:w="546" w:type="pct"/>
            <w:tcBorders>
              <w:top w:val="nil"/>
              <w:left w:val="nil"/>
              <w:bottom w:val="nil"/>
              <w:right w:val="nil"/>
            </w:tcBorders>
            <w:shd w:val="clear" w:color="auto" w:fill="auto"/>
            <w:noWrap/>
            <w:vAlign w:val="center"/>
          </w:tcPr>
          <w:p w14:paraId="2FBF01DE" w14:textId="1ABD7E76"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4DB77664" w14:textId="2626B97D"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640</w:t>
            </w:r>
          </w:p>
        </w:tc>
        <w:tc>
          <w:tcPr>
            <w:tcW w:w="469" w:type="pct"/>
            <w:tcBorders>
              <w:top w:val="nil"/>
              <w:left w:val="nil"/>
              <w:bottom w:val="nil"/>
              <w:right w:val="nil"/>
            </w:tcBorders>
            <w:shd w:val="clear" w:color="auto" w:fill="auto"/>
            <w:noWrap/>
            <w:vAlign w:val="center"/>
          </w:tcPr>
          <w:p w14:paraId="1245C4E1" w14:textId="36A6B618"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eastAsia="Times New Roman" w:hAnsi="Arial" w:cs="Arial"/>
                <w:color w:val="000000"/>
                <w:sz w:val="15"/>
                <w:szCs w:val="15"/>
                <w:lang w:eastAsia="en-GB"/>
              </w:rPr>
              <w:t>342</w:t>
            </w:r>
          </w:p>
        </w:tc>
        <w:tc>
          <w:tcPr>
            <w:tcW w:w="390" w:type="pct"/>
            <w:tcBorders>
              <w:top w:val="nil"/>
              <w:left w:val="nil"/>
              <w:bottom w:val="nil"/>
              <w:right w:val="nil"/>
            </w:tcBorders>
            <w:shd w:val="clear" w:color="auto" w:fill="auto"/>
            <w:noWrap/>
            <w:vAlign w:val="center"/>
          </w:tcPr>
          <w:p w14:paraId="199EAA75" w14:textId="23178D63"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392" w:type="pct"/>
            <w:tcBorders>
              <w:top w:val="nil"/>
              <w:left w:val="nil"/>
              <w:bottom w:val="nil"/>
              <w:right w:val="nil"/>
            </w:tcBorders>
            <w:shd w:val="clear" w:color="auto" w:fill="auto"/>
            <w:noWrap/>
            <w:vAlign w:val="center"/>
          </w:tcPr>
          <w:p w14:paraId="76FDFF40" w14:textId="5DA83994"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548" w:type="pct"/>
            <w:tcBorders>
              <w:top w:val="nil"/>
              <w:left w:val="nil"/>
              <w:bottom w:val="nil"/>
              <w:right w:val="nil"/>
            </w:tcBorders>
            <w:shd w:val="clear" w:color="auto" w:fill="auto"/>
            <w:noWrap/>
            <w:vAlign w:val="center"/>
            <w:hideMark/>
          </w:tcPr>
          <w:p w14:paraId="093635A9" w14:textId="53260B0A"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eastAsia="Times New Roman" w:hAnsi="Arial" w:cs="Arial"/>
                <w:b/>
                <w:bCs/>
                <w:color w:val="000000"/>
                <w:sz w:val="15"/>
                <w:szCs w:val="15"/>
                <w:lang w:eastAsia="en-GB"/>
              </w:rPr>
              <w:t>9,835</w:t>
            </w:r>
          </w:p>
        </w:tc>
      </w:tr>
      <w:tr w:rsidR="004F7DFA" w:rsidRPr="00DA4CC8" w14:paraId="4DF14C68" w14:textId="77777777" w:rsidTr="00DA4CC8">
        <w:trPr>
          <w:trHeight w:val="227"/>
        </w:trPr>
        <w:tc>
          <w:tcPr>
            <w:tcW w:w="1094" w:type="pct"/>
            <w:tcBorders>
              <w:top w:val="nil"/>
              <w:left w:val="nil"/>
              <w:bottom w:val="nil"/>
              <w:right w:val="nil"/>
            </w:tcBorders>
            <w:shd w:val="clear" w:color="auto" w:fill="auto"/>
            <w:vAlign w:val="center"/>
          </w:tcPr>
          <w:p w14:paraId="56A80B92" w14:textId="7FB9E49D" w:rsidR="00963096" w:rsidRPr="00DA4CC8" w:rsidRDefault="00963096" w:rsidP="00C56292">
            <w:pPr>
              <w:spacing w:after="0" w:line="240" w:lineRule="auto"/>
              <w:rPr>
                <w:rFonts w:ascii="Arial" w:eastAsia="Times New Roman" w:hAnsi="Arial" w:cs="Arial"/>
                <w:color w:val="000000"/>
                <w:sz w:val="15"/>
                <w:szCs w:val="15"/>
                <w:lang w:eastAsia="en-GB"/>
              </w:rPr>
            </w:pPr>
            <w:r w:rsidRPr="00DA4CC8">
              <w:rPr>
                <w:rFonts w:ascii="Arial" w:hAnsi="Arial" w:cs="Arial"/>
                <w:sz w:val="15"/>
                <w:szCs w:val="15"/>
              </w:rPr>
              <w:t>Other payments</w:t>
            </w:r>
            <w:r w:rsidRPr="00DA4CC8">
              <w:rPr>
                <w:rStyle w:val="FootnoteReference"/>
                <w:rFonts w:ascii="Arial" w:hAnsi="Arial" w:cs="Arial"/>
                <w:sz w:val="15"/>
                <w:szCs w:val="15"/>
              </w:rPr>
              <w:footnoteReference w:id="8"/>
            </w:r>
          </w:p>
        </w:tc>
        <w:tc>
          <w:tcPr>
            <w:tcW w:w="547" w:type="pct"/>
            <w:tcBorders>
              <w:top w:val="nil"/>
              <w:left w:val="nil"/>
              <w:bottom w:val="nil"/>
              <w:right w:val="nil"/>
            </w:tcBorders>
            <w:shd w:val="clear" w:color="auto" w:fill="auto"/>
            <w:noWrap/>
            <w:vAlign w:val="center"/>
          </w:tcPr>
          <w:p w14:paraId="07D0B71C" w14:textId="14329004"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hAnsi="Arial" w:cs="Arial"/>
                <w:sz w:val="15"/>
                <w:szCs w:val="15"/>
              </w:rPr>
              <w:t>5,646</w:t>
            </w:r>
          </w:p>
        </w:tc>
        <w:tc>
          <w:tcPr>
            <w:tcW w:w="547" w:type="pct"/>
            <w:tcBorders>
              <w:top w:val="nil"/>
              <w:left w:val="nil"/>
              <w:bottom w:val="nil"/>
              <w:right w:val="nil"/>
            </w:tcBorders>
            <w:shd w:val="clear" w:color="auto" w:fill="auto"/>
            <w:vAlign w:val="center"/>
          </w:tcPr>
          <w:p w14:paraId="49E8C8A8" w14:textId="79DCF6B4" w:rsidR="00963096" w:rsidRPr="00DA4CC8" w:rsidRDefault="00963096" w:rsidP="00DA4CC8">
            <w:pPr>
              <w:spacing w:after="0" w:line="240" w:lineRule="auto"/>
              <w:jc w:val="right"/>
              <w:rPr>
                <w:rFonts w:ascii="Arial" w:hAnsi="Arial" w:cs="Arial"/>
                <w:sz w:val="15"/>
                <w:szCs w:val="15"/>
              </w:rPr>
            </w:pPr>
            <w:r w:rsidRPr="00DA4CC8">
              <w:rPr>
                <w:rFonts w:ascii="Arial" w:hAnsi="Arial" w:cs="Arial"/>
                <w:color w:val="FF0000"/>
                <w:sz w:val="15"/>
                <w:szCs w:val="15"/>
              </w:rPr>
              <w:t>-5,346</w:t>
            </w:r>
          </w:p>
        </w:tc>
        <w:tc>
          <w:tcPr>
            <w:tcW w:w="546" w:type="pct"/>
            <w:tcBorders>
              <w:top w:val="nil"/>
              <w:left w:val="nil"/>
              <w:bottom w:val="nil"/>
              <w:right w:val="nil"/>
            </w:tcBorders>
            <w:shd w:val="clear" w:color="auto" w:fill="auto"/>
            <w:noWrap/>
            <w:vAlign w:val="center"/>
          </w:tcPr>
          <w:p w14:paraId="35A34D95" w14:textId="020F0ADE" w:rsidR="00963096" w:rsidRPr="00DA4CC8" w:rsidRDefault="00963096" w:rsidP="00DA4CC8">
            <w:pPr>
              <w:spacing w:after="0" w:line="240" w:lineRule="auto"/>
              <w:jc w:val="right"/>
              <w:rPr>
                <w:rFonts w:ascii="Arial" w:eastAsia="Times New Roman" w:hAnsi="Arial" w:cs="Arial"/>
                <w:color w:val="000000"/>
                <w:sz w:val="15"/>
                <w:szCs w:val="15"/>
                <w:lang w:eastAsia="en-GB"/>
              </w:rPr>
            </w:pPr>
          </w:p>
        </w:tc>
        <w:tc>
          <w:tcPr>
            <w:tcW w:w="467" w:type="pct"/>
            <w:tcBorders>
              <w:top w:val="nil"/>
              <w:left w:val="nil"/>
              <w:bottom w:val="nil"/>
              <w:right w:val="nil"/>
            </w:tcBorders>
            <w:shd w:val="clear" w:color="auto" w:fill="auto"/>
            <w:noWrap/>
            <w:vAlign w:val="center"/>
          </w:tcPr>
          <w:p w14:paraId="54E40D7E" w14:textId="437BDF9C"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hAnsi="Arial" w:cs="Arial"/>
                <w:sz w:val="15"/>
                <w:szCs w:val="15"/>
              </w:rPr>
              <w:t>4,277</w:t>
            </w:r>
          </w:p>
        </w:tc>
        <w:tc>
          <w:tcPr>
            <w:tcW w:w="469" w:type="pct"/>
            <w:tcBorders>
              <w:top w:val="nil"/>
              <w:left w:val="nil"/>
              <w:bottom w:val="nil"/>
              <w:right w:val="nil"/>
            </w:tcBorders>
            <w:shd w:val="clear" w:color="auto" w:fill="auto"/>
            <w:noWrap/>
            <w:vAlign w:val="center"/>
          </w:tcPr>
          <w:p w14:paraId="4BE675BC" w14:textId="27DD548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hAnsi="Arial" w:cs="Arial"/>
                <w:sz w:val="15"/>
                <w:szCs w:val="15"/>
              </w:rPr>
              <w:t>1,756</w:t>
            </w:r>
          </w:p>
        </w:tc>
        <w:tc>
          <w:tcPr>
            <w:tcW w:w="390" w:type="pct"/>
            <w:tcBorders>
              <w:top w:val="nil"/>
              <w:left w:val="nil"/>
              <w:bottom w:val="nil"/>
              <w:right w:val="nil"/>
            </w:tcBorders>
            <w:shd w:val="clear" w:color="auto" w:fill="auto"/>
            <w:noWrap/>
            <w:vAlign w:val="center"/>
          </w:tcPr>
          <w:p w14:paraId="633F9AC4" w14:textId="06AF74B2"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hAnsi="Arial" w:cs="Arial"/>
                <w:sz w:val="15"/>
                <w:szCs w:val="15"/>
              </w:rPr>
              <w:t>39</w:t>
            </w:r>
          </w:p>
        </w:tc>
        <w:tc>
          <w:tcPr>
            <w:tcW w:w="392" w:type="pct"/>
            <w:tcBorders>
              <w:top w:val="nil"/>
              <w:left w:val="nil"/>
              <w:bottom w:val="nil"/>
              <w:right w:val="nil"/>
            </w:tcBorders>
            <w:shd w:val="clear" w:color="auto" w:fill="auto"/>
            <w:noWrap/>
            <w:vAlign w:val="center"/>
          </w:tcPr>
          <w:p w14:paraId="1A213982" w14:textId="141C7B3A" w:rsidR="00963096" w:rsidRPr="00DA4CC8" w:rsidRDefault="00963096" w:rsidP="00DA4CC8">
            <w:pPr>
              <w:spacing w:after="0" w:line="240" w:lineRule="auto"/>
              <w:jc w:val="right"/>
              <w:rPr>
                <w:rFonts w:ascii="Arial" w:eastAsia="Times New Roman" w:hAnsi="Arial" w:cs="Arial"/>
                <w:color w:val="000000"/>
                <w:sz w:val="15"/>
                <w:szCs w:val="15"/>
                <w:lang w:eastAsia="en-GB"/>
              </w:rPr>
            </w:pPr>
            <w:r w:rsidRPr="00DA4CC8">
              <w:rPr>
                <w:rFonts w:ascii="Arial" w:hAnsi="Arial" w:cs="Arial"/>
                <w:sz w:val="15"/>
                <w:szCs w:val="15"/>
              </w:rPr>
              <w:t>48</w:t>
            </w:r>
          </w:p>
        </w:tc>
        <w:tc>
          <w:tcPr>
            <w:tcW w:w="548" w:type="pct"/>
            <w:tcBorders>
              <w:top w:val="nil"/>
              <w:left w:val="nil"/>
              <w:bottom w:val="nil"/>
              <w:right w:val="nil"/>
            </w:tcBorders>
            <w:shd w:val="clear" w:color="auto" w:fill="auto"/>
            <w:noWrap/>
            <w:vAlign w:val="center"/>
          </w:tcPr>
          <w:p w14:paraId="07A7DDB6" w14:textId="70F31BB9" w:rsidR="00963096" w:rsidRPr="00DA4CC8" w:rsidRDefault="00963096" w:rsidP="00DA4CC8">
            <w:pPr>
              <w:spacing w:after="0" w:line="240" w:lineRule="auto"/>
              <w:jc w:val="right"/>
              <w:rPr>
                <w:rFonts w:ascii="Arial" w:eastAsia="Times New Roman" w:hAnsi="Arial" w:cs="Arial"/>
                <w:b/>
                <w:bCs/>
                <w:color w:val="000000"/>
                <w:sz w:val="15"/>
                <w:szCs w:val="15"/>
                <w:lang w:eastAsia="en-GB"/>
              </w:rPr>
            </w:pPr>
            <w:r w:rsidRPr="00DA4CC8">
              <w:rPr>
                <w:rFonts w:ascii="Arial" w:hAnsi="Arial" w:cs="Arial"/>
                <w:b/>
                <w:bCs/>
                <w:sz w:val="15"/>
                <w:szCs w:val="15"/>
              </w:rPr>
              <w:t>6,420</w:t>
            </w:r>
          </w:p>
        </w:tc>
      </w:tr>
      <w:tr w:rsidR="008C6D8B" w:rsidRPr="00CE013A" w14:paraId="777DC29D" w14:textId="77777777" w:rsidTr="4FAFC775">
        <w:trPr>
          <w:trHeight w:val="227"/>
        </w:trPr>
        <w:tc>
          <w:tcPr>
            <w:tcW w:w="1094" w:type="pct"/>
            <w:tcBorders>
              <w:top w:val="single" w:sz="12" w:space="0" w:color="4472C4"/>
              <w:left w:val="nil"/>
              <w:bottom w:val="single" w:sz="12" w:space="0" w:color="4472C4"/>
              <w:right w:val="nil"/>
            </w:tcBorders>
            <w:shd w:val="clear" w:color="auto" w:fill="203764"/>
            <w:noWrap/>
            <w:vAlign w:val="center"/>
            <w:hideMark/>
          </w:tcPr>
          <w:p w14:paraId="69847CD1" w14:textId="77777777" w:rsidR="00963096" w:rsidRPr="00DA4CC8" w:rsidRDefault="00963096" w:rsidP="00C56292">
            <w:pPr>
              <w:spacing w:after="0" w:line="240" w:lineRule="auto"/>
              <w:rPr>
                <w:rFonts w:ascii="Arial" w:eastAsia="Times New Roman" w:hAnsi="Arial" w:cs="Arial"/>
                <w:b/>
                <w:bCs/>
                <w:color w:val="FFFFFF"/>
                <w:sz w:val="15"/>
                <w:szCs w:val="15"/>
                <w:lang w:eastAsia="en-GB"/>
              </w:rPr>
            </w:pPr>
            <w:r w:rsidRPr="00DA4CC8">
              <w:rPr>
                <w:rFonts w:ascii="Arial" w:eastAsia="Times New Roman" w:hAnsi="Arial" w:cs="Arial"/>
                <w:b/>
                <w:bCs/>
                <w:color w:val="FFFFFF"/>
                <w:sz w:val="15"/>
                <w:szCs w:val="15"/>
                <w:lang w:eastAsia="en-GB"/>
              </w:rPr>
              <w:t>Total</w:t>
            </w:r>
          </w:p>
        </w:tc>
        <w:tc>
          <w:tcPr>
            <w:tcW w:w="547" w:type="pct"/>
            <w:tcBorders>
              <w:top w:val="single" w:sz="12" w:space="0" w:color="4472C4"/>
              <w:left w:val="nil"/>
              <w:bottom w:val="single" w:sz="12" w:space="0" w:color="4472C4"/>
              <w:right w:val="nil"/>
            </w:tcBorders>
            <w:shd w:val="clear" w:color="auto" w:fill="203764"/>
            <w:noWrap/>
            <w:vAlign w:val="center"/>
          </w:tcPr>
          <w:p w14:paraId="1AB55CEF" w14:textId="076A327C"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FFFF"/>
                <w:sz w:val="15"/>
                <w:szCs w:val="15"/>
              </w:rPr>
              <w:t>3,921,399</w:t>
            </w:r>
          </w:p>
        </w:tc>
        <w:tc>
          <w:tcPr>
            <w:tcW w:w="547" w:type="pct"/>
            <w:tcBorders>
              <w:top w:val="single" w:sz="12" w:space="0" w:color="4472C4"/>
              <w:left w:val="nil"/>
              <w:bottom w:val="single" w:sz="12" w:space="0" w:color="4472C4"/>
              <w:right w:val="nil"/>
            </w:tcBorders>
            <w:shd w:val="clear" w:color="auto" w:fill="203764"/>
            <w:vAlign w:val="center"/>
          </w:tcPr>
          <w:p w14:paraId="0C274A11" w14:textId="68BEAE2A" w:rsidR="00963096" w:rsidRPr="00DA4CC8" w:rsidRDefault="00963096" w:rsidP="00DA4CC8">
            <w:pPr>
              <w:spacing w:after="0" w:line="240" w:lineRule="auto"/>
              <w:jc w:val="right"/>
              <w:rPr>
                <w:rFonts w:ascii="Arial" w:hAnsi="Arial" w:cs="Arial"/>
                <w:b/>
                <w:bCs/>
                <w:color w:val="FFFFFF"/>
                <w:sz w:val="15"/>
                <w:szCs w:val="15"/>
              </w:rPr>
            </w:pPr>
            <w:r w:rsidRPr="00DA4CC8">
              <w:rPr>
                <w:rFonts w:ascii="Arial" w:hAnsi="Arial" w:cs="Arial"/>
                <w:b/>
                <w:bCs/>
                <w:color w:val="FFFFFF"/>
                <w:sz w:val="15"/>
                <w:szCs w:val="15"/>
              </w:rPr>
              <w:t>3,842,910</w:t>
            </w:r>
          </w:p>
        </w:tc>
        <w:tc>
          <w:tcPr>
            <w:tcW w:w="546" w:type="pct"/>
            <w:tcBorders>
              <w:top w:val="single" w:sz="12" w:space="0" w:color="4472C4"/>
              <w:left w:val="nil"/>
              <w:bottom w:val="single" w:sz="12" w:space="0" w:color="4472C4"/>
              <w:right w:val="nil"/>
            </w:tcBorders>
            <w:shd w:val="clear" w:color="auto" w:fill="203764"/>
            <w:noWrap/>
            <w:vAlign w:val="center"/>
          </w:tcPr>
          <w:p w14:paraId="2FF23389" w14:textId="550A7E9D"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0000"/>
                <w:sz w:val="15"/>
                <w:szCs w:val="15"/>
              </w:rPr>
              <w:t>-349,477</w:t>
            </w:r>
          </w:p>
        </w:tc>
        <w:tc>
          <w:tcPr>
            <w:tcW w:w="467" w:type="pct"/>
            <w:tcBorders>
              <w:top w:val="single" w:sz="12" w:space="0" w:color="4472C4"/>
              <w:left w:val="nil"/>
              <w:bottom w:val="single" w:sz="12" w:space="0" w:color="4472C4"/>
              <w:right w:val="nil"/>
            </w:tcBorders>
            <w:shd w:val="clear" w:color="auto" w:fill="203764"/>
            <w:noWrap/>
            <w:vAlign w:val="center"/>
            <w:hideMark/>
          </w:tcPr>
          <w:p w14:paraId="79AFD6FF" w14:textId="762C6D14" w:rsidR="00963096" w:rsidRPr="00DA4CC8" w:rsidRDefault="00963096" w:rsidP="00DA4CC8">
            <w:pPr>
              <w:spacing w:after="0" w:line="240" w:lineRule="auto"/>
              <w:jc w:val="right"/>
              <w:rPr>
                <w:rFonts w:ascii="Arial" w:eastAsia="Times New Roman" w:hAnsi="Arial" w:cs="Arial"/>
                <w:b/>
                <w:bCs/>
                <w:color w:val="FF0000"/>
                <w:sz w:val="15"/>
                <w:szCs w:val="15"/>
                <w:lang w:eastAsia="en-GB"/>
              </w:rPr>
            </w:pPr>
            <w:r w:rsidRPr="00DA4CC8">
              <w:rPr>
                <w:rFonts w:ascii="Arial" w:hAnsi="Arial" w:cs="Arial"/>
                <w:b/>
                <w:bCs/>
                <w:color w:val="FFFFFF"/>
                <w:sz w:val="15"/>
                <w:szCs w:val="15"/>
              </w:rPr>
              <w:t>46,881</w:t>
            </w:r>
          </w:p>
        </w:tc>
        <w:tc>
          <w:tcPr>
            <w:tcW w:w="469" w:type="pct"/>
            <w:tcBorders>
              <w:top w:val="single" w:sz="12" w:space="0" w:color="4472C4"/>
              <w:left w:val="nil"/>
              <w:bottom w:val="single" w:sz="12" w:space="0" w:color="4472C4"/>
              <w:right w:val="nil"/>
            </w:tcBorders>
            <w:shd w:val="clear" w:color="auto" w:fill="203764"/>
            <w:noWrap/>
            <w:vAlign w:val="center"/>
            <w:hideMark/>
          </w:tcPr>
          <w:p w14:paraId="69D7F8BC" w14:textId="216180B8"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FFFF"/>
                <w:sz w:val="15"/>
                <w:szCs w:val="15"/>
              </w:rPr>
              <w:t>30,422</w:t>
            </w:r>
          </w:p>
        </w:tc>
        <w:tc>
          <w:tcPr>
            <w:tcW w:w="390" w:type="pct"/>
            <w:tcBorders>
              <w:top w:val="single" w:sz="12" w:space="0" w:color="4472C4"/>
              <w:left w:val="nil"/>
              <w:bottom w:val="single" w:sz="12" w:space="0" w:color="4472C4"/>
              <w:right w:val="nil"/>
            </w:tcBorders>
            <w:shd w:val="clear" w:color="auto" w:fill="203764"/>
            <w:noWrap/>
            <w:vAlign w:val="center"/>
            <w:hideMark/>
          </w:tcPr>
          <w:p w14:paraId="1D6E2721" w14:textId="3493CE6A"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FFFF"/>
                <w:sz w:val="15"/>
                <w:szCs w:val="15"/>
              </w:rPr>
              <w:t>1,946</w:t>
            </w:r>
          </w:p>
        </w:tc>
        <w:tc>
          <w:tcPr>
            <w:tcW w:w="392" w:type="pct"/>
            <w:tcBorders>
              <w:top w:val="single" w:sz="12" w:space="0" w:color="4472C4"/>
              <w:left w:val="nil"/>
              <w:bottom w:val="single" w:sz="12" w:space="0" w:color="4472C4"/>
              <w:right w:val="nil"/>
            </w:tcBorders>
            <w:shd w:val="clear" w:color="auto" w:fill="203764"/>
            <w:noWrap/>
            <w:vAlign w:val="center"/>
            <w:hideMark/>
          </w:tcPr>
          <w:p w14:paraId="25DFE6DF" w14:textId="25627B7F" w:rsidR="00963096" w:rsidRPr="00DA4CC8"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FFFF"/>
                <w:sz w:val="15"/>
                <w:szCs w:val="15"/>
              </w:rPr>
              <w:t>1,675</w:t>
            </w:r>
          </w:p>
        </w:tc>
        <w:tc>
          <w:tcPr>
            <w:tcW w:w="548" w:type="pct"/>
            <w:tcBorders>
              <w:top w:val="single" w:sz="12" w:space="0" w:color="4472C4"/>
              <w:left w:val="nil"/>
              <w:bottom w:val="single" w:sz="12" w:space="0" w:color="4472C4"/>
              <w:right w:val="nil"/>
            </w:tcBorders>
            <w:shd w:val="clear" w:color="auto" w:fill="203764"/>
            <w:noWrap/>
            <w:vAlign w:val="center"/>
            <w:hideMark/>
          </w:tcPr>
          <w:p w14:paraId="19A8B03D" w14:textId="4E287973" w:rsidR="00963096" w:rsidRPr="00CE013A" w:rsidRDefault="00963096" w:rsidP="00DA4CC8">
            <w:pPr>
              <w:spacing w:after="0" w:line="240" w:lineRule="auto"/>
              <w:jc w:val="right"/>
              <w:rPr>
                <w:rFonts w:ascii="Arial" w:eastAsia="Times New Roman" w:hAnsi="Arial" w:cs="Arial"/>
                <w:b/>
                <w:bCs/>
                <w:color w:val="FFFFFF"/>
                <w:sz w:val="15"/>
                <w:szCs w:val="15"/>
                <w:lang w:eastAsia="en-GB"/>
              </w:rPr>
            </w:pPr>
            <w:r w:rsidRPr="00DA4CC8">
              <w:rPr>
                <w:rFonts w:ascii="Arial" w:hAnsi="Arial" w:cs="Arial"/>
                <w:b/>
                <w:bCs/>
                <w:color w:val="FFFFFF"/>
                <w:sz w:val="15"/>
                <w:szCs w:val="15"/>
              </w:rPr>
              <w:t>7,495,756</w:t>
            </w:r>
          </w:p>
        </w:tc>
      </w:tr>
    </w:tbl>
    <w:p w14:paraId="39200794" w14:textId="0C3FB954" w:rsidR="00842FDA" w:rsidRPr="0035568A" w:rsidRDefault="00842FDA" w:rsidP="001E36F1">
      <w:pPr>
        <w:pStyle w:val="Caption"/>
        <w:spacing w:before="240"/>
        <w:rPr>
          <w:rFonts w:asciiTheme="minorBidi" w:eastAsia="Calibri" w:hAnsiTheme="minorBidi"/>
          <w:b w:val="0"/>
          <w:bCs w:val="0"/>
          <w:iCs/>
          <w:color w:val="auto"/>
          <w:sz w:val="22"/>
          <w:szCs w:val="22"/>
          <w:lang w:eastAsia="x-none"/>
        </w:rPr>
      </w:pPr>
      <w:bookmarkStart w:id="49" w:name="_Toc177118484"/>
      <w:bookmarkStart w:id="50" w:name="_Toc478377619"/>
      <w:bookmarkStart w:id="51" w:name="_Toc513063220"/>
      <w:r w:rsidRPr="0035568A">
        <w:rPr>
          <w:rFonts w:asciiTheme="minorBidi" w:eastAsia="Calibri" w:hAnsiTheme="minorBidi"/>
          <w:iCs/>
          <w:smallCaps w:val="0"/>
          <w:color w:val="auto"/>
          <w:spacing w:val="0"/>
          <w:sz w:val="22"/>
          <w:szCs w:val="22"/>
          <w:lang w:eastAsia="x-none"/>
        </w:rPr>
        <w:lastRenderedPageBreak/>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4</w:t>
      </w:r>
      <w:r w:rsidRPr="0035568A">
        <w:rPr>
          <w:rFonts w:asciiTheme="minorBidi" w:hAnsiTheme="minorBidi"/>
          <w:color w:val="auto"/>
          <w:sz w:val="22"/>
          <w:szCs w:val="22"/>
        </w:rPr>
        <w:fldChar w:fldCharType="end"/>
      </w:r>
      <w:r w:rsidRPr="0035568A">
        <w:rPr>
          <w:rFonts w:asciiTheme="minorBidi" w:hAnsiTheme="minorBidi"/>
          <w:color w:val="auto"/>
          <w:sz w:val="22"/>
          <w:szCs w:val="22"/>
        </w:rPr>
        <w:t xml:space="preserve">: </w:t>
      </w:r>
      <w:r w:rsidRPr="0035568A">
        <w:rPr>
          <w:rFonts w:asciiTheme="minorBidi" w:eastAsia="Calibri" w:hAnsiTheme="minorBidi"/>
          <w:iCs/>
          <w:smallCaps w:val="0"/>
          <w:color w:val="auto"/>
          <w:spacing w:val="0"/>
          <w:sz w:val="22"/>
          <w:szCs w:val="22"/>
          <w:lang w:eastAsia="x-none"/>
        </w:rPr>
        <w:t>Mining &amp; Quarrying companies</w:t>
      </w:r>
      <w:bookmarkEnd w:id="49"/>
    </w:p>
    <w:bookmarkEnd w:id="50"/>
    <w:bookmarkEnd w:id="51"/>
    <w:p w14:paraId="367F4E0F" w14:textId="06F69299" w:rsidR="00F71FBC" w:rsidRPr="00F71FBC" w:rsidRDefault="00022E0E" w:rsidP="00B51E9A">
      <w:pPr>
        <w:autoSpaceDE w:val="0"/>
        <w:autoSpaceDN w:val="0"/>
        <w:adjustRightInd w:val="0"/>
        <w:spacing w:after="180" w:line="240" w:lineRule="auto"/>
        <w:jc w:val="both"/>
        <w:rPr>
          <w:rFonts w:ascii="Arial" w:eastAsia="Calibri" w:hAnsi="Arial" w:cs="Arial"/>
          <w:color w:val="000000"/>
          <w:sz w:val="23"/>
          <w:szCs w:val="23"/>
        </w:rPr>
      </w:pPr>
      <w:r w:rsidRPr="0035568A">
        <w:rPr>
          <w:rFonts w:ascii="Arial" w:eastAsia="Calibri" w:hAnsi="Arial" w:cs="Arial"/>
          <w:color w:val="000000"/>
          <w:sz w:val="23"/>
          <w:szCs w:val="23"/>
        </w:rPr>
        <w:t xml:space="preserve">This table </w:t>
      </w:r>
      <w:r w:rsidR="0070437E" w:rsidRPr="0035568A">
        <w:rPr>
          <w:rFonts w:ascii="Arial" w:eastAsia="Calibri" w:hAnsi="Arial" w:cs="Arial"/>
          <w:color w:val="000000"/>
          <w:sz w:val="23"/>
          <w:szCs w:val="23"/>
        </w:rPr>
        <w:t>lists</w:t>
      </w:r>
      <w:r w:rsidRPr="0035568A">
        <w:rPr>
          <w:rFonts w:ascii="Arial" w:eastAsia="Calibri" w:hAnsi="Arial" w:cs="Arial"/>
          <w:color w:val="000000"/>
          <w:sz w:val="23"/>
          <w:szCs w:val="23"/>
        </w:rPr>
        <w:t xml:space="preserve"> the mining and quarrying </w:t>
      </w:r>
      <w:r w:rsidR="00CC27DB" w:rsidRPr="0035568A">
        <w:rPr>
          <w:rFonts w:ascii="Arial" w:eastAsia="Calibri" w:hAnsi="Arial" w:cs="Arial"/>
          <w:color w:val="000000"/>
          <w:sz w:val="23"/>
          <w:szCs w:val="23"/>
        </w:rPr>
        <w:t xml:space="preserve">companies </w:t>
      </w:r>
      <w:r w:rsidRPr="0035568A">
        <w:rPr>
          <w:rFonts w:ascii="Arial" w:eastAsia="Calibri" w:hAnsi="Arial" w:cs="Arial"/>
          <w:color w:val="000000"/>
          <w:sz w:val="23"/>
          <w:szCs w:val="23"/>
        </w:rPr>
        <w:t xml:space="preserve">that participated in the </w:t>
      </w:r>
      <w:r w:rsidR="0056717B" w:rsidRPr="0035568A">
        <w:rPr>
          <w:rFonts w:ascii="Arial" w:eastAsia="Calibri" w:hAnsi="Arial" w:cs="Arial"/>
          <w:color w:val="000000"/>
          <w:sz w:val="23"/>
          <w:szCs w:val="23"/>
        </w:rPr>
        <w:t xml:space="preserve">2023 </w:t>
      </w:r>
      <w:r w:rsidR="0070437E" w:rsidRPr="0035568A">
        <w:rPr>
          <w:rFonts w:ascii="Arial" w:eastAsia="Calibri" w:hAnsi="Arial" w:cs="Arial"/>
          <w:color w:val="000000"/>
          <w:sz w:val="23"/>
          <w:szCs w:val="23"/>
        </w:rPr>
        <w:t xml:space="preserve">reconciliation </w:t>
      </w:r>
      <w:r w:rsidRPr="0035568A">
        <w:rPr>
          <w:rFonts w:ascii="Arial" w:eastAsia="Calibri" w:hAnsi="Arial" w:cs="Arial"/>
          <w:color w:val="000000"/>
          <w:sz w:val="23"/>
          <w:szCs w:val="23"/>
        </w:rPr>
        <w:t xml:space="preserve">process and provides a breakdown of their total corporation tax payments and </w:t>
      </w:r>
      <w:proofErr w:type="gramStart"/>
      <w:r w:rsidRPr="0035568A">
        <w:rPr>
          <w:rFonts w:ascii="Arial" w:eastAsia="Calibri" w:hAnsi="Arial" w:cs="Arial"/>
          <w:color w:val="000000"/>
          <w:sz w:val="23"/>
          <w:szCs w:val="23"/>
        </w:rPr>
        <w:t>receipts</w:t>
      </w:r>
      <w:proofErr w:type="gramEnd"/>
      <w:r w:rsidRPr="0035568A">
        <w:rPr>
          <w:rFonts w:ascii="Arial" w:eastAsia="Calibri" w:hAnsi="Arial" w:cs="Arial"/>
          <w:color w:val="000000"/>
          <w:sz w:val="23"/>
          <w:szCs w:val="23"/>
        </w:rPr>
        <w:t xml:space="preserve"> and their total payments made to TCE</w:t>
      </w:r>
      <w:r w:rsidR="0026759D" w:rsidRPr="0035568A">
        <w:rPr>
          <w:rFonts w:ascii="Arial" w:eastAsia="Calibri" w:hAnsi="Arial" w:cs="Arial"/>
          <w:color w:val="000000"/>
          <w:sz w:val="23"/>
          <w:szCs w:val="23"/>
        </w:rPr>
        <w:t xml:space="preserve"> </w:t>
      </w:r>
      <w:r w:rsidR="000D3EC9" w:rsidRPr="0035568A">
        <w:rPr>
          <w:rFonts w:ascii="Arial" w:eastAsia="Calibri" w:hAnsi="Arial" w:cs="Arial"/>
          <w:color w:val="000000"/>
          <w:sz w:val="23"/>
          <w:szCs w:val="23"/>
        </w:rPr>
        <w:t xml:space="preserve">that </w:t>
      </w:r>
      <w:r w:rsidR="00491B41" w:rsidRPr="0035568A">
        <w:rPr>
          <w:rFonts w:ascii="Arial" w:eastAsia="Calibri" w:hAnsi="Arial" w:cs="Arial"/>
          <w:color w:val="000000"/>
          <w:sz w:val="23"/>
          <w:szCs w:val="23"/>
        </w:rPr>
        <w:t>exceeded</w:t>
      </w:r>
      <w:r w:rsidR="000D3EC9" w:rsidRPr="0035568A">
        <w:rPr>
          <w:rFonts w:ascii="Arial" w:eastAsia="Calibri" w:hAnsi="Arial" w:cs="Arial"/>
          <w:color w:val="000000"/>
          <w:sz w:val="23"/>
          <w:szCs w:val="23"/>
        </w:rPr>
        <w:t xml:space="preserve"> the materiality threshold. </w:t>
      </w:r>
      <w:r w:rsidR="00316310" w:rsidRPr="0035568A">
        <w:rPr>
          <w:rFonts w:ascii="Arial" w:eastAsia="Calibri" w:hAnsi="Arial" w:cs="Arial"/>
          <w:color w:val="000000"/>
          <w:sz w:val="23"/>
          <w:szCs w:val="23"/>
        </w:rPr>
        <w:t>T</w:t>
      </w:r>
      <w:r w:rsidR="006D0E43" w:rsidRPr="0035568A">
        <w:rPr>
          <w:rFonts w:ascii="Arial" w:eastAsia="Calibri" w:hAnsi="Arial" w:cs="Arial"/>
          <w:color w:val="000000"/>
          <w:sz w:val="23"/>
          <w:szCs w:val="23"/>
        </w:rPr>
        <w:t>here were no payments by these companies to CES</w:t>
      </w:r>
      <w:r w:rsidRPr="0035568A">
        <w:rPr>
          <w:rFonts w:ascii="Arial" w:eastAsia="Calibri" w:hAnsi="Arial" w:cs="Arial"/>
          <w:color w:val="000000"/>
          <w:sz w:val="23"/>
          <w:szCs w:val="23"/>
        </w:rPr>
        <w:t>.</w:t>
      </w:r>
    </w:p>
    <w:tbl>
      <w:tblPr>
        <w:tblW w:w="5000" w:type="pct"/>
        <w:tblLook w:val="04A0" w:firstRow="1" w:lastRow="0" w:firstColumn="1" w:lastColumn="0" w:noHBand="0" w:noVBand="1"/>
      </w:tblPr>
      <w:tblGrid>
        <w:gridCol w:w="2775"/>
        <w:gridCol w:w="1215"/>
        <w:gridCol w:w="1231"/>
        <w:gridCol w:w="1231"/>
        <w:gridCol w:w="1231"/>
        <w:gridCol w:w="1343"/>
      </w:tblGrid>
      <w:tr w:rsidR="00E9772C" w:rsidRPr="001A0801" w14:paraId="18B028BD" w14:textId="77777777" w:rsidTr="00DA4CC8">
        <w:trPr>
          <w:trHeight w:val="113"/>
        </w:trPr>
        <w:tc>
          <w:tcPr>
            <w:tcW w:w="5000" w:type="pct"/>
            <w:gridSpan w:val="6"/>
            <w:tcBorders>
              <w:top w:val="nil"/>
              <w:left w:val="nil"/>
              <w:bottom w:val="single" w:sz="12" w:space="0" w:color="4472C4"/>
              <w:right w:val="nil"/>
            </w:tcBorders>
            <w:shd w:val="clear" w:color="auto" w:fill="auto"/>
            <w:noWrap/>
            <w:vAlign w:val="center"/>
          </w:tcPr>
          <w:p w14:paraId="60BEF454" w14:textId="04393A36" w:rsidR="00E9772C" w:rsidRPr="001A0801" w:rsidRDefault="00E9772C" w:rsidP="00DA4CC8">
            <w:pPr>
              <w:spacing w:after="0" w:line="240" w:lineRule="auto"/>
              <w:jc w:val="right"/>
              <w:rPr>
                <w:rFonts w:ascii="Trebuchet MS" w:eastAsia="Times New Roman" w:hAnsi="Trebuchet MS" w:cs="Arial"/>
                <w:b/>
                <w:bCs/>
                <w:color w:val="FFFFFF"/>
                <w:sz w:val="15"/>
                <w:szCs w:val="15"/>
                <w:lang w:eastAsia="en-GB"/>
              </w:rPr>
            </w:pPr>
            <w:r w:rsidRPr="00CE013A">
              <w:rPr>
                <w:rFonts w:ascii="Arial" w:eastAsia="Times New Roman" w:hAnsi="Arial" w:cs="Arial"/>
                <w:i/>
                <w:iCs/>
                <w:sz w:val="15"/>
                <w:szCs w:val="15"/>
                <w:lang w:eastAsia="en-GB"/>
              </w:rPr>
              <w:t>(in £000)</w:t>
            </w:r>
          </w:p>
        </w:tc>
      </w:tr>
      <w:tr w:rsidR="00FD3AEF" w:rsidRPr="001A0801" w14:paraId="2E5A376B" w14:textId="77777777" w:rsidTr="4FAFC775">
        <w:trPr>
          <w:trHeight w:val="227"/>
        </w:trPr>
        <w:tc>
          <w:tcPr>
            <w:tcW w:w="1537" w:type="pct"/>
            <w:vMerge w:val="restart"/>
            <w:tcBorders>
              <w:top w:val="nil"/>
              <w:left w:val="nil"/>
              <w:bottom w:val="single" w:sz="12" w:space="0" w:color="4472C4"/>
              <w:right w:val="nil"/>
            </w:tcBorders>
            <w:shd w:val="clear" w:color="auto" w:fill="203764"/>
            <w:noWrap/>
            <w:vAlign w:val="center"/>
            <w:hideMark/>
          </w:tcPr>
          <w:p w14:paraId="416EADB3" w14:textId="77777777" w:rsidR="001A0801" w:rsidRPr="001A0801" w:rsidRDefault="001A0801" w:rsidP="001A0801">
            <w:pPr>
              <w:spacing w:after="0" w:line="240" w:lineRule="auto"/>
              <w:rPr>
                <w:rFonts w:ascii="Arial" w:eastAsia="Times New Roman" w:hAnsi="Arial" w:cs="Arial"/>
                <w:b/>
                <w:bCs/>
                <w:color w:val="FFFFFF"/>
                <w:sz w:val="15"/>
                <w:szCs w:val="15"/>
                <w:lang w:eastAsia="en-GB"/>
              </w:rPr>
            </w:pPr>
            <w:r w:rsidRPr="001A0801">
              <w:rPr>
                <w:rFonts w:ascii="Arial" w:eastAsia="Times New Roman" w:hAnsi="Arial" w:cs="Arial"/>
                <w:b/>
                <w:bCs/>
                <w:color w:val="FFFFFF"/>
                <w:sz w:val="15"/>
                <w:szCs w:val="15"/>
                <w:lang w:eastAsia="en-GB"/>
              </w:rPr>
              <w:t>Companies</w:t>
            </w:r>
          </w:p>
        </w:tc>
        <w:tc>
          <w:tcPr>
            <w:tcW w:w="3463" w:type="pct"/>
            <w:gridSpan w:val="5"/>
            <w:tcBorders>
              <w:top w:val="nil"/>
              <w:left w:val="nil"/>
              <w:bottom w:val="single" w:sz="8" w:space="0" w:color="FFFFFF" w:themeColor="background1"/>
              <w:right w:val="nil"/>
            </w:tcBorders>
            <w:shd w:val="clear" w:color="auto" w:fill="203764"/>
            <w:vAlign w:val="center"/>
            <w:hideMark/>
          </w:tcPr>
          <w:p w14:paraId="4E0A92E7" w14:textId="77777777" w:rsidR="001A0801" w:rsidRPr="001A0801" w:rsidRDefault="001A0801" w:rsidP="001A0801">
            <w:pPr>
              <w:spacing w:after="0" w:line="240" w:lineRule="auto"/>
              <w:jc w:val="center"/>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As reported by Government Agencies</w:t>
            </w:r>
          </w:p>
        </w:tc>
      </w:tr>
      <w:tr w:rsidR="009E3AF8" w:rsidRPr="001A0801" w14:paraId="1F25DFC0" w14:textId="77777777" w:rsidTr="4FAFC775">
        <w:trPr>
          <w:trHeight w:val="227"/>
        </w:trPr>
        <w:tc>
          <w:tcPr>
            <w:tcW w:w="1537" w:type="pct"/>
            <w:vMerge/>
            <w:vAlign w:val="center"/>
            <w:hideMark/>
          </w:tcPr>
          <w:p w14:paraId="0B6A8728" w14:textId="77777777" w:rsidR="001A0801" w:rsidRPr="001A0801" w:rsidRDefault="001A0801" w:rsidP="001A0801">
            <w:pPr>
              <w:spacing w:after="0" w:line="240" w:lineRule="auto"/>
              <w:rPr>
                <w:rFonts w:ascii="Arial" w:eastAsia="Times New Roman" w:hAnsi="Arial" w:cs="Arial"/>
                <w:b/>
                <w:bCs/>
                <w:color w:val="FFFFFF"/>
                <w:sz w:val="15"/>
                <w:szCs w:val="15"/>
                <w:lang w:eastAsia="en-GB"/>
              </w:rPr>
            </w:pPr>
          </w:p>
        </w:tc>
        <w:tc>
          <w:tcPr>
            <w:tcW w:w="673" w:type="pct"/>
            <w:tcBorders>
              <w:top w:val="nil"/>
              <w:left w:val="nil"/>
              <w:bottom w:val="single" w:sz="12" w:space="0" w:color="4472C4"/>
              <w:right w:val="nil"/>
            </w:tcBorders>
            <w:shd w:val="clear" w:color="auto" w:fill="203764"/>
            <w:vAlign w:val="center"/>
            <w:hideMark/>
          </w:tcPr>
          <w:p w14:paraId="10CFCC38" w14:textId="77777777" w:rsidR="001A0801" w:rsidRPr="001A0801" w:rsidRDefault="001A0801" w:rsidP="001A0801">
            <w:pPr>
              <w:spacing w:after="0" w:line="240" w:lineRule="auto"/>
              <w:jc w:val="right"/>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Mainstream Corporation Tax</w:t>
            </w:r>
          </w:p>
        </w:tc>
        <w:tc>
          <w:tcPr>
            <w:tcW w:w="682" w:type="pct"/>
            <w:tcBorders>
              <w:top w:val="nil"/>
              <w:left w:val="nil"/>
              <w:bottom w:val="single" w:sz="12" w:space="0" w:color="4472C4"/>
              <w:right w:val="nil"/>
            </w:tcBorders>
            <w:shd w:val="clear" w:color="auto" w:fill="203764"/>
            <w:vAlign w:val="center"/>
            <w:hideMark/>
          </w:tcPr>
          <w:p w14:paraId="0EDA4D26" w14:textId="77777777" w:rsidR="001A0801" w:rsidRPr="001A0801" w:rsidRDefault="001A0801" w:rsidP="001A0801">
            <w:pPr>
              <w:spacing w:after="0" w:line="240" w:lineRule="auto"/>
              <w:jc w:val="right"/>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Payments to TCE</w:t>
            </w:r>
          </w:p>
        </w:tc>
        <w:tc>
          <w:tcPr>
            <w:tcW w:w="682" w:type="pct"/>
            <w:tcBorders>
              <w:top w:val="nil"/>
              <w:left w:val="nil"/>
              <w:bottom w:val="single" w:sz="12" w:space="0" w:color="4472C4"/>
              <w:right w:val="nil"/>
            </w:tcBorders>
            <w:shd w:val="clear" w:color="auto" w:fill="203764"/>
            <w:vAlign w:val="center"/>
            <w:hideMark/>
          </w:tcPr>
          <w:p w14:paraId="67CE653F" w14:textId="77777777" w:rsidR="001A0801" w:rsidRPr="001A0801" w:rsidRDefault="001A0801" w:rsidP="001A0801">
            <w:pPr>
              <w:spacing w:after="0" w:line="240" w:lineRule="auto"/>
              <w:jc w:val="right"/>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Payments to CES</w:t>
            </w:r>
          </w:p>
        </w:tc>
        <w:tc>
          <w:tcPr>
            <w:tcW w:w="682" w:type="pct"/>
            <w:tcBorders>
              <w:top w:val="nil"/>
              <w:left w:val="nil"/>
              <w:bottom w:val="single" w:sz="12" w:space="0" w:color="4472C4"/>
              <w:right w:val="nil"/>
            </w:tcBorders>
            <w:shd w:val="clear" w:color="auto" w:fill="203764"/>
            <w:vAlign w:val="center"/>
            <w:hideMark/>
          </w:tcPr>
          <w:p w14:paraId="740F15CC" w14:textId="77777777" w:rsidR="001A0801" w:rsidRPr="001A0801" w:rsidRDefault="001A0801" w:rsidP="001A0801">
            <w:pPr>
              <w:spacing w:after="0" w:line="240" w:lineRule="auto"/>
              <w:jc w:val="right"/>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Section 106 (or similar) Payments</w:t>
            </w:r>
          </w:p>
        </w:tc>
        <w:tc>
          <w:tcPr>
            <w:tcW w:w="744" w:type="pct"/>
            <w:tcBorders>
              <w:top w:val="nil"/>
              <w:left w:val="nil"/>
              <w:bottom w:val="single" w:sz="12" w:space="0" w:color="4472C4"/>
              <w:right w:val="nil"/>
            </w:tcBorders>
            <w:shd w:val="clear" w:color="auto" w:fill="203764"/>
            <w:vAlign w:val="center"/>
            <w:hideMark/>
          </w:tcPr>
          <w:p w14:paraId="01C4333E" w14:textId="77777777" w:rsidR="001A0801" w:rsidRPr="001A0801" w:rsidRDefault="001A0801" w:rsidP="001A0801">
            <w:pPr>
              <w:spacing w:after="0" w:line="240" w:lineRule="auto"/>
              <w:jc w:val="right"/>
              <w:rPr>
                <w:rFonts w:ascii="Trebuchet MS" w:eastAsia="Times New Roman" w:hAnsi="Trebuchet MS" w:cs="Arial"/>
                <w:b/>
                <w:bCs/>
                <w:color w:val="FFFFFF"/>
                <w:sz w:val="15"/>
                <w:szCs w:val="15"/>
                <w:lang w:eastAsia="en-GB"/>
              </w:rPr>
            </w:pPr>
            <w:r w:rsidRPr="001A0801">
              <w:rPr>
                <w:rFonts w:ascii="Trebuchet MS" w:eastAsia="Times New Roman" w:hAnsi="Trebuchet MS" w:cs="Arial"/>
                <w:b/>
                <w:bCs/>
                <w:color w:val="FFFFFF"/>
                <w:sz w:val="15"/>
                <w:szCs w:val="15"/>
                <w:lang w:eastAsia="en-GB"/>
              </w:rPr>
              <w:t>Total</w:t>
            </w:r>
          </w:p>
        </w:tc>
      </w:tr>
      <w:tr w:rsidR="001A0801" w:rsidRPr="001A0801" w14:paraId="6CEF3A0F" w14:textId="77777777" w:rsidTr="00DA4CC8">
        <w:trPr>
          <w:trHeight w:val="227"/>
        </w:trPr>
        <w:tc>
          <w:tcPr>
            <w:tcW w:w="1537" w:type="pct"/>
            <w:tcBorders>
              <w:top w:val="nil"/>
              <w:left w:val="nil"/>
              <w:bottom w:val="nil"/>
              <w:right w:val="nil"/>
            </w:tcBorders>
            <w:shd w:val="clear" w:color="auto" w:fill="B4C6E7"/>
            <w:noWrap/>
            <w:vAlign w:val="center"/>
            <w:hideMark/>
          </w:tcPr>
          <w:p w14:paraId="7D323C89"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Aggregate Industries UK Ltd</w:t>
            </w:r>
          </w:p>
        </w:tc>
        <w:tc>
          <w:tcPr>
            <w:tcW w:w="673" w:type="pct"/>
            <w:tcBorders>
              <w:top w:val="nil"/>
              <w:left w:val="nil"/>
              <w:bottom w:val="nil"/>
              <w:right w:val="nil"/>
            </w:tcBorders>
            <w:shd w:val="clear" w:color="auto" w:fill="B4C6E7"/>
            <w:noWrap/>
            <w:vAlign w:val="center"/>
            <w:hideMark/>
          </w:tcPr>
          <w:p w14:paraId="0B4956BF"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16,528</w:t>
            </w:r>
          </w:p>
        </w:tc>
        <w:tc>
          <w:tcPr>
            <w:tcW w:w="682" w:type="pct"/>
            <w:tcBorders>
              <w:top w:val="nil"/>
              <w:left w:val="nil"/>
              <w:bottom w:val="nil"/>
              <w:right w:val="nil"/>
            </w:tcBorders>
            <w:shd w:val="clear" w:color="auto" w:fill="B4C6E7"/>
            <w:noWrap/>
            <w:vAlign w:val="center"/>
            <w:hideMark/>
          </w:tcPr>
          <w:p w14:paraId="1791A459"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984</w:t>
            </w:r>
          </w:p>
        </w:tc>
        <w:tc>
          <w:tcPr>
            <w:tcW w:w="682" w:type="pct"/>
            <w:tcBorders>
              <w:top w:val="nil"/>
              <w:left w:val="nil"/>
              <w:bottom w:val="nil"/>
              <w:right w:val="nil"/>
            </w:tcBorders>
            <w:shd w:val="clear" w:color="auto" w:fill="B4C6E7"/>
            <w:noWrap/>
            <w:vAlign w:val="center"/>
            <w:hideMark/>
          </w:tcPr>
          <w:p w14:paraId="495A9E55"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3478FEF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199</w:t>
            </w:r>
          </w:p>
        </w:tc>
        <w:tc>
          <w:tcPr>
            <w:tcW w:w="744" w:type="pct"/>
            <w:tcBorders>
              <w:top w:val="nil"/>
              <w:left w:val="nil"/>
              <w:bottom w:val="nil"/>
              <w:right w:val="nil"/>
            </w:tcBorders>
            <w:shd w:val="clear" w:color="auto" w:fill="B4C6E7"/>
            <w:noWrap/>
            <w:vAlign w:val="center"/>
            <w:hideMark/>
          </w:tcPr>
          <w:p w14:paraId="20DA2CA3"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17,711</w:t>
            </w:r>
          </w:p>
        </w:tc>
      </w:tr>
      <w:tr w:rsidR="00F71FBC" w:rsidRPr="001A0801" w14:paraId="45B57698" w14:textId="77777777" w:rsidTr="00DA4CC8">
        <w:trPr>
          <w:trHeight w:val="227"/>
        </w:trPr>
        <w:tc>
          <w:tcPr>
            <w:tcW w:w="1537" w:type="pct"/>
            <w:tcBorders>
              <w:top w:val="nil"/>
              <w:left w:val="nil"/>
              <w:bottom w:val="nil"/>
              <w:right w:val="nil"/>
            </w:tcBorders>
            <w:shd w:val="clear" w:color="auto" w:fill="auto"/>
            <w:noWrap/>
            <w:vAlign w:val="center"/>
            <w:hideMark/>
          </w:tcPr>
          <w:p w14:paraId="30935147"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Albion Stone</w:t>
            </w:r>
          </w:p>
        </w:tc>
        <w:tc>
          <w:tcPr>
            <w:tcW w:w="673" w:type="pct"/>
            <w:tcBorders>
              <w:top w:val="nil"/>
              <w:left w:val="nil"/>
              <w:bottom w:val="nil"/>
              <w:right w:val="nil"/>
            </w:tcBorders>
            <w:shd w:val="clear" w:color="auto" w:fill="auto"/>
            <w:noWrap/>
            <w:vAlign w:val="center"/>
            <w:hideMark/>
          </w:tcPr>
          <w:p w14:paraId="1EA1E623" w14:textId="60B3A4A4"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4406A24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143</w:t>
            </w:r>
          </w:p>
        </w:tc>
        <w:tc>
          <w:tcPr>
            <w:tcW w:w="682" w:type="pct"/>
            <w:tcBorders>
              <w:top w:val="nil"/>
              <w:left w:val="nil"/>
              <w:bottom w:val="nil"/>
              <w:right w:val="nil"/>
            </w:tcBorders>
            <w:shd w:val="clear" w:color="auto" w:fill="auto"/>
            <w:noWrap/>
            <w:vAlign w:val="center"/>
            <w:hideMark/>
          </w:tcPr>
          <w:p w14:paraId="4D8C8EA1"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2448949A"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0F7990D2"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143</w:t>
            </w:r>
          </w:p>
        </w:tc>
      </w:tr>
      <w:tr w:rsidR="001A0801" w:rsidRPr="001A0801" w14:paraId="211D44BC" w14:textId="77777777" w:rsidTr="00DA4CC8">
        <w:trPr>
          <w:trHeight w:val="227"/>
        </w:trPr>
        <w:tc>
          <w:tcPr>
            <w:tcW w:w="1537" w:type="pct"/>
            <w:tcBorders>
              <w:top w:val="nil"/>
              <w:left w:val="nil"/>
              <w:bottom w:val="nil"/>
              <w:right w:val="nil"/>
            </w:tcBorders>
            <w:shd w:val="clear" w:color="auto" w:fill="B4C6E7"/>
            <w:noWrap/>
            <w:vAlign w:val="center"/>
            <w:hideMark/>
          </w:tcPr>
          <w:p w14:paraId="5D9388CC"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Boskalis Westminster Holdings Ltd</w:t>
            </w:r>
          </w:p>
        </w:tc>
        <w:tc>
          <w:tcPr>
            <w:tcW w:w="673" w:type="pct"/>
            <w:tcBorders>
              <w:top w:val="nil"/>
              <w:left w:val="nil"/>
              <w:bottom w:val="nil"/>
              <w:right w:val="nil"/>
            </w:tcBorders>
            <w:shd w:val="clear" w:color="auto" w:fill="B4C6E7"/>
            <w:noWrap/>
            <w:vAlign w:val="center"/>
            <w:hideMark/>
          </w:tcPr>
          <w:p w14:paraId="7FF3E34E"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2,189</w:t>
            </w:r>
          </w:p>
        </w:tc>
        <w:tc>
          <w:tcPr>
            <w:tcW w:w="682" w:type="pct"/>
            <w:tcBorders>
              <w:top w:val="nil"/>
              <w:left w:val="nil"/>
              <w:bottom w:val="nil"/>
              <w:right w:val="nil"/>
            </w:tcBorders>
            <w:shd w:val="clear" w:color="auto" w:fill="B4C6E7"/>
            <w:noWrap/>
            <w:vAlign w:val="center"/>
            <w:hideMark/>
          </w:tcPr>
          <w:p w14:paraId="4A642870"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1,276</w:t>
            </w:r>
          </w:p>
        </w:tc>
        <w:tc>
          <w:tcPr>
            <w:tcW w:w="682" w:type="pct"/>
            <w:tcBorders>
              <w:top w:val="nil"/>
              <w:left w:val="nil"/>
              <w:bottom w:val="nil"/>
              <w:right w:val="nil"/>
            </w:tcBorders>
            <w:shd w:val="clear" w:color="auto" w:fill="B4C6E7"/>
            <w:noWrap/>
            <w:vAlign w:val="center"/>
            <w:hideMark/>
          </w:tcPr>
          <w:p w14:paraId="7F702953"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0CEE50CA"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2D9DFDC5"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3,465</w:t>
            </w:r>
          </w:p>
        </w:tc>
      </w:tr>
      <w:tr w:rsidR="00F71FBC" w:rsidRPr="001A0801" w14:paraId="18AF1CB5" w14:textId="77777777" w:rsidTr="00DA4CC8">
        <w:trPr>
          <w:trHeight w:val="227"/>
        </w:trPr>
        <w:tc>
          <w:tcPr>
            <w:tcW w:w="1537" w:type="pct"/>
            <w:tcBorders>
              <w:top w:val="nil"/>
              <w:left w:val="nil"/>
              <w:bottom w:val="nil"/>
              <w:right w:val="nil"/>
            </w:tcBorders>
            <w:shd w:val="clear" w:color="auto" w:fill="auto"/>
            <w:noWrap/>
            <w:vAlign w:val="center"/>
            <w:hideMark/>
          </w:tcPr>
          <w:p w14:paraId="7AE2B5C9"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Breedon Group Plc</w:t>
            </w:r>
          </w:p>
        </w:tc>
        <w:tc>
          <w:tcPr>
            <w:tcW w:w="673" w:type="pct"/>
            <w:tcBorders>
              <w:top w:val="nil"/>
              <w:left w:val="nil"/>
              <w:bottom w:val="nil"/>
              <w:right w:val="nil"/>
            </w:tcBorders>
            <w:shd w:val="clear" w:color="auto" w:fill="auto"/>
            <w:noWrap/>
            <w:vAlign w:val="center"/>
            <w:hideMark/>
          </w:tcPr>
          <w:p w14:paraId="6664E9E3"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26,062</w:t>
            </w:r>
          </w:p>
        </w:tc>
        <w:tc>
          <w:tcPr>
            <w:tcW w:w="682" w:type="pct"/>
            <w:tcBorders>
              <w:top w:val="nil"/>
              <w:left w:val="nil"/>
              <w:bottom w:val="nil"/>
              <w:right w:val="nil"/>
            </w:tcBorders>
            <w:shd w:val="clear" w:color="auto" w:fill="auto"/>
            <w:noWrap/>
            <w:vAlign w:val="center"/>
            <w:hideMark/>
          </w:tcPr>
          <w:p w14:paraId="486D8BB2"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437</w:t>
            </w:r>
          </w:p>
        </w:tc>
        <w:tc>
          <w:tcPr>
            <w:tcW w:w="682" w:type="pct"/>
            <w:tcBorders>
              <w:top w:val="nil"/>
              <w:left w:val="nil"/>
              <w:bottom w:val="nil"/>
              <w:right w:val="nil"/>
            </w:tcBorders>
            <w:shd w:val="clear" w:color="auto" w:fill="auto"/>
            <w:noWrap/>
            <w:vAlign w:val="center"/>
            <w:hideMark/>
          </w:tcPr>
          <w:p w14:paraId="2D950A86"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49C18EDF"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2192D2D6"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26,500</w:t>
            </w:r>
          </w:p>
        </w:tc>
      </w:tr>
      <w:tr w:rsidR="001A0801" w:rsidRPr="001A0801" w14:paraId="41044B29" w14:textId="77777777" w:rsidTr="00DA4CC8">
        <w:trPr>
          <w:trHeight w:val="227"/>
        </w:trPr>
        <w:tc>
          <w:tcPr>
            <w:tcW w:w="1537" w:type="pct"/>
            <w:tcBorders>
              <w:top w:val="nil"/>
              <w:left w:val="nil"/>
              <w:bottom w:val="nil"/>
              <w:right w:val="nil"/>
            </w:tcBorders>
            <w:shd w:val="clear" w:color="auto" w:fill="B4C6E7"/>
            <w:noWrap/>
            <w:vAlign w:val="center"/>
            <w:hideMark/>
          </w:tcPr>
          <w:p w14:paraId="10ED11BD"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Britannia Aggregates Ltd</w:t>
            </w:r>
          </w:p>
        </w:tc>
        <w:tc>
          <w:tcPr>
            <w:tcW w:w="673" w:type="pct"/>
            <w:tcBorders>
              <w:top w:val="nil"/>
              <w:left w:val="nil"/>
              <w:bottom w:val="nil"/>
              <w:right w:val="nil"/>
            </w:tcBorders>
            <w:shd w:val="clear" w:color="auto" w:fill="B4C6E7"/>
            <w:noWrap/>
            <w:vAlign w:val="center"/>
            <w:hideMark/>
          </w:tcPr>
          <w:p w14:paraId="71CE4C29" w14:textId="4C7F9D0C"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B4C6E7"/>
            <w:noWrap/>
            <w:vAlign w:val="center"/>
            <w:hideMark/>
          </w:tcPr>
          <w:p w14:paraId="124CAC32"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1,066</w:t>
            </w:r>
          </w:p>
        </w:tc>
        <w:tc>
          <w:tcPr>
            <w:tcW w:w="682" w:type="pct"/>
            <w:tcBorders>
              <w:top w:val="nil"/>
              <w:left w:val="nil"/>
              <w:bottom w:val="nil"/>
              <w:right w:val="nil"/>
            </w:tcBorders>
            <w:shd w:val="clear" w:color="auto" w:fill="B4C6E7"/>
            <w:noWrap/>
            <w:vAlign w:val="center"/>
            <w:hideMark/>
          </w:tcPr>
          <w:p w14:paraId="2276B1D7"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3E913702"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63F82084"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1,066</w:t>
            </w:r>
          </w:p>
        </w:tc>
      </w:tr>
      <w:tr w:rsidR="00F71FBC" w:rsidRPr="001A0801" w14:paraId="120AF7A7" w14:textId="77777777" w:rsidTr="00DA4CC8">
        <w:trPr>
          <w:trHeight w:val="227"/>
        </w:trPr>
        <w:tc>
          <w:tcPr>
            <w:tcW w:w="1537" w:type="pct"/>
            <w:tcBorders>
              <w:top w:val="nil"/>
              <w:left w:val="nil"/>
              <w:bottom w:val="nil"/>
              <w:right w:val="nil"/>
            </w:tcBorders>
            <w:shd w:val="clear" w:color="auto" w:fill="auto"/>
            <w:noWrap/>
            <w:vAlign w:val="center"/>
            <w:hideMark/>
          </w:tcPr>
          <w:p w14:paraId="5CC42A40"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Cemex UK Materials Ltd</w:t>
            </w:r>
          </w:p>
        </w:tc>
        <w:tc>
          <w:tcPr>
            <w:tcW w:w="673" w:type="pct"/>
            <w:tcBorders>
              <w:top w:val="nil"/>
              <w:left w:val="nil"/>
              <w:bottom w:val="nil"/>
              <w:right w:val="nil"/>
            </w:tcBorders>
            <w:shd w:val="clear" w:color="auto" w:fill="auto"/>
            <w:noWrap/>
            <w:vAlign w:val="center"/>
            <w:hideMark/>
          </w:tcPr>
          <w:p w14:paraId="6C95C897"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991</w:t>
            </w:r>
          </w:p>
        </w:tc>
        <w:tc>
          <w:tcPr>
            <w:tcW w:w="682" w:type="pct"/>
            <w:tcBorders>
              <w:top w:val="nil"/>
              <w:left w:val="nil"/>
              <w:bottom w:val="nil"/>
              <w:right w:val="nil"/>
            </w:tcBorders>
            <w:shd w:val="clear" w:color="auto" w:fill="auto"/>
            <w:noWrap/>
            <w:vAlign w:val="center"/>
            <w:hideMark/>
          </w:tcPr>
          <w:p w14:paraId="493D45E9"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7,389</w:t>
            </w:r>
          </w:p>
        </w:tc>
        <w:tc>
          <w:tcPr>
            <w:tcW w:w="682" w:type="pct"/>
            <w:tcBorders>
              <w:top w:val="nil"/>
              <w:left w:val="nil"/>
              <w:bottom w:val="nil"/>
              <w:right w:val="nil"/>
            </w:tcBorders>
            <w:shd w:val="clear" w:color="auto" w:fill="auto"/>
            <w:noWrap/>
            <w:vAlign w:val="center"/>
            <w:hideMark/>
          </w:tcPr>
          <w:p w14:paraId="4EAFDBA1"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4B897D1D"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7491A244"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8,380</w:t>
            </w:r>
          </w:p>
        </w:tc>
      </w:tr>
      <w:tr w:rsidR="001A0801" w:rsidRPr="001A0801" w14:paraId="74A29181" w14:textId="77777777" w:rsidTr="00DA4CC8">
        <w:trPr>
          <w:trHeight w:val="227"/>
        </w:trPr>
        <w:tc>
          <w:tcPr>
            <w:tcW w:w="1537" w:type="pct"/>
            <w:tcBorders>
              <w:top w:val="nil"/>
              <w:left w:val="nil"/>
              <w:bottom w:val="nil"/>
              <w:right w:val="nil"/>
            </w:tcBorders>
            <w:shd w:val="clear" w:color="auto" w:fill="B4C6E7"/>
            <w:noWrap/>
            <w:vAlign w:val="center"/>
            <w:hideMark/>
          </w:tcPr>
          <w:p w14:paraId="49CB7957"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DEME Building Materials Ltd</w:t>
            </w:r>
          </w:p>
        </w:tc>
        <w:tc>
          <w:tcPr>
            <w:tcW w:w="673" w:type="pct"/>
            <w:tcBorders>
              <w:top w:val="nil"/>
              <w:left w:val="nil"/>
              <w:bottom w:val="nil"/>
              <w:right w:val="nil"/>
            </w:tcBorders>
            <w:shd w:val="clear" w:color="auto" w:fill="B4C6E7"/>
            <w:noWrap/>
            <w:vAlign w:val="center"/>
            <w:hideMark/>
          </w:tcPr>
          <w:p w14:paraId="1DFAD6E0" w14:textId="2929A190"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B4C6E7"/>
            <w:noWrap/>
            <w:vAlign w:val="center"/>
            <w:hideMark/>
          </w:tcPr>
          <w:p w14:paraId="3B1201CD"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1,787</w:t>
            </w:r>
          </w:p>
        </w:tc>
        <w:tc>
          <w:tcPr>
            <w:tcW w:w="682" w:type="pct"/>
            <w:tcBorders>
              <w:top w:val="nil"/>
              <w:left w:val="nil"/>
              <w:bottom w:val="nil"/>
              <w:right w:val="nil"/>
            </w:tcBorders>
            <w:shd w:val="clear" w:color="auto" w:fill="B4C6E7"/>
            <w:noWrap/>
            <w:vAlign w:val="center"/>
            <w:hideMark/>
          </w:tcPr>
          <w:p w14:paraId="3CDBF8AE"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5DDFF191"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73433704"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1,787</w:t>
            </w:r>
          </w:p>
        </w:tc>
      </w:tr>
      <w:tr w:rsidR="00F71FBC" w:rsidRPr="001A0801" w14:paraId="3455455F" w14:textId="77777777" w:rsidTr="00DA4CC8">
        <w:trPr>
          <w:trHeight w:val="227"/>
        </w:trPr>
        <w:tc>
          <w:tcPr>
            <w:tcW w:w="1537" w:type="pct"/>
            <w:tcBorders>
              <w:top w:val="nil"/>
              <w:left w:val="nil"/>
              <w:bottom w:val="nil"/>
              <w:right w:val="nil"/>
            </w:tcBorders>
            <w:shd w:val="clear" w:color="auto" w:fill="auto"/>
            <w:noWrap/>
            <w:vAlign w:val="center"/>
            <w:hideMark/>
          </w:tcPr>
          <w:p w14:paraId="1BB50836" w14:textId="142594C2"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Heidelberg Materials UK</w:t>
            </w:r>
            <w:r w:rsidR="00757879">
              <w:rPr>
                <w:rStyle w:val="FootnoteReference"/>
                <w:rFonts w:ascii="Trebuchet MS" w:eastAsia="Times New Roman" w:hAnsi="Trebuchet MS" w:cs="Arial"/>
                <w:color w:val="000000"/>
                <w:sz w:val="15"/>
                <w:szCs w:val="15"/>
                <w:lang w:eastAsia="en-GB"/>
              </w:rPr>
              <w:footnoteReference w:id="9"/>
            </w:r>
          </w:p>
        </w:tc>
        <w:tc>
          <w:tcPr>
            <w:tcW w:w="673" w:type="pct"/>
            <w:tcBorders>
              <w:top w:val="nil"/>
              <w:left w:val="nil"/>
              <w:bottom w:val="nil"/>
              <w:right w:val="nil"/>
            </w:tcBorders>
            <w:shd w:val="clear" w:color="auto" w:fill="auto"/>
            <w:noWrap/>
            <w:vAlign w:val="center"/>
            <w:hideMark/>
          </w:tcPr>
          <w:p w14:paraId="0B08CD52"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15,000</w:t>
            </w:r>
          </w:p>
        </w:tc>
        <w:tc>
          <w:tcPr>
            <w:tcW w:w="682" w:type="pct"/>
            <w:tcBorders>
              <w:top w:val="nil"/>
              <w:left w:val="nil"/>
              <w:bottom w:val="nil"/>
              <w:right w:val="nil"/>
            </w:tcBorders>
            <w:shd w:val="clear" w:color="auto" w:fill="auto"/>
            <w:noWrap/>
            <w:vAlign w:val="center"/>
            <w:hideMark/>
          </w:tcPr>
          <w:p w14:paraId="6BB98420"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3,938</w:t>
            </w:r>
          </w:p>
        </w:tc>
        <w:tc>
          <w:tcPr>
            <w:tcW w:w="682" w:type="pct"/>
            <w:tcBorders>
              <w:top w:val="nil"/>
              <w:left w:val="nil"/>
              <w:bottom w:val="nil"/>
              <w:right w:val="nil"/>
            </w:tcBorders>
            <w:shd w:val="clear" w:color="auto" w:fill="auto"/>
            <w:noWrap/>
            <w:vAlign w:val="center"/>
            <w:hideMark/>
          </w:tcPr>
          <w:p w14:paraId="470EA873"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1861221D"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6166804F"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18,938</w:t>
            </w:r>
          </w:p>
        </w:tc>
      </w:tr>
      <w:tr w:rsidR="001A0801" w:rsidRPr="001A0801" w14:paraId="45CC91A5" w14:textId="77777777" w:rsidTr="00DA4CC8">
        <w:trPr>
          <w:trHeight w:val="227"/>
        </w:trPr>
        <w:tc>
          <w:tcPr>
            <w:tcW w:w="1537" w:type="pct"/>
            <w:tcBorders>
              <w:top w:val="nil"/>
              <w:left w:val="nil"/>
              <w:bottom w:val="nil"/>
              <w:right w:val="nil"/>
            </w:tcBorders>
            <w:shd w:val="clear" w:color="auto" w:fill="B4C6E7"/>
            <w:noWrap/>
            <w:vAlign w:val="center"/>
            <w:hideMark/>
          </w:tcPr>
          <w:p w14:paraId="46530BDA"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Irish Salt Mining &amp; Exploration Co. Ltd</w:t>
            </w:r>
          </w:p>
        </w:tc>
        <w:tc>
          <w:tcPr>
            <w:tcW w:w="673" w:type="pct"/>
            <w:tcBorders>
              <w:top w:val="nil"/>
              <w:left w:val="nil"/>
              <w:bottom w:val="nil"/>
              <w:right w:val="nil"/>
            </w:tcBorders>
            <w:shd w:val="clear" w:color="auto" w:fill="B4C6E7"/>
            <w:noWrap/>
            <w:vAlign w:val="center"/>
            <w:hideMark/>
          </w:tcPr>
          <w:p w14:paraId="7AFA88D4"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1,496</w:t>
            </w:r>
          </w:p>
        </w:tc>
        <w:tc>
          <w:tcPr>
            <w:tcW w:w="682" w:type="pct"/>
            <w:tcBorders>
              <w:top w:val="nil"/>
              <w:left w:val="nil"/>
              <w:bottom w:val="nil"/>
              <w:right w:val="nil"/>
            </w:tcBorders>
            <w:shd w:val="clear" w:color="auto" w:fill="B4C6E7"/>
            <w:noWrap/>
            <w:vAlign w:val="center"/>
          </w:tcPr>
          <w:p w14:paraId="786016A9" w14:textId="0AE7F4CF"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B4C6E7"/>
            <w:noWrap/>
            <w:vAlign w:val="center"/>
            <w:hideMark/>
          </w:tcPr>
          <w:p w14:paraId="1952561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06BDA493"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345F4450"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1,496</w:t>
            </w:r>
          </w:p>
        </w:tc>
      </w:tr>
      <w:tr w:rsidR="003A7FC7" w:rsidRPr="001A0801" w14:paraId="76DE1052" w14:textId="77777777" w:rsidTr="00DA4CC8">
        <w:trPr>
          <w:trHeight w:val="227"/>
        </w:trPr>
        <w:tc>
          <w:tcPr>
            <w:tcW w:w="1537" w:type="pct"/>
            <w:tcBorders>
              <w:top w:val="nil"/>
              <w:left w:val="nil"/>
              <w:bottom w:val="nil"/>
              <w:right w:val="nil"/>
            </w:tcBorders>
            <w:shd w:val="clear" w:color="auto" w:fill="auto"/>
            <w:noWrap/>
            <w:vAlign w:val="center"/>
            <w:hideMark/>
          </w:tcPr>
          <w:p w14:paraId="53FC45F3"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Saint-Gobain Ltd</w:t>
            </w:r>
          </w:p>
        </w:tc>
        <w:tc>
          <w:tcPr>
            <w:tcW w:w="673" w:type="pct"/>
            <w:tcBorders>
              <w:top w:val="nil"/>
              <w:left w:val="nil"/>
              <w:bottom w:val="nil"/>
              <w:right w:val="nil"/>
            </w:tcBorders>
            <w:shd w:val="clear" w:color="auto" w:fill="auto"/>
            <w:noWrap/>
            <w:vAlign w:val="center"/>
            <w:hideMark/>
          </w:tcPr>
          <w:p w14:paraId="1014616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32,446</w:t>
            </w:r>
          </w:p>
        </w:tc>
        <w:tc>
          <w:tcPr>
            <w:tcW w:w="682" w:type="pct"/>
            <w:tcBorders>
              <w:top w:val="nil"/>
              <w:left w:val="nil"/>
              <w:bottom w:val="nil"/>
              <w:right w:val="nil"/>
            </w:tcBorders>
            <w:shd w:val="clear" w:color="auto" w:fill="auto"/>
            <w:noWrap/>
            <w:vAlign w:val="center"/>
          </w:tcPr>
          <w:p w14:paraId="78E99C5C" w14:textId="7FA7612B"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35205D80"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35AFB684"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30F9B694"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32,446</w:t>
            </w:r>
          </w:p>
        </w:tc>
      </w:tr>
      <w:tr w:rsidR="001A0801" w:rsidRPr="001A0801" w14:paraId="1A45682E" w14:textId="77777777" w:rsidTr="00DA4CC8">
        <w:trPr>
          <w:trHeight w:val="227"/>
        </w:trPr>
        <w:tc>
          <w:tcPr>
            <w:tcW w:w="1537" w:type="pct"/>
            <w:tcBorders>
              <w:top w:val="nil"/>
              <w:left w:val="nil"/>
              <w:bottom w:val="nil"/>
              <w:right w:val="nil"/>
            </w:tcBorders>
            <w:shd w:val="clear" w:color="auto" w:fill="B4C6E7"/>
            <w:noWrap/>
            <w:vAlign w:val="center"/>
            <w:hideMark/>
          </w:tcPr>
          <w:p w14:paraId="402521B6" w14:textId="71068AF6" w:rsidR="001A0801" w:rsidRPr="0084668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Tarmac Holdings</w:t>
            </w:r>
            <w:r w:rsidR="00846681">
              <w:rPr>
                <w:rFonts w:ascii="Trebuchet MS" w:eastAsia="Times New Roman" w:hAnsi="Trebuchet MS" w:cs="Arial"/>
                <w:color w:val="000000"/>
                <w:sz w:val="15"/>
                <w:szCs w:val="15"/>
                <w:lang w:eastAsia="en-GB"/>
              </w:rPr>
              <w:t xml:space="preserve"> Ltd</w:t>
            </w:r>
          </w:p>
        </w:tc>
        <w:tc>
          <w:tcPr>
            <w:tcW w:w="673" w:type="pct"/>
            <w:tcBorders>
              <w:top w:val="nil"/>
              <w:left w:val="nil"/>
              <w:bottom w:val="nil"/>
              <w:right w:val="nil"/>
            </w:tcBorders>
            <w:shd w:val="clear" w:color="auto" w:fill="B4C6E7"/>
            <w:noWrap/>
            <w:vAlign w:val="center"/>
            <w:hideMark/>
          </w:tcPr>
          <w:p w14:paraId="6B8B09C6"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22,012</w:t>
            </w:r>
          </w:p>
        </w:tc>
        <w:tc>
          <w:tcPr>
            <w:tcW w:w="682" w:type="pct"/>
            <w:tcBorders>
              <w:top w:val="nil"/>
              <w:left w:val="nil"/>
              <w:bottom w:val="nil"/>
              <w:right w:val="nil"/>
            </w:tcBorders>
            <w:shd w:val="clear" w:color="auto" w:fill="B4C6E7"/>
            <w:noWrap/>
            <w:vAlign w:val="center"/>
            <w:hideMark/>
          </w:tcPr>
          <w:p w14:paraId="5002D5C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4,140</w:t>
            </w:r>
          </w:p>
        </w:tc>
        <w:tc>
          <w:tcPr>
            <w:tcW w:w="682" w:type="pct"/>
            <w:tcBorders>
              <w:top w:val="nil"/>
              <w:left w:val="nil"/>
              <w:bottom w:val="nil"/>
              <w:right w:val="nil"/>
            </w:tcBorders>
            <w:shd w:val="clear" w:color="auto" w:fill="B4C6E7"/>
            <w:noWrap/>
            <w:vAlign w:val="center"/>
            <w:hideMark/>
          </w:tcPr>
          <w:p w14:paraId="17D04661"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2C28C038"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3262FB09"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26,152</w:t>
            </w:r>
          </w:p>
        </w:tc>
      </w:tr>
      <w:tr w:rsidR="00F71FBC" w:rsidRPr="001A0801" w14:paraId="421F4336" w14:textId="77777777" w:rsidTr="00DA4CC8">
        <w:trPr>
          <w:trHeight w:val="227"/>
        </w:trPr>
        <w:tc>
          <w:tcPr>
            <w:tcW w:w="1537" w:type="pct"/>
            <w:tcBorders>
              <w:top w:val="nil"/>
              <w:left w:val="nil"/>
              <w:bottom w:val="nil"/>
              <w:right w:val="nil"/>
            </w:tcBorders>
            <w:shd w:val="clear" w:color="auto" w:fill="auto"/>
            <w:noWrap/>
            <w:vAlign w:val="center"/>
            <w:hideMark/>
          </w:tcPr>
          <w:p w14:paraId="73BA735E"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Van Oord UK Ltd</w:t>
            </w:r>
          </w:p>
        </w:tc>
        <w:tc>
          <w:tcPr>
            <w:tcW w:w="673" w:type="pct"/>
            <w:tcBorders>
              <w:top w:val="nil"/>
              <w:left w:val="nil"/>
              <w:bottom w:val="nil"/>
              <w:right w:val="nil"/>
            </w:tcBorders>
            <w:shd w:val="clear" w:color="auto" w:fill="auto"/>
            <w:noWrap/>
            <w:vAlign w:val="center"/>
            <w:hideMark/>
          </w:tcPr>
          <w:p w14:paraId="52E8C200"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2,173</w:t>
            </w:r>
          </w:p>
        </w:tc>
        <w:tc>
          <w:tcPr>
            <w:tcW w:w="682" w:type="pct"/>
            <w:tcBorders>
              <w:top w:val="nil"/>
              <w:left w:val="nil"/>
              <w:bottom w:val="nil"/>
              <w:right w:val="nil"/>
            </w:tcBorders>
            <w:shd w:val="clear" w:color="auto" w:fill="auto"/>
            <w:noWrap/>
            <w:vAlign w:val="center"/>
            <w:hideMark/>
          </w:tcPr>
          <w:p w14:paraId="466766B9"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496</w:t>
            </w:r>
          </w:p>
        </w:tc>
        <w:tc>
          <w:tcPr>
            <w:tcW w:w="682" w:type="pct"/>
            <w:tcBorders>
              <w:top w:val="nil"/>
              <w:left w:val="nil"/>
              <w:bottom w:val="nil"/>
              <w:right w:val="nil"/>
            </w:tcBorders>
            <w:shd w:val="clear" w:color="auto" w:fill="auto"/>
            <w:noWrap/>
            <w:vAlign w:val="center"/>
            <w:hideMark/>
          </w:tcPr>
          <w:p w14:paraId="07DC9031"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p>
        </w:tc>
        <w:tc>
          <w:tcPr>
            <w:tcW w:w="682" w:type="pct"/>
            <w:tcBorders>
              <w:top w:val="nil"/>
              <w:left w:val="nil"/>
              <w:bottom w:val="nil"/>
              <w:right w:val="nil"/>
            </w:tcBorders>
            <w:shd w:val="clear" w:color="auto" w:fill="auto"/>
            <w:noWrap/>
            <w:vAlign w:val="center"/>
            <w:hideMark/>
          </w:tcPr>
          <w:p w14:paraId="33945821" w14:textId="77777777" w:rsidR="001A0801" w:rsidRPr="001A0801" w:rsidRDefault="001A0801" w:rsidP="001A0801">
            <w:pPr>
              <w:spacing w:after="0" w:line="240" w:lineRule="auto"/>
              <w:jc w:val="right"/>
              <w:rPr>
                <w:rFonts w:ascii="Times New Roman" w:eastAsia="Times New Roman" w:hAnsi="Times New Roman" w:cs="Times New Roman"/>
                <w:lang w:eastAsia="en-GB"/>
              </w:rPr>
            </w:pPr>
          </w:p>
        </w:tc>
        <w:tc>
          <w:tcPr>
            <w:tcW w:w="744" w:type="pct"/>
            <w:tcBorders>
              <w:top w:val="nil"/>
              <w:left w:val="nil"/>
              <w:bottom w:val="nil"/>
              <w:right w:val="nil"/>
            </w:tcBorders>
            <w:shd w:val="clear" w:color="auto" w:fill="auto"/>
            <w:noWrap/>
            <w:vAlign w:val="center"/>
            <w:hideMark/>
          </w:tcPr>
          <w:p w14:paraId="5D05C9E5"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2,669</w:t>
            </w:r>
          </w:p>
        </w:tc>
      </w:tr>
      <w:tr w:rsidR="001A0801" w:rsidRPr="001A0801" w14:paraId="41FE8260" w14:textId="77777777" w:rsidTr="00DA4CC8">
        <w:trPr>
          <w:trHeight w:val="227"/>
        </w:trPr>
        <w:tc>
          <w:tcPr>
            <w:tcW w:w="1537" w:type="pct"/>
            <w:tcBorders>
              <w:top w:val="nil"/>
              <w:left w:val="nil"/>
              <w:bottom w:val="nil"/>
              <w:right w:val="nil"/>
            </w:tcBorders>
            <w:shd w:val="clear" w:color="auto" w:fill="B4C6E7"/>
            <w:noWrap/>
            <w:vAlign w:val="center"/>
            <w:hideMark/>
          </w:tcPr>
          <w:p w14:paraId="44625379" w14:textId="77777777" w:rsidR="001A0801" w:rsidRPr="001A0801" w:rsidRDefault="001A0801" w:rsidP="001A0801">
            <w:pPr>
              <w:spacing w:after="0" w:line="240" w:lineRule="auto"/>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Volker Dredging Ltd</w:t>
            </w:r>
          </w:p>
        </w:tc>
        <w:tc>
          <w:tcPr>
            <w:tcW w:w="673" w:type="pct"/>
            <w:tcBorders>
              <w:top w:val="nil"/>
              <w:left w:val="nil"/>
              <w:bottom w:val="nil"/>
              <w:right w:val="nil"/>
            </w:tcBorders>
            <w:shd w:val="clear" w:color="auto" w:fill="B4C6E7"/>
            <w:noWrap/>
            <w:vAlign w:val="center"/>
            <w:hideMark/>
          </w:tcPr>
          <w:p w14:paraId="0B290F2B"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183</w:t>
            </w:r>
          </w:p>
        </w:tc>
        <w:tc>
          <w:tcPr>
            <w:tcW w:w="682" w:type="pct"/>
            <w:tcBorders>
              <w:top w:val="nil"/>
              <w:left w:val="nil"/>
              <w:bottom w:val="nil"/>
              <w:right w:val="nil"/>
            </w:tcBorders>
            <w:shd w:val="clear" w:color="auto" w:fill="B4C6E7"/>
            <w:noWrap/>
            <w:vAlign w:val="center"/>
            <w:hideMark/>
          </w:tcPr>
          <w:p w14:paraId="41379FAA"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2,854</w:t>
            </w:r>
          </w:p>
        </w:tc>
        <w:tc>
          <w:tcPr>
            <w:tcW w:w="682" w:type="pct"/>
            <w:tcBorders>
              <w:top w:val="nil"/>
              <w:left w:val="nil"/>
              <w:bottom w:val="nil"/>
              <w:right w:val="nil"/>
            </w:tcBorders>
            <w:shd w:val="clear" w:color="auto" w:fill="B4C6E7"/>
            <w:noWrap/>
            <w:vAlign w:val="center"/>
            <w:hideMark/>
          </w:tcPr>
          <w:p w14:paraId="0DF51BB2"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682" w:type="pct"/>
            <w:tcBorders>
              <w:top w:val="nil"/>
              <w:left w:val="nil"/>
              <w:bottom w:val="nil"/>
              <w:right w:val="nil"/>
            </w:tcBorders>
            <w:shd w:val="clear" w:color="auto" w:fill="B4C6E7"/>
            <w:noWrap/>
            <w:vAlign w:val="center"/>
            <w:hideMark/>
          </w:tcPr>
          <w:p w14:paraId="0F343477" w14:textId="77777777" w:rsidR="001A0801" w:rsidRPr="001A0801" w:rsidRDefault="001A0801" w:rsidP="001A0801">
            <w:pPr>
              <w:spacing w:after="0" w:line="240" w:lineRule="auto"/>
              <w:jc w:val="right"/>
              <w:rPr>
                <w:rFonts w:ascii="Trebuchet MS" w:eastAsia="Times New Roman" w:hAnsi="Trebuchet MS" w:cs="Arial"/>
                <w:color w:val="000000"/>
                <w:sz w:val="15"/>
                <w:szCs w:val="15"/>
                <w:lang w:eastAsia="en-GB"/>
              </w:rPr>
            </w:pPr>
            <w:r w:rsidRPr="001A0801">
              <w:rPr>
                <w:rFonts w:ascii="Trebuchet MS" w:eastAsia="Times New Roman" w:hAnsi="Trebuchet MS" w:cs="Arial"/>
                <w:color w:val="000000"/>
                <w:sz w:val="15"/>
                <w:szCs w:val="15"/>
                <w:lang w:eastAsia="en-GB"/>
              </w:rPr>
              <w:t> </w:t>
            </w:r>
          </w:p>
        </w:tc>
        <w:tc>
          <w:tcPr>
            <w:tcW w:w="744" w:type="pct"/>
            <w:tcBorders>
              <w:top w:val="nil"/>
              <w:left w:val="nil"/>
              <w:bottom w:val="nil"/>
              <w:right w:val="nil"/>
            </w:tcBorders>
            <w:shd w:val="clear" w:color="auto" w:fill="B4C6E7"/>
            <w:noWrap/>
            <w:vAlign w:val="center"/>
            <w:hideMark/>
          </w:tcPr>
          <w:p w14:paraId="60CD6091" w14:textId="77777777" w:rsidR="001A0801" w:rsidRPr="001A0801" w:rsidRDefault="001A0801" w:rsidP="001A0801">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3,037</w:t>
            </w:r>
          </w:p>
        </w:tc>
      </w:tr>
      <w:tr w:rsidR="003A7FC7" w:rsidRPr="001A0801" w14:paraId="6E186F01" w14:textId="77777777" w:rsidTr="00DA4CC8">
        <w:trPr>
          <w:trHeight w:val="227"/>
        </w:trPr>
        <w:tc>
          <w:tcPr>
            <w:tcW w:w="1537" w:type="pct"/>
            <w:tcBorders>
              <w:top w:val="nil"/>
              <w:left w:val="nil"/>
              <w:bottom w:val="nil"/>
              <w:right w:val="nil"/>
            </w:tcBorders>
            <w:shd w:val="clear" w:color="auto" w:fill="auto"/>
            <w:noWrap/>
            <w:vAlign w:val="center"/>
            <w:hideMark/>
          </w:tcPr>
          <w:p w14:paraId="5BDC85B3" w14:textId="2ADF8000" w:rsidR="001A0801" w:rsidRPr="001A0801" w:rsidRDefault="001A0801" w:rsidP="003A7FC7">
            <w:pPr>
              <w:spacing w:after="0" w:line="240" w:lineRule="auto"/>
              <w:rPr>
                <w:rFonts w:ascii="Arial" w:eastAsia="Times New Roman" w:hAnsi="Arial" w:cs="Arial"/>
                <w:sz w:val="15"/>
                <w:szCs w:val="15"/>
                <w:lang w:eastAsia="en-GB"/>
              </w:rPr>
            </w:pPr>
            <w:r w:rsidRPr="001A0801">
              <w:rPr>
                <w:rFonts w:ascii="Arial" w:eastAsia="Times New Roman" w:hAnsi="Arial" w:cs="Arial"/>
                <w:sz w:val="15"/>
                <w:szCs w:val="15"/>
                <w:lang w:eastAsia="en-GB"/>
              </w:rPr>
              <w:t>Other payments</w:t>
            </w:r>
            <w:r w:rsidR="003757A1">
              <w:rPr>
                <w:rStyle w:val="FootnoteReference"/>
                <w:rFonts w:ascii="Arial" w:eastAsia="Times New Roman" w:hAnsi="Arial" w:cs="Arial"/>
                <w:sz w:val="15"/>
                <w:szCs w:val="15"/>
                <w:lang w:eastAsia="en-GB"/>
              </w:rPr>
              <w:footnoteReference w:id="10"/>
            </w:r>
          </w:p>
        </w:tc>
        <w:tc>
          <w:tcPr>
            <w:tcW w:w="673" w:type="pct"/>
            <w:tcBorders>
              <w:top w:val="nil"/>
              <w:left w:val="nil"/>
              <w:bottom w:val="nil"/>
              <w:right w:val="nil"/>
            </w:tcBorders>
            <w:shd w:val="clear" w:color="auto" w:fill="auto"/>
            <w:noWrap/>
            <w:vAlign w:val="center"/>
            <w:hideMark/>
          </w:tcPr>
          <w:p w14:paraId="3602024A" w14:textId="77777777" w:rsidR="001A0801" w:rsidRPr="001A0801" w:rsidRDefault="001A0801" w:rsidP="003A7FC7">
            <w:pPr>
              <w:spacing w:after="0" w:line="240" w:lineRule="auto"/>
              <w:jc w:val="right"/>
              <w:rPr>
                <w:rFonts w:ascii="Arial" w:eastAsia="Times New Roman" w:hAnsi="Arial" w:cs="Arial"/>
                <w:sz w:val="15"/>
                <w:szCs w:val="15"/>
                <w:lang w:eastAsia="en-GB"/>
              </w:rPr>
            </w:pPr>
            <w:r w:rsidRPr="001A0801">
              <w:rPr>
                <w:rFonts w:ascii="Arial" w:eastAsia="Times New Roman" w:hAnsi="Arial" w:cs="Arial"/>
                <w:sz w:val="15"/>
                <w:szCs w:val="15"/>
                <w:lang w:eastAsia="en-GB"/>
              </w:rPr>
              <w:t>2,955</w:t>
            </w:r>
          </w:p>
        </w:tc>
        <w:tc>
          <w:tcPr>
            <w:tcW w:w="682" w:type="pct"/>
            <w:tcBorders>
              <w:top w:val="nil"/>
              <w:left w:val="nil"/>
              <w:bottom w:val="nil"/>
              <w:right w:val="nil"/>
            </w:tcBorders>
            <w:shd w:val="clear" w:color="auto" w:fill="auto"/>
            <w:noWrap/>
            <w:vAlign w:val="center"/>
            <w:hideMark/>
          </w:tcPr>
          <w:p w14:paraId="061E97B2" w14:textId="77777777" w:rsidR="001A0801" w:rsidRPr="001A0801" w:rsidRDefault="001A0801" w:rsidP="003A7FC7">
            <w:pPr>
              <w:spacing w:after="0" w:line="240" w:lineRule="auto"/>
              <w:jc w:val="right"/>
              <w:rPr>
                <w:rFonts w:ascii="Arial" w:eastAsia="Times New Roman" w:hAnsi="Arial" w:cs="Arial"/>
                <w:sz w:val="15"/>
                <w:szCs w:val="15"/>
                <w:lang w:eastAsia="en-GB"/>
              </w:rPr>
            </w:pPr>
            <w:r w:rsidRPr="001A0801">
              <w:rPr>
                <w:rFonts w:ascii="Arial" w:eastAsia="Times New Roman" w:hAnsi="Arial" w:cs="Arial"/>
                <w:sz w:val="15"/>
                <w:szCs w:val="15"/>
                <w:lang w:eastAsia="en-GB"/>
              </w:rPr>
              <w:t>1,200</w:t>
            </w:r>
          </w:p>
        </w:tc>
        <w:tc>
          <w:tcPr>
            <w:tcW w:w="682" w:type="pct"/>
            <w:tcBorders>
              <w:top w:val="nil"/>
              <w:left w:val="nil"/>
              <w:bottom w:val="nil"/>
              <w:right w:val="nil"/>
            </w:tcBorders>
            <w:shd w:val="clear" w:color="auto" w:fill="auto"/>
            <w:noWrap/>
            <w:vAlign w:val="center"/>
            <w:hideMark/>
          </w:tcPr>
          <w:p w14:paraId="5EAE2DBA" w14:textId="77777777" w:rsidR="001A0801" w:rsidRPr="001A0801" w:rsidRDefault="001A0801" w:rsidP="003A7FC7">
            <w:pPr>
              <w:spacing w:after="0" w:line="240" w:lineRule="auto"/>
              <w:jc w:val="right"/>
              <w:rPr>
                <w:rFonts w:ascii="Arial" w:eastAsia="Times New Roman" w:hAnsi="Arial" w:cs="Arial"/>
                <w:sz w:val="15"/>
                <w:szCs w:val="15"/>
                <w:lang w:eastAsia="en-GB"/>
              </w:rPr>
            </w:pPr>
            <w:r w:rsidRPr="001A0801">
              <w:rPr>
                <w:rFonts w:ascii="Arial" w:eastAsia="Times New Roman" w:hAnsi="Arial" w:cs="Arial"/>
                <w:sz w:val="15"/>
                <w:szCs w:val="15"/>
                <w:lang w:eastAsia="en-GB"/>
              </w:rPr>
              <w:t>338</w:t>
            </w:r>
          </w:p>
        </w:tc>
        <w:tc>
          <w:tcPr>
            <w:tcW w:w="682" w:type="pct"/>
            <w:tcBorders>
              <w:top w:val="nil"/>
              <w:left w:val="nil"/>
              <w:bottom w:val="nil"/>
              <w:right w:val="nil"/>
            </w:tcBorders>
            <w:shd w:val="clear" w:color="auto" w:fill="auto"/>
            <w:noWrap/>
            <w:vAlign w:val="center"/>
            <w:hideMark/>
          </w:tcPr>
          <w:p w14:paraId="5B1D1CE6" w14:textId="77777777" w:rsidR="001A0801" w:rsidRPr="001A0801" w:rsidRDefault="001A0801" w:rsidP="003A7FC7">
            <w:pPr>
              <w:spacing w:after="0" w:line="240" w:lineRule="auto"/>
              <w:jc w:val="right"/>
              <w:rPr>
                <w:rFonts w:ascii="Arial" w:eastAsia="Times New Roman" w:hAnsi="Arial" w:cs="Arial"/>
                <w:sz w:val="15"/>
                <w:szCs w:val="15"/>
                <w:lang w:eastAsia="en-GB"/>
              </w:rPr>
            </w:pPr>
          </w:p>
        </w:tc>
        <w:tc>
          <w:tcPr>
            <w:tcW w:w="744" w:type="pct"/>
            <w:tcBorders>
              <w:top w:val="nil"/>
              <w:left w:val="nil"/>
              <w:bottom w:val="nil"/>
              <w:right w:val="nil"/>
            </w:tcBorders>
            <w:shd w:val="clear" w:color="auto" w:fill="auto"/>
            <w:noWrap/>
            <w:vAlign w:val="center"/>
            <w:hideMark/>
          </w:tcPr>
          <w:p w14:paraId="06EA85B7" w14:textId="77777777" w:rsidR="001A0801" w:rsidRPr="001A0801" w:rsidRDefault="001A0801" w:rsidP="003A7FC7">
            <w:pPr>
              <w:spacing w:after="0" w:line="240" w:lineRule="auto"/>
              <w:jc w:val="right"/>
              <w:rPr>
                <w:rFonts w:ascii="Trebuchet MS" w:eastAsia="Times New Roman" w:hAnsi="Trebuchet MS" w:cs="Arial"/>
                <w:b/>
                <w:bCs/>
                <w:color w:val="000000"/>
                <w:sz w:val="15"/>
                <w:szCs w:val="15"/>
                <w:lang w:eastAsia="en-GB"/>
              </w:rPr>
            </w:pPr>
            <w:r w:rsidRPr="001A0801">
              <w:rPr>
                <w:rFonts w:ascii="Trebuchet MS" w:eastAsia="Times New Roman" w:hAnsi="Trebuchet MS" w:cs="Arial"/>
                <w:b/>
                <w:bCs/>
                <w:color w:val="000000"/>
                <w:sz w:val="15"/>
                <w:szCs w:val="15"/>
                <w:lang w:eastAsia="en-GB"/>
              </w:rPr>
              <w:t>4,494</w:t>
            </w:r>
          </w:p>
        </w:tc>
      </w:tr>
      <w:tr w:rsidR="001A0801" w:rsidRPr="001A0801" w14:paraId="04B57C82" w14:textId="77777777" w:rsidTr="00DA4CC8">
        <w:trPr>
          <w:trHeight w:val="227"/>
        </w:trPr>
        <w:tc>
          <w:tcPr>
            <w:tcW w:w="1537"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3A677C0A" w14:textId="77777777" w:rsidR="001A0801" w:rsidRPr="001A0801" w:rsidRDefault="001A0801" w:rsidP="001A0801">
            <w:pPr>
              <w:spacing w:after="0" w:line="240" w:lineRule="auto"/>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Total</w:t>
            </w:r>
          </w:p>
        </w:tc>
        <w:tc>
          <w:tcPr>
            <w:tcW w:w="673"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2F0E5D15" w14:textId="77777777" w:rsidR="001A0801" w:rsidRPr="001A0801" w:rsidRDefault="001A0801" w:rsidP="001A0801">
            <w:pPr>
              <w:spacing w:after="0" w:line="240" w:lineRule="auto"/>
              <w:jc w:val="right"/>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122,035</w:t>
            </w:r>
          </w:p>
        </w:tc>
        <w:tc>
          <w:tcPr>
            <w:tcW w:w="682"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5515B31D" w14:textId="77777777" w:rsidR="001A0801" w:rsidRPr="001A0801" w:rsidRDefault="001A0801" w:rsidP="001A0801">
            <w:pPr>
              <w:spacing w:after="0" w:line="240" w:lineRule="auto"/>
              <w:jc w:val="right"/>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25,710</w:t>
            </w:r>
          </w:p>
        </w:tc>
        <w:tc>
          <w:tcPr>
            <w:tcW w:w="682"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3C853A20" w14:textId="77777777" w:rsidR="001A0801" w:rsidRPr="001A0801" w:rsidRDefault="001A0801" w:rsidP="001A0801">
            <w:pPr>
              <w:spacing w:after="0" w:line="240" w:lineRule="auto"/>
              <w:jc w:val="right"/>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338</w:t>
            </w:r>
          </w:p>
        </w:tc>
        <w:tc>
          <w:tcPr>
            <w:tcW w:w="682"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5E13A841" w14:textId="77777777" w:rsidR="001A0801" w:rsidRPr="001A0801" w:rsidRDefault="001A0801" w:rsidP="001A0801">
            <w:pPr>
              <w:spacing w:after="0" w:line="240" w:lineRule="auto"/>
              <w:jc w:val="right"/>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199</w:t>
            </w:r>
          </w:p>
        </w:tc>
        <w:tc>
          <w:tcPr>
            <w:tcW w:w="744" w:type="pct"/>
            <w:tcBorders>
              <w:top w:val="single" w:sz="12" w:space="0" w:color="4472C4"/>
              <w:left w:val="nil"/>
              <w:bottom w:val="single" w:sz="12" w:space="0" w:color="4472C4"/>
              <w:right w:val="nil"/>
            </w:tcBorders>
            <w:shd w:val="clear" w:color="auto" w:fill="BFBFBF" w:themeFill="background1" w:themeFillShade="BF"/>
            <w:noWrap/>
            <w:vAlign w:val="center"/>
            <w:hideMark/>
          </w:tcPr>
          <w:p w14:paraId="332A9C28" w14:textId="77777777" w:rsidR="001A0801" w:rsidRPr="001A0801" w:rsidRDefault="001A0801" w:rsidP="001A0801">
            <w:pPr>
              <w:spacing w:after="0" w:line="240" w:lineRule="auto"/>
              <w:jc w:val="right"/>
              <w:rPr>
                <w:rFonts w:ascii="Trebuchet MS" w:eastAsia="Times New Roman" w:hAnsi="Trebuchet MS" w:cs="Arial"/>
                <w:b/>
                <w:bCs/>
                <w:sz w:val="15"/>
                <w:szCs w:val="15"/>
                <w:lang w:eastAsia="en-GB"/>
              </w:rPr>
            </w:pPr>
            <w:r w:rsidRPr="001A0801">
              <w:rPr>
                <w:rFonts w:ascii="Trebuchet MS" w:eastAsia="Times New Roman" w:hAnsi="Trebuchet MS" w:cs="Arial"/>
                <w:b/>
                <w:bCs/>
                <w:sz w:val="15"/>
                <w:szCs w:val="15"/>
                <w:lang w:eastAsia="en-GB"/>
              </w:rPr>
              <w:t>148,282</w:t>
            </w:r>
          </w:p>
        </w:tc>
      </w:tr>
    </w:tbl>
    <w:p w14:paraId="69510412" w14:textId="6BAC2795" w:rsidR="00022E0E" w:rsidRPr="0035568A" w:rsidRDefault="00022E0E" w:rsidP="001E36F1">
      <w:pPr>
        <w:spacing w:before="240" w:after="180" w:line="240" w:lineRule="auto"/>
        <w:jc w:val="both"/>
        <w:rPr>
          <w:rFonts w:ascii="Arial" w:eastAsia="Calibri" w:hAnsi="Arial" w:cs="Arial"/>
          <w:sz w:val="23"/>
          <w:szCs w:val="23"/>
        </w:rPr>
      </w:pPr>
      <w:r w:rsidRPr="0035568A">
        <w:rPr>
          <w:rFonts w:ascii="Arial" w:eastAsia="Calibri" w:hAnsi="Arial" w:cs="Arial"/>
          <w:sz w:val="23"/>
          <w:szCs w:val="23"/>
        </w:rPr>
        <w:t xml:space="preserve">There were additional minor payments reported by the government agencies for companies that were in scope but whose payments were below the agreed materiality thresholds and for in-scope companies that did not participate in the reconciliation process. The totals of </w:t>
      </w:r>
      <w:r w:rsidR="00B33D34" w:rsidRPr="0035568A">
        <w:rPr>
          <w:rFonts w:ascii="Arial" w:eastAsia="Calibri" w:hAnsi="Arial" w:cs="Arial"/>
          <w:sz w:val="23"/>
          <w:szCs w:val="23"/>
        </w:rPr>
        <w:t xml:space="preserve">these </w:t>
      </w:r>
      <w:r w:rsidRPr="0035568A">
        <w:rPr>
          <w:rFonts w:ascii="Arial" w:eastAsia="Calibri" w:hAnsi="Arial" w:cs="Arial"/>
          <w:sz w:val="23"/>
          <w:szCs w:val="23"/>
        </w:rPr>
        <w:t xml:space="preserve">payments are reported in </w:t>
      </w:r>
      <w:r w:rsidR="005F2B42" w:rsidRPr="0035568A">
        <w:rPr>
          <w:rFonts w:ascii="Arial" w:eastAsia="Calibri" w:hAnsi="Arial" w:cs="Arial"/>
          <w:sz w:val="23"/>
          <w:szCs w:val="23"/>
        </w:rPr>
        <w:t>Table 1</w:t>
      </w:r>
      <w:r w:rsidRPr="0035568A">
        <w:rPr>
          <w:rFonts w:ascii="Arial" w:eastAsia="Calibri" w:hAnsi="Arial" w:cs="Arial"/>
          <w:sz w:val="23"/>
          <w:szCs w:val="23"/>
        </w:rPr>
        <w:t xml:space="preserve"> above and, for petroleum licen</w:t>
      </w:r>
      <w:r w:rsidR="00B00A1B" w:rsidRPr="0035568A">
        <w:rPr>
          <w:rFonts w:ascii="Arial" w:eastAsia="Calibri" w:hAnsi="Arial" w:cs="Arial"/>
          <w:sz w:val="23"/>
          <w:szCs w:val="23"/>
        </w:rPr>
        <w:t>c</w:t>
      </w:r>
      <w:r w:rsidRPr="0035568A">
        <w:rPr>
          <w:rFonts w:ascii="Arial" w:eastAsia="Calibri" w:hAnsi="Arial" w:cs="Arial"/>
          <w:sz w:val="23"/>
          <w:szCs w:val="23"/>
        </w:rPr>
        <w:t xml:space="preserve">e fees and </w:t>
      </w:r>
      <w:r w:rsidR="009E4365" w:rsidRPr="0035568A">
        <w:rPr>
          <w:rFonts w:ascii="Arial" w:eastAsia="Calibri" w:hAnsi="Arial" w:cs="Arial"/>
          <w:sz w:val="23"/>
          <w:szCs w:val="23"/>
        </w:rPr>
        <w:t xml:space="preserve">the </w:t>
      </w:r>
      <w:r w:rsidRPr="0035568A">
        <w:rPr>
          <w:rFonts w:ascii="Arial" w:eastAsia="Calibri" w:hAnsi="Arial" w:cs="Arial"/>
          <w:sz w:val="23"/>
          <w:szCs w:val="23"/>
        </w:rPr>
        <w:t xml:space="preserve">OGA </w:t>
      </w:r>
      <w:r w:rsidR="00FB7DA3" w:rsidRPr="0035568A">
        <w:rPr>
          <w:rFonts w:ascii="Arial" w:eastAsia="Calibri" w:hAnsi="Arial" w:cs="Arial"/>
          <w:sz w:val="23"/>
          <w:szCs w:val="23"/>
        </w:rPr>
        <w:t>l</w:t>
      </w:r>
      <w:r w:rsidRPr="0035568A">
        <w:rPr>
          <w:rFonts w:ascii="Arial" w:eastAsia="Calibri" w:hAnsi="Arial" w:cs="Arial"/>
          <w:sz w:val="23"/>
          <w:szCs w:val="23"/>
        </w:rPr>
        <w:t xml:space="preserve">evy, are included in the online disclosure of project level payments and repayments, which also includes reconciled field level data on </w:t>
      </w:r>
      <w:r w:rsidR="00901E4B" w:rsidRPr="0035568A">
        <w:rPr>
          <w:rFonts w:ascii="Arial" w:eastAsia="Calibri" w:hAnsi="Arial" w:cs="Arial"/>
          <w:sz w:val="23"/>
          <w:szCs w:val="23"/>
        </w:rPr>
        <w:t>p</w:t>
      </w:r>
      <w:r w:rsidRPr="0035568A">
        <w:rPr>
          <w:rFonts w:ascii="Arial" w:eastAsia="Calibri" w:hAnsi="Arial" w:cs="Arial"/>
          <w:sz w:val="23"/>
          <w:szCs w:val="23"/>
        </w:rPr>
        <w:t xml:space="preserve">etroleum </w:t>
      </w:r>
      <w:r w:rsidR="00901E4B" w:rsidRPr="0035568A">
        <w:rPr>
          <w:rFonts w:ascii="Arial" w:eastAsia="Calibri" w:hAnsi="Arial" w:cs="Arial"/>
          <w:sz w:val="23"/>
          <w:szCs w:val="23"/>
        </w:rPr>
        <w:t>r</w:t>
      </w:r>
      <w:r w:rsidRPr="0035568A">
        <w:rPr>
          <w:rFonts w:ascii="Arial" w:eastAsia="Calibri" w:hAnsi="Arial" w:cs="Arial"/>
          <w:sz w:val="23"/>
          <w:szCs w:val="23"/>
        </w:rPr>
        <w:t xml:space="preserve">evenue </w:t>
      </w:r>
      <w:r w:rsidR="00901E4B" w:rsidRPr="0035568A">
        <w:rPr>
          <w:rFonts w:ascii="Arial" w:eastAsia="Calibri" w:hAnsi="Arial" w:cs="Arial"/>
          <w:sz w:val="23"/>
          <w:szCs w:val="23"/>
        </w:rPr>
        <w:t>t</w:t>
      </w:r>
      <w:r w:rsidRPr="0035568A">
        <w:rPr>
          <w:rFonts w:ascii="Arial" w:eastAsia="Calibri" w:hAnsi="Arial" w:cs="Arial"/>
          <w:sz w:val="23"/>
          <w:szCs w:val="23"/>
        </w:rPr>
        <w:t>ax and project-level payments to TCE and CES.</w:t>
      </w:r>
    </w:p>
    <w:p w14:paraId="641611AF" w14:textId="234276EE" w:rsidR="000D3A8D" w:rsidRPr="00F866E3" w:rsidRDefault="00023443" w:rsidP="008243B1">
      <w:pPr>
        <w:spacing w:after="180" w:line="240" w:lineRule="auto"/>
        <w:jc w:val="both"/>
        <w:rPr>
          <w:rFonts w:ascii="Arial" w:eastAsia="Calibri" w:hAnsi="Arial" w:cs="Arial"/>
          <w:sz w:val="23"/>
          <w:szCs w:val="23"/>
        </w:rPr>
      </w:pPr>
      <w:r w:rsidRPr="0035568A">
        <w:rPr>
          <w:rFonts w:ascii="Arial" w:eastAsia="Calibri" w:hAnsi="Arial" w:cs="Arial"/>
          <w:sz w:val="23"/>
          <w:szCs w:val="23"/>
        </w:rPr>
        <w:t>Several</w:t>
      </w:r>
      <w:r w:rsidR="00022E0E" w:rsidRPr="0035568A">
        <w:rPr>
          <w:rFonts w:ascii="Arial" w:eastAsia="Calibri" w:hAnsi="Arial" w:cs="Arial"/>
          <w:sz w:val="23"/>
          <w:szCs w:val="23"/>
        </w:rPr>
        <w:t xml:space="preserve"> companies have reported their </w:t>
      </w:r>
      <w:r w:rsidR="00DB3334" w:rsidRPr="0035568A">
        <w:rPr>
          <w:rFonts w:ascii="Arial" w:eastAsia="Calibri" w:hAnsi="Arial" w:cs="Arial"/>
          <w:sz w:val="23"/>
          <w:szCs w:val="23"/>
        </w:rPr>
        <w:t>202</w:t>
      </w:r>
      <w:r w:rsidR="002D2E3E" w:rsidRPr="0035568A">
        <w:rPr>
          <w:rFonts w:ascii="Arial" w:eastAsia="Calibri" w:hAnsi="Arial" w:cs="Arial"/>
          <w:sz w:val="23"/>
          <w:szCs w:val="23"/>
        </w:rPr>
        <w:t>3</w:t>
      </w:r>
      <w:r w:rsidR="00DB3334"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payments to governments around the world, including to UK government entities, under </w:t>
      </w:r>
      <w:r w:rsidR="00FB34BC" w:rsidRPr="0035568A">
        <w:rPr>
          <w:rFonts w:ascii="Arial" w:eastAsia="Calibri" w:hAnsi="Arial" w:cs="Arial"/>
          <w:sz w:val="23"/>
          <w:szCs w:val="23"/>
        </w:rPr>
        <w:t>the Reports on Payments to Governments Regulations 2014 as amended 2015 and the Accounts and Reports (Amendment) (EU Exit) Regulations 2019</w:t>
      </w:r>
      <w:r w:rsidR="00022E0E" w:rsidRPr="0035568A">
        <w:rPr>
          <w:rFonts w:ascii="Arial" w:eastAsia="Calibri" w:hAnsi="Arial" w:cs="Arial"/>
          <w:sz w:val="23"/>
          <w:szCs w:val="23"/>
        </w:rPr>
        <w:t>.</w:t>
      </w:r>
      <w:bookmarkEnd w:id="41"/>
      <w:r w:rsidR="00022E0E" w:rsidRPr="0035568A">
        <w:rPr>
          <w:rFonts w:ascii="Arial" w:eastAsia="Calibri" w:hAnsi="Arial" w:cs="Arial"/>
          <w:sz w:val="23"/>
          <w:szCs w:val="23"/>
        </w:rPr>
        <w:t xml:space="preserve"> </w:t>
      </w:r>
      <w:r w:rsidR="006C6678" w:rsidRPr="0035568A">
        <w:rPr>
          <w:rFonts w:ascii="Arial" w:eastAsia="Calibri" w:hAnsi="Arial" w:cs="Arial"/>
          <w:sz w:val="23"/>
          <w:szCs w:val="23"/>
        </w:rPr>
        <w:t>This does not form part</w:t>
      </w:r>
      <w:r w:rsidR="0024643D" w:rsidRPr="0035568A">
        <w:rPr>
          <w:rFonts w:ascii="Arial" w:eastAsia="Calibri" w:hAnsi="Arial" w:cs="Arial"/>
          <w:sz w:val="23"/>
          <w:szCs w:val="23"/>
        </w:rPr>
        <w:t xml:space="preserve"> of</w:t>
      </w:r>
      <w:r w:rsidR="006C6678" w:rsidRPr="0035568A">
        <w:rPr>
          <w:rFonts w:ascii="Arial" w:eastAsia="Calibri" w:hAnsi="Arial" w:cs="Arial"/>
          <w:sz w:val="23"/>
          <w:szCs w:val="23"/>
        </w:rPr>
        <w:t xml:space="preserve"> the UK EITI payment reconciliation exercise </w:t>
      </w:r>
      <w:r w:rsidR="0024643D" w:rsidRPr="0035568A">
        <w:rPr>
          <w:rFonts w:ascii="Arial" w:eastAsia="Calibri" w:hAnsi="Arial" w:cs="Arial"/>
          <w:sz w:val="23"/>
          <w:szCs w:val="23"/>
        </w:rPr>
        <w:t>but rather represents</w:t>
      </w:r>
      <w:r w:rsidR="006C6678" w:rsidRPr="0035568A">
        <w:rPr>
          <w:rFonts w:ascii="Arial" w:eastAsia="Calibri" w:hAnsi="Arial" w:cs="Arial"/>
          <w:sz w:val="23"/>
          <w:szCs w:val="23"/>
        </w:rPr>
        <w:t xml:space="preserve"> complement</w:t>
      </w:r>
      <w:r w:rsidR="0024643D" w:rsidRPr="0035568A">
        <w:rPr>
          <w:rFonts w:ascii="Arial" w:eastAsia="Calibri" w:hAnsi="Arial" w:cs="Arial"/>
          <w:sz w:val="23"/>
          <w:szCs w:val="23"/>
        </w:rPr>
        <w:t>ary</w:t>
      </w:r>
      <w:r w:rsidR="006C6678" w:rsidRPr="0035568A">
        <w:rPr>
          <w:rFonts w:ascii="Arial" w:eastAsia="Calibri" w:hAnsi="Arial" w:cs="Arial"/>
          <w:sz w:val="23"/>
          <w:szCs w:val="23"/>
        </w:rPr>
        <w:t xml:space="preserve"> information </w:t>
      </w:r>
      <w:r w:rsidR="00553625" w:rsidRPr="0035568A">
        <w:rPr>
          <w:rFonts w:ascii="Arial" w:eastAsia="Calibri" w:hAnsi="Arial" w:cs="Arial"/>
          <w:sz w:val="23"/>
          <w:szCs w:val="23"/>
        </w:rPr>
        <w:t>to</w:t>
      </w:r>
      <w:r w:rsidR="006C6678" w:rsidRPr="0035568A">
        <w:rPr>
          <w:rFonts w:ascii="Arial" w:eastAsia="Calibri" w:hAnsi="Arial" w:cs="Arial"/>
          <w:sz w:val="23"/>
          <w:szCs w:val="23"/>
        </w:rPr>
        <w:t xml:space="preserve"> this report</w:t>
      </w:r>
      <w:r w:rsidR="00F960A8"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There can be differences in the amounts reported under UK EITI and under the EU Accounting and Transparency Directives. These differences can relate to interpretation of the scope of payment categories, reporting </w:t>
      </w:r>
      <w:r w:rsidR="00553625" w:rsidRPr="0035568A">
        <w:rPr>
          <w:rFonts w:ascii="Arial" w:eastAsia="Calibri" w:hAnsi="Arial" w:cs="Arial"/>
          <w:sz w:val="23"/>
          <w:szCs w:val="23"/>
        </w:rPr>
        <w:t xml:space="preserve">currencies </w:t>
      </w:r>
      <w:r w:rsidR="00022E0E" w:rsidRPr="0035568A">
        <w:rPr>
          <w:rFonts w:ascii="Arial" w:eastAsia="Calibri" w:hAnsi="Arial" w:cs="Arial"/>
          <w:sz w:val="23"/>
          <w:szCs w:val="23"/>
        </w:rPr>
        <w:t>and timing</w:t>
      </w:r>
      <w:r w:rsidR="00553625" w:rsidRPr="0035568A">
        <w:rPr>
          <w:rFonts w:ascii="Arial" w:eastAsia="Calibri" w:hAnsi="Arial" w:cs="Arial"/>
          <w:sz w:val="23"/>
          <w:szCs w:val="23"/>
        </w:rPr>
        <w:t xml:space="preserve"> of payments</w:t>
      </w:r>
      <w:r w:rsidR="00022E0E" w:rsidRPr="0035568A">
        <w:rPr>
          <w:rFonts w:ascii="Arial" w:eastAsia="Calibri" w:hAnsi="Arial" w:cs="Arial"/>
          <w:sz w:val="23"/>
          <w:szCs w:val="23"/>
        </w:rPr>
        <w:t xml:space="preserve">. The Natural Resource Governance Institute maintains a database of Payments </w:t>
      </w:r>
      <w:r w:rsidR="00466C71" w:rsidRPr="0035568A">
        <w:rPr>
          <w:rFonts w:ascii="Arial" w:eastAsia="Calibri" w:hAnsi="Arial" w:cs="Arial"/>
          <w:sz w:val="23"/>
          <w:szCs w:val="23"/>
        </w:rPr>
        <w:t xml:space="preserve">made </w:t>
      </w:r>
      <w:r w:rsidR="00022E0E" w:rsidRPr="0035568A">
        <w:rPr>
          <w:rFonts w:ascii="Arial" w:eastAsia="Calibri" w:hAnsi="Arial" w:cs="Arial"/>
          <w:sz w:val="23"/>
          <w:szCs w:val="23"/>
        </w:rPr>
        <w:t xml:space="preserve">to Governments </w:t>
      </w:r>
      <w:r w:rsidR="00466C71" w:rsidRPr="0035568A">
        <w:rPr>
          <w:rFonts w:ascii="Arial" w:eastAsia="Calibri" w:hAnsi="Arial" w:cs="Arial"/>
          <w:sz w:val="23"/>
          <w:szCs w:val="23"/>
        </w:rPr>
        <w:t xml:space="preserve">and </w:t>
      </w:r>
      <w:r w:rsidR="00022E0E" w:rsidRPr="0035568A">
        <w:rPr>
          <w:rFonts w:ascii="Arial" w:eastAsia="Calibri" w:hAnsi="Arial" w:cs="Arial"/>
          <w:sz w:val="23"/>
          <w:szCs w:val="23"/>
        </w:rPr>
        <w:t xml:space="preserve">reports submitted by companies under </w:t>
      </w:r>
      <w:r w:rsidR="003155BC" w:rsidRPr="0035568A">
        <w:rPr>
          <w:rFonts w:ascii="Arial" w:eastAsia="Calibri" w:hAnsi="Arial" w:cs="Arial"/>
          <w:sz w:val="23"/>
          <w:szCs w:val="23"/>
        </w:rPr>
        <w:t xml:space="preserve">UK, </w:t>
      </w:r>
      <w:r w:rsidR="00022E0E" w:rsidRPr="0035568A">
        <w:rPr>
          <w:rFonts w:ascii="Arial" w:eastAsia="Calibri" w:hAnsi="Arial" w:cs="Arial"/>
          <w:sz w:val="23"/>
          <w:szCs w:val="23"/>
        </w:rPr>
        <w:t>EU/EEA and equivalent Canadian legislation.</w:t>
      </w:r>
      <w:r w:rsidR="000F7136">
        <w:rPr>
          <w:rStyle w:val="FootnoteReference"/>
          <w:rFonts w:ascii="Arial" w:eastAsia="Calibri" w:hAnsi="Arial" w:cs="Arial"/>
          <w:sz w:val="23"/>
          <w:szCs w:val="23"/>
        </w:rPr>
        <w:footnoteReference w:customMarkFollows="1" w:id="11"/>
        <w:t>3</w:t>
      </w:r>
    </w:p>
    <w:p w14:paraId="010954F0" w14:textId="77777777" w:rsidR="0002185B" w:rsidRDefault="0002185B" w:rsidP="001E36F1">
      <w:pPr>
        <w:pStyle w:val="Headin1"/>
        <w:numPr>
          <w:ilvl w:val="1"/>
          <w:numId w:val="31"/>
        </w:numPr>
        <w:ind w:left="431" w:hanging="431"/>
        <w:rPr>
          <w:rFonts w:ascii="Arial" w:eastAsia="Calibri" w:hAnsi="Arial" w:cs="Arial"/>
          <w:sz w:val="23"/>
          <w:szCs w:val="23"/>
        </w:rPr>
        <w:sectPr w:rsidR="0002185B" w:rsidSect="00A255F5">
          <w:footnotePr>
            <w:numRestart w:val="eachPage"/>
          </w:footnotePr>
          <w:pgSz w:w="11906" w:h="16838"/>
          <w:pgMar w:top="1440" w:right="1440" w:bottom="1440" w:left="1440" w:header="709" w:footer="709" w:gutter="0"/>
          <w:cols w:space="708"/>
          <w:docGrid w:linePitch="360"/>
        </w:sectPr>
      </w:pPr>
    </w:p>
    <w:p w14:paraId="3DB15D09" w14:textId="0C7E35C5" w:rsidR="00022E0E" w:rsidRPr="0035568A" w:rsidRDefault="00022E0E" w:rsidP="001E36F1">
      <w:pPr>
        <w:pStyle w:val="Headin1"/>
        <w:numPr>
          <w:ilvl w:val="1"/>
          <w:numId w:val="31"/>
        </w:numPr>
        <w:ind w:left="431" w:hanging="431"/>
        <w:rPr>
          <w:rFonts w:ascii="Arial" w:hAnsi="Arial" w:cs="Arial"/>
          <w:sz w:val="26"/>
          <w:szCs w:val="26"/>
          <w:lang w:eastAsia="en-GB"/>
        </w:rPr>
      </w:pPr>
      <w:bookmarkStart w:id="52" w:name="_Toc183079152"/>
      <w:r w:rsidRPr="0035568A">
        <w:rPr>
          <w:rFonts w:ascii="Arial" w:hAnsi="Arial" w:cs="Arial"/>
          <w:sz w:val="26"/>
          <w:szCs w:val="26"/>
          <w:lang w:eastAsia="en-GB"/>
        </w:rPr>
        <w:lastRenderedPageBreak/>
        <w:t>Section 106 (Town and Country Planning Act 1990) Payments</w:t>
      </w:r>
      <w:bookmarkEnd w:id="52"/>
    </w:p>
    <w:p w14:paraId="2EB7CE4E" w14:textId="253A0B00" w:rsidR="002044B4" w:rsidRPr="0035568A" w:rsidRDefault="00022E0E" w:rsidP="001E36F1">
      <w:pPr>
        <w:spacing w:after="180" w:line="240" w:lineRule="auto"/>
        <w:jc w:val="both"/>
        <w:rPr>
          <w:rFonts w:ascii="Arial" w:eastAsia="Calibri" w:hAnsi="Arial" w:cs="Arial"/>
          <w:sz w:val="23"/>
          <w:szCs w:val="23"/>
        </w:rPr>
      </w:pPr>
      <w:r w:rsidRPr="0035568A">
        <w:rPr>
          <w:rFonts w:ascii="Arial" w:eastAsia="Calibri" w:hAnsi="Arial" w:cs="Arial"/>
          <w:color w:val="222222"/>
          <w:sz w:val="23"/>
          <w:szCs w:val="23"/>
        </w:rPr>
        <w:t>Payments to local planning authorities in England and Wales are required under section</w:t>
      </w:r>
      <w:r w:rsidR="00BB0E3C" w:rsidRPr="0035568A">
        <w:rPr>
          <w:b/>
          <w:bCs/>
          <w:iCs/>
          <w:sz w:val="24"/>
          <w:szCs w:val="24"/>
        </w:rPr>
        <w:t> </w:t>
      </w:r>
      <w:r w:rsidRPr="0035568A">
        <w:rPr>
          <w:rFonts w:ascii="Arial" w:eastAsia="Calibri" w:hAnsi="Arial" w:cs="Arial"/>
          <w:color w:val="222222"/>
          <w:sz w:val="23"/>
          <w:szCs w:val="23"/>
        </w:rPr>
        <w:t xml:space="preserve">106 of the Town and Country Planning Act 1990 and equivalent legislation in </w:t>
      </w:r>
      <w:hyperlink r:id="rId19" w:history="1">
        <w:r w:rsidRPr="0035568A">
          <w:rPr>
            <w:rStyle w:val="Hyperlink"/>
            <w:rFonts w:ascii="Arial" w:eastAsia="Calibri" w:hAnsi="Arial" w:cs="Arial"/>
            <w:sz w:val="23"/>
            <w:szCs w:val="23"/>
          </w:rPr>
          <w:t>Scotland</w:t>
        </w:r>
      </w:hyperlink>
      <w:r w:rsidRPr="0035568A">
        <w:rPr>
          <w:rFonts w:ascii="Arial" w:eastAsia="Calibri" w:hAnsi="Arial" w:cs="Arial"/>
          <w:color w:val="222222"/>
          <w:sz w:val="23"/>
          <w:szCs w:val="23"/>
        </w:rPr>
        <w:t xml:space="preserve"> and </w:t>
      </w:r>
      <w:hyperlink r:id="rId20" w:history="1">
        <w:r w:rsidRPr="0035568A">
          <w:rPr>
            <w:rStyle w:val="Hyperlink"/>
            <w:rFonts w:ascii="Arial" w:eastAsia="Calibri" w:hAnsi="Arial" w:cs="Arial"/>
            <w:sz w:val="23"/>
            <w:szCs w:val="23"/>
          </w:rPr>
          <w:t>Northern Ireland</w:t>
        </w:r>
      </w:hyperlink>
      <w:r w:rsidRPr="0035568A">
        <w:rPr>
          <w:rFonts w:ascii="Arial" w:eastAsia="Calibri" w:hAnsi="Arial" w:cs="Arial"/>
          <w:color w:val="222222"/>
          <w:sz w:val="23"/>
          <w:szCs w:val="23"/>
        </w:rPr>
        <w:t xml:space="preserve">. These </w:t>
      </w:r>
      <w:r w:rsidR="00A8782E" w:rsidRPr="0035568A">
        <w:rPr>
          <w:rFonts w:ascii="Arial" w:eastAsia="Calibri" w:hAnsi="Arial" w:cs="Arial"/>
          <w:color w:val="222222"/>
          <w:sz w:val="23"/>
          <w:szCs w:val="23"/>
        </w:rPr>
        <w:t xml:space="preserve">payments </w:t>
      </w:r>
      <w:r w:rsidRPr="0035568A">
        <w:rPr>
          <w:rFonts w:ascii="Arial" w:eastAsia="Calibri" w:hAnsi="Arial" w:cs="Arial"/>
          <w:color w:val="222222"/>
          <w:sz w:val="23"/>
          <w:szCs w:val="23"/>
        </w:rPr>
        <w:t>are used to mitigate the impact of extractive activities on the local community and benefit local communities. These payments can provide external benefits, including the improvement of local road networks or community facilities.</w:t>
      </w:r>
    </w:p>
    <w:p w14:paraId="50B66455" w14:textId="4D7F02BC" w:rsidR="00022E0E" w:rsidRPr="0035568A" w:rsidRDefault="00022E0E" w:rsidP="001E36F1">
      <w:pPr>
        <w:spacing w:line="240" w:lineRule="auto"/>
        <w:jc w:val="both"/>
        <w:rPr>
          <w:rFonts w:ascii="Arial" w:eastAsia="Calibri" w:hAnsi="Arial" w:cs="Arial"/>
          <w:color w:val="222222"/>
          <w:sz w:val="23"/>
          <w:szCs w:val="23"/>
        </w:rPr>
      </w:pPr>
      <w:r w:rsidRPr="0035568A">
        <w:rPr>
          <w:rFonts w:ascii="Arial" w:eastAsia="Calibri" w:hAnsi="Arial" w:cs="Arial"/>
          <w:color w:val="222222"/>
          <w:sz w:val="23"/>
          <w:szCs w:val="23"/>
        </w:rPr>
        <w:t xml:space="preserve">Only one </w:t>
      </w:r>
      <w:r w:rsidR="00CC1EC1" w:rsidRPr="0035568A">
        <w:rPr>
          <w:rFonts w:ascii="Arial" w:eastAsia="Calibri" w:hAnsi="Arial" w:cs="Arial"/>
          <w:color w:val="222222"/>
          <w:sz w:val="23"/>
          <w:szCs w:val="23"/>
        </w:rPr>
        <w:t xml:space="preserve">company </w:t>
      </w:r>
      <w:r w:rsidRPr="0035568A">
        <w:rPr>
          <w:rFonts w:ascii="Arial" w:eastAsia="Calibri" w:hAnsi="Arial" w:cs="Arial"/>
          <w:color w:val="222222"/>
          <w:sz w:val="23"/>
          <w:szCs w:val="23"/>
        </w:rPr>
        <w:t>reported material payments under section 106 or equivalent legislation</w:t>
      </w:r>
      <w:r w:rsidR="00E26D64" w:rsidRPr="0035568A">
        <w:rPr>
          <w:rFonts w:ascii="Arial" w:eastAsia="Calibri" w:hAnsi="Arial" w:cs="Arial"/>
          <w:color w:val="222222"/>
          <w:sz w:val="23"/>
          <w:szCs w:val="23"/>
        </w:rPr>
        <w:t>, namely</w:t>
      </w:r>
      <w:r w:rsidRPr="0035568A">
        <w:rPr>
          <w:rFonts w:ascii="Arial" w:eastAsia="Calibri" w:hAnsi="Arial" w:cs="Arial"/>
          <w:color w:val="222222"/>
          <w:sz w:val="23"/>
          <w:szCs w:val="23"/>
        </w:rPr>
        <w:t xml:space="preserve"> Aggregate Industries UK Ltd</w:t>
      </w:r>
      <w:r w:rsidR="004235EB" w:rsidRPr="0035568A">
        <w:rPr>
          <w:rFonts w:ascii="Arial" w:eastAsia="Calibri" w:hAnsi="Arial" w:cs="Arial"/>
          <w:color w:val="222222"/>
          <w:sz w:val="23"/>
          <w:szCs w:val="23"/>
        </w:rPr>
        <w:t>,</w:t>
      </w:r>
      <w:r w:rsidRPr="0035568A">
        <w:rPr>
          <w:rFonts w:ascii="Arial" w:eastAsia="Calibri" w:hAnsi="Arial" w:cs="Arial"/>
          <w:color w:val="222222"/>
          <w:sz w:val="23"/>
          <w:szCs w:val="23"/>
        </w:rPr>
        <w:t xml:space="preserve"> </w:t>
      </w:r>
      <w:r w:rsidR="00E26D64" w:rsidRPr="0035568A">
        <w:rPr>
          <w:rFonts w:ascii="Arial" w:eastAsia="Calibri" w:hAnsi="Arial" w:cs="Arial"/>
          <w:color w:val="222222"/>
          <w:sz w:val="23"/>
          <w:szCs w:val="23"/>
        </w:rPr>
        <w:t xml:space="preserve">which </w:t>
      </w:r>
      <w:r w:rsidRPr="0035568A">
        <w:rPr>
          <w:rFonts w:ascii="Arial" w:eastAsia="Calibri" w:hAnsi="Arial" w:cs="Arial"/>
          <w:color w:val="222222"/>
          <w:sz w:val="23"/>
          <w:szCs w:val="23"/>
        </w:rPr>
        <w:t xml:space="preserve">reported total payments </w:t>
      </w:r>
      <w:r w:rsidR="00831A2F" w:rsidRPr="0035568A">
        <w:rPr>
          <w:rFonts w:ascii="Arial" w:eastAsia="Calibri" w:hAnsi="Arial" w:cs="Arial"/>
          <w:color w:val="222222"/>
          <w:sz w:val="23"/>
          <w:szCs w:val="23"/>
        </w:rPr>
        <w:t xml:space="preserve">of </w:t>
      </w:r>
      <w:r w:rsidRPr="0035568A">
        <w:rPr>
          <w:rFonts w:ascii="Arial" w:eastAsia="Calibri" w:hAnsi="Arial" w:cs="Arial"/>
          <w:color w:val="222222"/>
          <w:sz w:val="23"/>
          <w:szCs w:val="23"/>
        </w:rPr>
        <w:t>£</w:t>
      </w:r>
      <w:r w:rsidR="004B4E59" w:rsidRPr="0035568A">
        <w:rPr>
          <w:rFonts w:ascii="Arial" w:eastAsia="Calibri" w:hAnsi="Arial" w:cs="Arial"/>
          <w:color w:val="222222"/>
          <w:sz w:val="23"/>
          <w:szCs w:val="23"/>
        </w:rPr>
        <w:t>199,309</w:t>
      </w:r>
      <w:r w:rsidR="007546F9" w:rsidRPr="0035568A">
        <w:rPr>
          <w:rFonts w:ascii="Arial" w:eastAsia="Calibri" w:hAnsi="Arial" w:cs="Arial"/>
          <w:color w:val="222222"/>
          <w:sz w:val="23"/>
          <w:szCs w:val="23"/>
        </w:rPr>
        <w:t>,</w:t>
      </w:r>
      <w:r w:rsidR="008D2900" w:rsidRPr="0035568A">
        <w:rPr>
          <w:rFonts w:ascii="Arial" w:eastAsia="Calibri" w:hAnsi="Arial" w:cs="Arial"/>
          <w:color w:val="222222"/>
          <w:sz w:val="23"/>
          <w:szCs w:val="23"/>
        </w:rPr>
        <w:t xml:space="preserve"> </w:t>
      </w:r>
      <w:r w:rsidR="00EB33D3" w:rsidRPr="0035568A">
        <w:rPr>
          <w:rFonts w:ascii="Arial" w:eastAsia="Calibri" w:hAnsi="Arial" w:cs="Arial"/>
          <w:color w:val="222222"/>
          <w:sz w:val="23"/>
          <w:szCs w:val="23"/>
        </w:rPr>
        <w:t>detailed as follows:</w:t>
      </w:r>
    </w:p>
    <w:p w14:paraId="19705C22" w14:textId="0BAFB025" w:rsidR="007E6923" w:rsidRPr="0035568A" w:rsidRDefault="00B42BB2" w:rsidP="00794FE1">
      <w:pPr>
        <w:pStyle w:val="Caption"/>
        <w:rPr>
          <w:rFonts w:asciiTheme="minorBidi" w:eastAsia="Calibri" w:hAnsiTheme="minorBidi"/>
          <w:color w:val="auto"/>
          <w:sz w:val="22"/>
          <w:szCs w:val="22"/>
        </w:rPr>
      </w:pPr>
      <w:bookmarkStart w:id="53" w:name="_Toc177118485"/>
      <w:r w:rsidRPr="0035568A">
        <w:rPr>
          <w:rFonts w:asciiTheme="minorBidi" w:eastAsia="Calibri" w:hAnsiTheme="minorBidi"/>
          <w:iCs/>
          <w:smallCaps w:val="0"/>
          <w:color w:val="auto"/>
          <w:spacing w:val="0"/>
          <w:sz w:val="22"/>
          <w:szCs w:val="22"/>
          <w:lang w:eastAsia="x-none"/>
        </w:rPr>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5</w:t>
      </w:r>
      <w:r w:rsidRPr="0035568A">
        <w:rPr>
          <w:rFonts w:asciiTheme="minorBidi" w:hAnsiTheme="minorBidi"/>
          <w:color w:val="auto"/>
          <w:sz w:val="22"/>
          <w:szCs w:val="22"/>
        </w:rPr>
        <w:fldChar w:fldCharType="end"/>
      </w:r>
      <w:r w:rsidRPr="0035568A">
        <w:rPr>
          <w:rFonts w:asciiTheme="minorBidi" w:hAnsiTheme="minorBidi"/>
          <w:color w:val="auto"/>
          <w:sz w:val="22"/>
          <w:szCs w:val="22"/>
        </w:rPr>
        <w:t xml:space="preserve">: </w:t>
      </w:r>
      <w:r w:rsidRPr="0035568A">
        <w:rPr>
          <w:rFonts w:asciiTheme="minorBidi" w:eastAsia="Calibri" w:hAnsiTheme="minorBidi"/>
          <w:iCs/>
          <w:smallCaps w:val="0"/>
          <w:color w:val="auto"/>
          <w:spacing w:val="0"/>
          <w:sz w:val="22"/>
          <w:szCs w:val="22"/>
          <w:lang w:eastAsia="x-none"/>
        </w:rPr>
        <w:t>Section 106 (Town and Country Planning Act 1990) Payments</w:t>
      </w:r>
      <w:bookmarkEnd w:id="53"/>
    </w:p>
    <w:tbl>
      <w:tblPr>
        <w:tblW w:w="0" w:type="auto"/>
        <w:tblLayout w:type="fixed"/>
        <w:tblLook w:val="04A0" w:firstRow="1" w:lastRow="0" w:firstColumn="1" w:lastColumn="0" w:noHBand="0" w:noVBand="1"/>
      </w:tblPr>
      <w:tblGrid>
        <w:gridCol w:w="1134"/>
        <w:gridCol w:w="1701"/>
        <w:gridCol w:w="1134"/>
        <w:gridCol w:w="1560"/>
      </w:tblGrid>
      <w:tr w:rsidR="00DF4320" w:rsidRPr="0035568A" w14:paraId="6CEC3172" w14:textId="41FB8329" w:rsidTr="00522A10">
        <w:trPr>
          <w:trHeight w:val="454"/>
          <w:tblHeader/>
        </w:trPr>
        <w:tc>
          <w:tcPr>
            <w:tcW w:w="1134" w:type="dxa"/>
            <w:tcBorders>
              <w:top w:val="nil"/>
              <w:left w:val="nil"/>
              <w:bottom w:val="nil"/>
              <w:right w:val="nil"/>
            </w:tcBorders>
            <w:shd w:val="clear" w:color="000000" w:fill="244061"/>
            <w:vAlign w:val="center"/>
            <w:hideMark/>
          </w:tcPr>
          <w:p w14:paraId="4D08656C" w14:textId="77777777" w:rsidR="00991BA9" w:rsidRPr="0035568A" w:rsidRDefault="00991BA9" w:rsidP="00650C3A">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Quarry</w:t>
            </w:r>
          </w:p>
        </w:tc>
        <w:tc>
          <w:tcPr>
            <w:tcW w:w="1701" w:type="dxa"/>
            <w:tcBorders>
              <w:top w:val="nil"/>
              <w:left w:val="nil"/>
              <w:bottom w:val="nil"/>
              <w:right w:val="nil"/>
            </w:tcBorders>
            <w:shd w:val="clear" w:color="000000" w:fill="244061"/>
            <w:vAlign w:val="center"/>
            <w:hideMark/>
          </w:tcPr>
          <w:p w14:paraId="5627B99F" w14:textId="77777777" w:rsidR="00991BA9" w:rsidRPr="0035568A" w:rsidRDefault="00991BA9" w:rsidP="00650C3A">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Local Authority (Beneficiary)</w:t>
            </w:r>
          </w:p>
        </w:tc>
        <w:tc>
          <w:tcPr>
            <w:tcW w:w="1134" w:type="dxa"/>
            <w:tcBorders>
              <w:top w:val="nil"/>
              <w:left w:val="nil"/>
              <w:bottom w:val="nil"/>
              <w:right w:val="nil"/>
            </w:tcBorders>
            <w:shd w:val="clear" w:color="000000" w:fill="244061"/>
            <w:vAlign w:val="center"/>
            <w:hideMark/>
          </w:tcPr>
          <w:p w14:paraId="4D08FD5A" w14:textId="77777777" w:rsidR="00991BA9" w:rsidRPr="0035568A" w:rsidRDefault="00991BA9" w:rsidP="00650C3A">
            <w:pPr>
              <w:spacing w:before="40" w:after="40" w:line="240" w:lineRule="auto"/>
              <w:jc w:val="right"/>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Payment (£)</w:t>
            </w:r>
          </w:p>
        </w:tc>
        <w:tc>
          <w:tcPr>
            <w:tcW w:w="1560" w:type="dxa"/>
            <w:tcBorders>
              <w:top w:val="nil"/>
              <w:left w:val="nil"/>
              <w:bottom w:val="nil"/>
              <w:right w:val="nil"/>
            </w:tcBorders>
            <w:shd w:val="clear" w:color="000000" w:fill="244061"/>
            <w:vAlign w:val="center"/>
          </w:tcPr>
          <w:p w14:paraId="68E3A0F8" w14:textId="14883160" w:rsidR="00991BA9" w:rsidRPr="0035568A" w:rsidRDefault="00251B05" w:rsidP="00650C3A">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Type of payment (Cash / in-kind)</w:t>
            </w:r>
          </w:p>
        </w:tc>
      </w:tr>
      <w:tr w:rsidR="00DF4320" w:rsidRPr="0035568A" w14:paraId="26D2F6F5" w14:textId="584506C3" w:rsidTr="000C166F">
        <w:trPr>
          <w:trHeight w:val="283"/>
        </w:trPr>
        <w:tc>
          <w:tcPr>
            <w:tcW w:w="1134" w:type="dxa"/>
            <w:tcBorders>
              <w:top w:val="nil"/>
              <w:left w:val="nil"/>
              <w:bottom w:val="nil"/>
              <w:right w:val="nil"/>
            </w:tcBorders>
            <w:shd w:val="clear" w:color="000000" w:fill="B8CCE4"/>
            <w:noWrap/>
            <w:vAlign w:val="center"/>
            <w:hideMark/>
          </w:tcPr>
          <w:p w14:paraId="3C31D4C1" w14:textId="1C98C130" w:rsidR="00991BA9" w:rsidRPr="0035568A" w:rsidRDefault="00DF4320" w:rsidP="00650C3A">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3349010040</w:t>
            </w:r>
          </w:p>
        </w:tc>
        <w:tc>
          <w:tcPr>
            <w:tcW w:w="1701" w:type="dxa"/>
            <w:tcBorders>
              <w:top w:val="nil"/>
              <w:left w:val="nil"/>
              <w:bottom w:val="nil"/>
              <w:right w:val="nil"/>
            </w:tcBorders>
            <w:shd w:val="clear" w:color="auto" w:fill="B8CCE4"/>
            <w:noWrap/>
            <w:vAlign w:val="center"/>
            <w:hideMark/>
          </w:tcPr>
          <w:p w14:paraId="5EBBD125" w14:textId="2B380E94" w:rsidR="00991BA9" w:rsidRPr="0035568A" w:rsidRDefault="00E674C6" w:rsidP="00650C3A">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Flint County Council</w:t>
            </w:r>
          </w:p>
        </w:tc>
        <w:tc>
          <w:tcPr>
            <w:tcW w:w="1134" w:type="dxa"/>
            <w:tcBorders>
              <w:top w:val="nil"/>
              <w:left w:val="nil"/>
              <w:bottom w:val="nil"/>
              <w:right w:val="nil"/>
            </w:tcBorders>
            <w:shd w:val="clear" w:color="000000" w:fill="B8CCE4"/>
            <w:noWrap/>
            <w:vAlign w:val="center"/>
            <w:hideMark/>
          </w:tcPr>
          <w:p w14:paraId="66535AE5" w14:textId="209409D3" w:rsidR="00991BA9" w:rsidRPr="0035568A" w:rsidRDefault="00E674C6" w:rsidP="00650C3A">
            <w:pPr>
              <w:spacing w:before="40" w:after="40" w:line="240" w:lineRule="auto"/>
              <w:jc w:val="right"/>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199,309</w:t>
            </w:r>
          </w:p>
        </w:tc>
        <w:tc>
          <w:tcPr>
            <w:tcW w:w="1560" w:type="dxa"/>
            <w:tcBorders>
              <w:top w:val="nil"/>
              <w:left w:val="nil"/>
              <w:bottom w:val="nil"/>
              <w:right w:val="nil"/>
            </w:tcBorders>
            <w:shd w:val="clear" w:color="000000" w:fill="B8CCE4"/>
            <w:vAlign w:val="center"/>
          </w:tcPr>
          <w:p w14:paraId="6B214266" w14:textId="7DBBFE04" w:rsidR="00991BA9" w:rsidRPr="0035568A" w:rsidRDefault="00251B05" w:rsidP="00650C3A">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Cash</w:t>
            </w:r>
          </w:p>
        </w:tc>
      </w:tr>
      <w:tr w:rsidR="00DF4320" w:rsidRPr="0035568A" w14:paraId="46A87603" w14:textId="4C8FFCEB" w:rsidTr="00271472">
        <w:trPr>
          <w:trHeight w:val="283"/>
        </w:trPr>
        <w:tc>
          <w:tcPr>
            <w:tcW w:w="2835" w:type="dxa"/>
            <w:gridSpan w:val="2"/>
            <w:tcBorders>
              <w:top w:val="single" w:sz="12" w:space="0" w:color="4472C4"/>
              <w:left w:val="nil"/>
              <w:bottom w:val="single" w:sz="12" w:space="0" w:color="4472C4"/>
              <w:right w:val="nil"/>
            </w:tcBorders>
            <w:shd w:val="clear" w:color="000000" w:fill="203764"/>
            <w:noWrap/>
            <w:vAlign w:val="center"/>
            <w:hideMark/>
          </w:tcPr>
          <w:p w14:paraId="37A2ECAE" w14:textId="77777777" w:rsidR="00991BA9" w:rsidRPr="0035568A" w:rsidRDefault="00991BA9" w:rsidP="00650C3A">
            <w:pPr>
              <w:spacing w:before="40" w:after="40" w:line="240" w:lineRule="auto"/>
              <w:jc w:val="right"/>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Total</w:t>
            </w:r>
          </w:p>
        </w:tc>
        <w:tc>
          <w:tcPr>
            <w:tcW w:w="1134" w:type="dxa"/>
            <w:tcBorders>
              <w:top w:val="single" w:sz="12" w:space="0" w:color="4472C4"/>
              <w:left w:val="nil"/>
              <w:bottom w:val="single" w:sz="12" w:space="0" w:color="4472C4"/>
              <w:right w:val="nil"/>
            </w:tcBorders>
            <w:shd w:val="clear" w:color="000000" w:fill="203764"/>
            <w:noWrap/>
            <w:vAlign w:val="center"/>
            <w:hideMark/>
          </w:tcPr>
          <w:p w14:paraId="005E8F34" w14:textId="6A49B71F" w:rsidR="00991BA9" w:rsidRPr="0035568A" w:rsidRDefault="00E674C6" w:rsidP="00650C3A">
            <w:pPr>
              <w:spacing w:before="40" w:after="40" w:line="240" w:lineRule="auto"/>
              <w:jc w:val="right"/>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199,309</w:t>
            </w:r>
          </w:p>
        </w:tc>
        <w:tc>
          <w:tcPr>
            <w:tcW w:w="1560" w:type="dxa"/>
            <w:tcBorders>
              <w:top w:val="single" w:sz="12" w:space="0" w:color="4472C4"/>
              <w:left w:val="nil"/>
              <w:bottom w:val="single" w:sz="12" w:space="0" w:color="4472C4"/>
              <w:right w:val="nil"/>
            </w:tcBorders>
            <w:shd w:val="clear" w:color="000000" w:fill="203764"/>
          </w:tcPr>
          <w:p w14:paraId="4AE6A47A" w14:textId="77777777" w:rsidR="00991BA9" w:rsidRPr="0035568A" w:rsidRDefault="00991BA9" w:rsidP="00650C3A">
            <w:pPr>
              <w:spacing w:before="40" w:after="40" w:line="240" w:lineRule="auto"/>
              <w:jc w:val="right"/>
              <w:rPr>
                <w:rFonts w:ascii="Arial" w:eastAsia="Times New Roman" w:hAnsi="Arial" w:cs="Arial"/>
                <w:b/>
                <w:bCs/>
                <w:color w:val="FFFFFF"/>
                <w:sz w:val="16"/>
                <w:szCs w:val="16"/>
                <w:lang w:eastAsia="en-GB"/>
              </w:rPr>
            </w:pPr>
          </w:p>
        </w:tc>
      </w:tr>
    </w:tbl>
    <w:p w14:paraId="5BA62BC6" w14:textId="4090F0FF" w:rsidR="00AD0866" w:rsidRPr="0035568A" w:rsidRDefault="00BD1772" w:rsidP="001E36F1">
      <w:pPr>
        <w:pStyle w:val="Headin1"/>
        <w:numPr>
          <w:ilvl w:val="1"/>
          <w:numId w:val="31"/>
        </w:numPr>
        <w:spacing w:before="240"/>
        <w:ind w:left="431" w:hanging="431"/>
        <w:rPr>
          <w:rFonts w:ascii="Arial" w:hAnsi="Arial" w:cs="Arial"/>
          <w:sz w:val="26"/>
          <w:szCs w:val="26"/>
          <w:lang w:eastAsia="en-GB"/>
        </w:rPr>
      </w:pPr>
      <w:bookmarkStart w:id="54" w:name="_Toc183079153"/>
      <w:r w:rsidRPr="0035568A">
        <w:rPr>
          <w:rFonts w:ascii="Arial" w:hAnsi="Arial" w:cs="Arial"/>
          <w:sz w:val="26"/>
          <w:szCs w:val="26"/>
          <w:lang w:eastAsia="en-GB"/>
        </w:rPr>
        <w:t>E</w:t>
      </w:r>
      <w:r w:rsidR="0016076E" w:rsidRPr="0035568A">
        <w:rPr>
          <w:rFonts w:ascii="Arial" w:hAnsi="Arial" w:cs="Arial"/>
          <w:sz w:val="26"/>
          <w:szCs w:val="26"/>
          <w:lang w:eastAsia="en-GB"/>
        </w:rPr>
        <w:t xml:space="preserve">volution of </w:t>
      </w:r>
      <w:r w:rsidR="008106EB" w:rsidRPr="0035568A">
        <w:rPr>
          <w:rFonts w:ascii="Arial" w:hAnsi="Arial" w:cs="Arial"/>
          <w:sz w:val="26"/>
          <w:szCs w:val="26"/>
          <w:lang w:eastAsia="en-GB"/>
        </w:rPr>
        <w:t>E</w:t>
      </w:r>
      <w:r w:rsidR="00FF0F04" w:rsidRPr="0035568A">
        <w:rPr>
          <w:rFonts w:ascii="Arial" w:hAnsi="Arial" w:cs="Arial"/>
          <w:sz w:val="26"/>
          <w:szCs w:val="26"/>
          <w:lang w:eastAsia="en-GB"/>
        </w:rPr>
        <w:t xml:space="preserve">xtractive </w:t>
      </w:r>
      <w:r w:rsidR="008106EB" w:rsidRPr="0035568A">
        <w:rPr>
          <w:rFonts w:ascii="Arial" w:hAnsi="Arial" w:cs="Arial"/>
          <w:sz w:val="26"/>
          <w:szCs w:val="26"/>
          <w:lang w:eastAsia="en-GB"/>
        </w:rPr>
        <w:t>R</w:t>
      </w:r>
      <w:r w:rsidR="00FF0F04" w:rsidRPr="0035568A">
        <w:rPr>
          <w:rFonts w:ascii="Arial" w:hAnsi="Arial" w:cs="Arial"/>
          <w:sz w:val="26"/>
          <w:szCs w:val="26"/>
          <w:lang w:eastAsia="en-GB"/>
        </w:rPr>
        <w:t>evenues</w:t>
      </w:r>
      <w:r w:rsidR="003B5072" w:rsidRPr="0035568A">
        <w:rPr>
          <w:rFonts w:ascii="Arial" w:hAnsi="Arial" w:cs="Arial"/>
          <w:sz w:val="26"/>
          <w:szCs w:val="26"/>
          <w:lang w:eastAsia="en-GB"/>
        </w:rPr>
        <w:t xml:space="preserve"> (</w:t>
      </w:r>
      <w:r w:rsidR="00C14A10" w:rsidRPr="0035568A">
        <w:rPr>
          <w:rFonts w:ascii="Arial" w:hAnsi="Arial" w:cs="Arial"/>
          <w:sz w:val="26"/>
          <w:szCs w:val="26"/>
          <w:lang w:eastAsia="en-GB"/>
        </w:rPr>
        <w:t xml:space="preserve">2014 </w:t>
      </w:r>
      <w:r w:rsidR="003B5072" w:rsidRPr="0035568A">
        <w:rPr>
          <w:rFonts w:ascii="Arial" w:hAnsi="Arial" w:cs="Arial"/>
          <w:sz w:val="26"/>
          <w:szCs w:val="26"/>
          <w:lang w:eastAsia="en-GB"/>
        </w:rPr>
        <w:t>/ 202</w:t>
      </w:r>
      <w:r w:rsidR="00271472" w:rsidRPr="0035568A">
        <w:rPr>
          <w:rFonts w:ascii="Arial" w:hAnsi="Arial" w:cs="Arial"/>
          <w:sz w:val="26"/>
          <w:szCs w:val="26"/>
          <w:lang w:eastAsia="en-GB"/>
        </w:rPr>
        <w:t>3</w:t>
      </w:r>
      <w:r w:rsidR="003B5072" w:rsidRPr="0035568A">
        <w:rPr>
          <w:rFonts w:ascii="Arial" w:hAnsi="Arial" w:cs="Arial"/>
          <w:sz w:val="26"/>
          <w:szCs w:val="26"/>
          <w:lang w:eastAsia="en-GB"/>
        </w:rPr>
        <w:t>)</w:t>
      </w:r>
      <w:bookmarkEnd w:id="54"/>
    </w:p>
    <w:p w14:paraId="5E5FC85D" w14:textId="7402B1F8" w:rsidR="00FF0F04" w:rsidRPr="0035568A" w:rsidRDefault="00B24B4B" w:rsidP="001E36F1">
      <w:pPr>
        <w:spacing w:before="240" w:after="180" w:line="240" w:lineRule="auto"/>
        <w:jc w:val="both"/>
        <w:rPr>
          <w:rFonts w:ascii="Arial" w:eastAsia="Calibri" w:hAnsi="Arial" w:cs="Arial"/>
          <w:sz w:val="23"/>
          <w:szCs w:val="23"/>
        </w:rPr>
      </w:pPr>
      <w:r w:rsidRPr="0035568A">
        <w:rPr>
          <w:rFonts w:ascii="Arial" w:eastAsia="Calibri" w:hAnsi="Arial" w:cs="Arial"/>
          <w:sz w:val="23"/>
          <w:szCs w:val="23"/>
        </w:rPr>
        <w:t xml:space="preserve">Extractive revenues </w:t>
      </w:r>
      <w:r w:rsidR="00C31DC4" w:rsidRPr="0035568A">
        <w:rPr>
          <w:rFonts w:ascii="Arial" w:eastAsia="Calibri" w:hAnsi="Arial" w:cs="Arial"/>
          <w:sz w:val="23"/>
          <w:szCs w:val="23"/>
        </w:rPr>
        <w:t>rose</w:t>
      </w:r>
      <w:r w:rsidR="00C53EC0" w:rsidRPr="0035568A">
        <w:rPr>
          <w:rFonts w:ascii="Arial" w:eastAsia="Calibri" w:hAnsi="Arial" w:cs="Arial"/>
          <w:sz w:val="23"/>
          <w:szCs w:val="23"/>
        </w:rPr>
        <w:t xml:space="preserve"> </w:t>
      </w:r>
      <w:r w:rsidR="00271472" w:rsidRPr="0035568A">
        <w:rPr>
          <w:rFonts w:ascii="Arial" w:eastAsia="Calibri" w:hAnsi="Arial" w:cs="Arial"/>
          <w:sz w:val="23"/>
          <w:szCs w:val="23"/>
        </w:rPr>
        <w:t>by</w:t>
      </w:r>
      <w:r w:rsidR="00B95786" w:rsidRPr="0035568A">
        <w:rPr>
          <w:rFonts w:ascii="Arial" w:eastAsia="Calibri" w:hAnsi="Arial" w:cs="Arial"/>
          <w:sz w:val="23"/>
          <w:szCs w:val="23"/>
        </w:rPr>
        <w:t xml:space="preserve"> £</w:t>
      </w:r>
      <w:r w:rsidR="004F102D">
        <w:rPr>
          <w:rFonts w:ascii="Arial" w:eastAsia="Calibri" w:hAnsi="Arial" w:cs="Arial"/>
          <w:sz w:val="23"/>
          <w:szCs w:val="23"/>
        </w:rPr>
        <w:t>763</w:t>
      </w:r>
      <w:r w:rsidR="004F102D" w:rsidRPr="0035568A">
        <w:rPr>
          <w:rFonts w:ascii="Arial" w:eastAsia="Calibri" w:hAnsi="Arial" w:cs="Arial"/>
          <w:sz w:val="23"/>
          <w:szCs w:val="23"/>
        </w:rPr>
        <w:t xml:space="preserve"> </w:t>
      </w:r>
      <w:r w:rsidR="00B95786" w:rsidRPr="0035568A">
        <w:rPr>
          <w:rFonts w:ascii="Arial" w:eastAsia="Calibri" w:hAnsi="Arial" w:cs="Arial"/>
          <w:sz w:val="23"/>
          <w:szCs w:val="23"/>
        </w:rPr>
        <w:t>million</w:t>
      </w:r>
      <w:r w:rsidR="00271472" w:rsidRPr="0035568A">
        <w:rPr>
          <w:rFonts w:ascii="Arial" w:eastAsia="Calibri" w:hAnsi="Arial" w:cs="Arial"/>
          <w:sz w:val="23"/>
          <w:szCs w:val="23"/>
        </w:rPr>
        <w:t xml:space="preserve"> </w:t>
      </w:r>
      <w:r w:rsidR="00B95786" w:rsidRPr="0035568A">
        <w:rPr>
          <w:rFonts w:ascii="Arial" w:eastAsia="Calibri" w:hAnsi="Arial" w:cs="Arial"/>
          <w:sz w:val="23"/>
          <w:szCs w:val="23"/>
        </w:rPr>
        <w:t xml:space="preserve">or </w:t>
      </w:r>
      <w:r w:rsidR="00271472" w:rsidRPr="0035568A">
        <w:rPr>
          <w:rFonts w:ascii="Arial" w:eastAsia="Calibri" w:hAnsi="Arial" w:cs="Arial"/>
          <w:sz w:val="23"/>
          <w:szCs w:val="23"/>
        </w:rPr>
        <w:t>11%</w:t>
      </w:r>
      <w:r w:rsidR="007668FD" w:rsidRPr="0035568A">
        <w:rPr>
          <w:rFonts w:ascii="Arial" w:eastAsia="Calibri" w:hAnsi="Arial" w:cs="Arial"/>
          <w:sz w:val="23"/>
          <w:szCs w:val="23"/>
        </w:rPr>
        <w:t xml:space="preserve"> </w:t>
      </w:r>
      <w:r w:rsidRPr="0035568A">
        <w:rPr>
          <w:rFonts w:ascii="Arial" w:eastAsia="Calibri" w:hAnsi="Arial" w:cs="Arial"/>
          <w:sz w:val="23"/>
          <w:szCs w:val="23"/>
        </w:rPr>
        <w:t xml:space="preserve">in </w:t>
      </w:r>
      <w:r w:rsidR="007668FD" w:rsidRPr="0035568A">
        <w:rPr>
          <w:rFonts w:ascii="Arial" w:eastAsia="Calibri" w:hAnsi="Arial" w:cs="Arial"/>
          <w:sz w:val="23"/>
          <w:szCs w:val="23"/>
        </w:rPr>
        <w:t xml:space="preserve">2023 </w:t>
      </w:r>
      <w:r w:rsidR="00DE72C3" w:rsidRPr="0035568A">
        <w:rPr>
          <w:rFonts w:ascii="Arial" w:eastAsia="Calibri" w:hAnsi="Arial" w:cs="Arial"/>
          <w:sz w:val="23"/>
          <w:szCs w:val="23"/>
        </w:rPr>
        <w:t xml:space="preserve">compared to </w:t>
      </w:r>
      <w:r w:rsidR="007668FD" w:rsidRPr="0035568A">
        <w:rPr>
          <w:rFonts w:ascii="Arial" w:eastAsia="Calibri" w:hAnsi="Arial" w:cs="Arial"/>
          <w:sz w:val="23"/>
          <w:szCs w:val="23"/>
        </w:rPr>
        <w:t xml:space="preserve">2022 </w:t>
      </w:r>
      <w:r w:rsidR="003966BB" w:rsidRPr="0035568A">
        <w:rPr>
          <w:rFonts w:ascii="Arial" w:eastAsia="Calibri" w:hAnsi="Arial" w:cs="Arial"/>
          <w:sz w:val="23"/>
          <w:szCs w:val="23"/>
        </w:rPr>
        <w:t>and</w:t>
      </w:r>
      <w:r w:rsidR="00EE7079" w:rsidRPr="0035568A">
        <w:rPr>
          <w:rFonts w:ascii="Arial" w:eastAsia="Calibri" w:hAnsi="Arial" w:cs="Arial"/>
          <w:sz w:val="23"/>
          <w:szCs w:val="23"/>
        </w:rPr>
        <w:t xml:space="preserve"> significantly </w:t>
      </w:r>
      <w:r w:rsidR="003165C7" w:rsidRPr="0035568A">
        <w:rPr>
          <w:rFonts w:ascii="Arial" w:eastAsia="Calibri" w:hAnsi="Arial" w:cs="Arial"/>
          <w:sz w:val="23"/>
          <w:szCs w:val="23"/>
        </w:rPr>
        <w:t xml:space="preserve">compared to </w:t>
      </w:r>
      <w:r w:rsidR="003966BB" w:rsidRPr="0035568A">
        <w:rPr>
          <w:rFonts w:ascii="Arial" w:eastAsia="Calibri" w:hAnsi="Arial" w:cs="Arial"/>
          <w:sz w:val="23"/>
          <w:szCs w:val="23"/>
        </w:rPr>
        <w:t xml:space="preserve">the previous years from </w:t>
      </w:r>
      <w:r w:rsidR="0056268F" w:rsidRPr="0035568A">
        <w:rPr>
          <w:rFonts w:ascii="Arial" w:eastAsia="Calibri" w:hAnsi="Arial" w:cs="Arial"/>
          <w:sz w:val="23"/>
          <w:szCs w:val="23"/>
        </w:rPr>
        <w:t xml:space="preserve">2014 </w:t>
      </w:r>
      <w:r w:rsidR="003966BB" w:rsidRPr="0035568A">
        <w:rPr>
          <w:rFonts w:ascii="Arial" w:eastAsia="Calibri" w:hAnsi="Arial" w:cs="Arial"/>
          <w:sz w:val="23"/>
          <w:szCs w:val="23"/>
        </w:rPr>
        <w:t>to 2020</w:t>
      </w:r>
      <w:r w:rsidRPr="0035568A">
        <w:rPr>
          <w:rFonts w:ascii="Arial" w:eastAsia="Calibri" w:hAnsi="Arial" w:cs="Arial"/>
          <w:sz w:val="23"/>
          <w:szCs w:val="23"/>
        </w:rPr>
        <w:t xml:space="preserve"> (</w:t>
      </w:r>
      <w:r w:rsidR="008F2A86" w:rsidRPr="0035568A">
        <w:rPr>
          <w:rFonts w:ascii="Arial" w:eastAsia="Calibri" w:hAnsi="Arial" w:cs="Arial"/>
          <w:sz w:val="23"/>
          <w:szCs w:val="23"/>
        </w:rPr>
        <w:t>Figure 1</w:t>
      </w:r>
      <w:r w:rsidR="001C3073" w:rsidRPr="0035568A">
        <w:rPr>
          <w:rFonts w:ascii="Arial" w:eastAsia="Calibri" w:hAnsi="Arial" w:cs="Arial"/>
          <w:sz w:val="23"/>
          <w:szCs w:val="23"/>
        </w:rPr>
        <w:t xml:space="preserve"> and table </w:t>
      </w:r>
      <w:r w:rsidR="003B1391" w:rsidRPr="0035568A">
        <w:rPr>
          <w:rFonts w:ascii="Arial" w:eastAsia="Calibri" w:hAnsi="Arial" w:cs="Arial"/>
          <w:sz w:val="23"/>
          <w:szCs w:val="23"/>
        </w:rPr>
        <w:t>6</w:t>
      </w:r>
      <w:r w:rsidR="001C3073" w:rsidRPr="0035568A">
        <w:rPr>
          <w:rFonts w:ascii="Arial" w:eastAsia="Calibri" w:hAnsi="Arial" w:cs="Arial"/>
          <w:sz w:val="23"/>
          <w:szCs w:val="23"/>
        </w:rPr>
        <w:t xml:space="preserve"> below</w:t>
      </w:r>
      <w:r w:rsidRPr="0035568A">
        <w:rPr>
          <w:rFonts w:ascii="Arial" w:eastAsia="Calibri" w:hAnsi="Arial" w:cs="Arial"/>
          <w:sz w:val="23"/>
          <w:szCs w:val="23"/>
        </w:rPr>
        <w:t>).</w:t>
      </w:r>
    </w:p>
    <w:p w14:paraId="24F5173D" w14:textId="48097B6A" w:rsidR="00204F8B" w:rsidRPr="0035568A" w:rsidRDefault="00A255F5" w:rsidP="000B58A5">
      <w:pPr>
        <w:pStyle w:val="Caption"/>
        <w:spacing w:after="60"/>
        <w:rPr>
          <w:rFonts w:asciiTheme="minorBidi" w:eastAsia="Calibri" w:hAnsiTheme="minorBidi"/>
          <w:iCs/>
          <w:smallCaps w:val="0"/>
          <w:color w:val="auto"/>
          <w:spacing w:val="0"/>
          <w:sz w:val="22"/>
          <w:szCs w:val="22"/>
          <w:lang w:eastAsia="x-none"/>
        </w:rPr>
      </w:pPr>
      <w:bookmarkStart w:id="55" w:name="_Hlk171558043"/>
      <w:bookmarkStart w:id="56" w:name="_Toc177118499"/>
      <w:r w:rsidRPr="0035568A">
        <w:rPr>
          <w:rFonts w:asciiTheme="minorBidi" w:eastAsia="Calibri" w:hAnsiTheme="minorBidi"/>
          <w:iCs/>
          <w:smallCaps w:val="0"/>
          <w:color w:val="auto"/>
          <w:spacing w:val="0"/>
          <w:sz w:val="22"/>
          <w:szCs w:val="22"/>
          <w:lang w:eastAsia="x-none"/>
        </w:rPr>
        <w:t>Figure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Figure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1</w:t>
      </w:r>
      <w:r w:rsidRPr="0035568A">
        <w:rPr>
          <w:rFonts w:asciiTheme="minorBidi" w:hAnsiTheme="minorBidi"/>
          <w:color w:val="auto"/>
          <w:sz w:val="22"/>
          <w:szCs w:val="22"/>
        </w:rPr>
        <w:fldChar w:fldCharType="end"/>
      </w:r>
      <w:r w:rsidRPr="0035568A">
        <w:rPr>
          <w:rFonts w:asciiTheme="minorBidi" w:hAnsiTheme="minorBidi"/>
          <w:color w:val="auto"/>
          <w:sz w:val="22"/>
          <w:szCs w:val="22"/>
        </w:rPr>
        <w:t>:</w:t>
      </w:r>
      <w:bookmarkEnd w:id="55"/>
      <w:r w:rsidRPr="0035568A">
        <w:rPr>
          <w:rFonts w:asciiTheme="minorBidi" w:hAnsiTheme="minorBidi"/>
          <w:color w:val="auto"/>
          <w:sz w:val="22"/>
          <w:szCs w:val="22"/>
        </w:rPr>
        <w:t xml:space="preserve"> </w:t>
      </w:r>
      <w:r w:rsidR="000B58A5" w:rsidRPr="0035568A">
        <w:rPr>
          <w:rFonts w:asciiTheme="minorBidi" w:eastAsia="Calibri" w:hAnsiTheme="minorBidi"/>
          <w:iCs/>
          <w:smallCaps w:val="0"/>
          <w:color w:val="auto"/>
          <w:spacing w:val="0"/>
          <w:sz w:val="22"/>
          <w:szCs w:val="22"/>
          <w:lang w:eastAsia="x-none"/>
        </w:rPr>
        <w:t>Net Payments to Government by Sector by Year</w:t>
      </w:r>
      <w:r w:rsidRPr="0035568A">
        <w:rPr>
          <w:rFonts w:asciiTheme="minorBidi" w:eastAsia="Calibri" w:hAnsiTheme="minorBidi"/>
          <w:iCs/>
          <w:smallCaps w:val="0"/>
          <w:color w:val="auto"/>
          <w:spacing w:val="0"/>
          <w:sz w:val="22"/>
          <w:szCs w:val="22"/>
          <w:lang w:eastAsia="x-none"/>
        </w:rPr>
        <w:t xml:space="preserve"> </w:t>
      </w:r>
      <w:r w:rsidR="000B58A5" w:rsidRPr="0035568A">
        <w:rPr>
          <w:rFonts w:asciiTheme="minorBidi" w:eastAsia="Calibri" w:hAnsiTheme="minorBidi"/>
          <w:iCs/>
          <w:smallCaps w:val="0"/>
          <w:color w:val="auto"/>
          <w:spacing w:val="0"/>
          <w:sz w:val="22"/>
          <w:szCs w:val="22"/>
          <w:lang w:eastAsia="x-none"/>
        </w:rPr>
        <w:t>(</w:t>
      </w:r>
      <w:r w:rsidR="003165C7" w:rsidRPr="0035568A">
        <w:rPr>
          <w:rFonts w:asciiTheme="minorBidi" w:eastAsia="Calibri" w:hAnsiTheme="minorBidi"/>
          <w:iCs/>
          <w:smallCaps w:val="0"/>
          <w:color w:val="auto"/>
          <w:spacing w:val="0"/>
          <w:sz w:val="22"/>
          <w:szCs w:val="22"/>
          <w:lang w:eastAsia="x-none"/>
        </w:rPr>
        <w:t>2014</w:t>
      </w:r>
      <w:r w:rsidRPr="0035568A">
        <w:rPr>
          <w:rFonts w:asciiTheme="minorBidi" w:eastAsia="Calibri" w:hAnsiTheme="minorBidi"/>
          <w:iCs/>
          <w:smallCaps w:val="0"/>
          <w:color w:val="auto"/>
          <w:spacing w:val="0"/>
          <w:sz w:val="22"/>
          <w:szCs w:val="22"/>
          <w:lang w:eastAsia="x-none"/>
        </w:rPr>
        <w:t>-</w:t>
      </w:r>
      <w:r w:rsidR="003165C7" w:rsidRPr="0035568A">
        <w:rPr>
          <w:rFonts w:asciiTheme="minorBidi" w:eastAsia="Calibri" w:hAnsiTheme="minorBidi"/>
          <w:iCs/>
          <w:smallCaps w:val="0"/>
          <w:color w:val="auto"/>
          <w:spacing w:val="0"/>
          <w:sz w:val="22"/>
          <w:szCs w:val="22"/>
          <w:lang w:eastAsia="x-none"/>
        </w:rPr>
        <w:t>2023</w:t>
      </w:r>
      <w:r w:rsidR="000B58A5" w:rsidRPr="0035568A">
        <w:rPr>
          <w:rFonts w:asciiTheme="minorBidi" w:eastAsia="Calibri" w:hAnsiTheme="minorBidi"/>
          <w:iCs/>
          <w:smallCaps w:val="0"/>
          <w:color w:val="auto"/>
          <w:spacing w:val="0"/>
          <w:sz w:val="22"/>
          <w:szCs w:val="22"/>
          <w:lang w:eastAsia="x-none"/>
        </w:rPr>
        <w:t>)</w:t>
      </w:r>
      <w:bookmarkEnd w:id="56"/>
    </w:p>
    <w:p w14:paraId="3875E0ED" w14:textId="5DF58C59" w:rsidR="00BC2464" w:rsidRPr="0035568A" w:rsidRDefault="00027F28" w:rsidP="00260E2F">
      <w:pPr>
        <w:rPr>
          <w:rFonts w:ascii="Arial" w:eastAsia="Calibri" w:hAnsi="Arial" w:cs="Arial"/>
          <w:b/>
          <w:bCs/>
          <w:iCs/>
          <w:sz w:val="23"/>
          <w:szCs w:val="23"/>
          <w:lang w:eastAsia="x-none"/>
        </w:rPr>
      </w:pPr>
      <w:r>
        <w:rPr>
          <w:noProof/>
        </w:rPr>
        <w:drawing>
          <wp:inline distT="0" distB="0" distL="0" distR="0" wp14:anchorId="7CA8962C" wp14:editId="366CC966">
            <wp:extent cx="5731510" cy="3397885"/>
            <wp:effectExtent l="0" t="0" r="2540" b="0"/>
            <wp:docPr id="667451937" name="Chart 1">
              <a:extLst xmlns:a="http://schemas.openxmlformats.org/drawingml/2006/main">
                <a:ext uri="{FF2B5EF4-FFF2-40B4-BE49-F238E27FC236}">
                  <a16:creationId xmlns:a16="http://schemas.microsoft.com/office/drawing/2014/main" id="{2F662907-3D45-0BD7-6A1A-CEA158B02E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BC2464" w:rsidRPr="0035568A">
        <w:rPr>
          <w:rFonts w:ascii="Arial" w:eastAsia="Calibri" w:hAnsi="Arial" w:cs="Arial"/>
          <w:iCs/>
          <w:smallCaps/>
          <w:sz w:val="23"/>
          <w:szCs w:val="23"/>
          <w:lang w:eastAsia="x-none"/>
        </w:rPr>
        <w:br w:type="page"/>
      </w:r>
    </w:p>
    <w:p w14:paraId="46FF5C8D" w14:textId="083D6848" w:rsidR="006172B7" w:rsidRDefault="00DF7193" w:rsidP="001E36F1">
      <w:pPr>
        <w:pStyle w:val="Caption"/>
        <w:rPr>
          <w:rFonts w:ascii="Arial" w:eastAsia="Calibri" w:hAnsi="Arial" w:cs="Arial"/>
          <w:iCs/>
          <w:smallCaps w:val="0"/>
          <w:color w:val="auto"/>
          <w:spacing w:val="0"/>
          <w:sz w:val="23"/>
          <w:szCs w:val="23"/>
          <w:lang w:eastAsia="x-none"/>
        </w:rPr>
      </w:pPr>
      <w:bookmarkStart w:id="57" w:name="_Toc177118486"/>
      <w:r w:rsidRPr="0035568A">
        <w:rPr>
          <w:rFonts w:ascii="Arial" w:eastAsia="Calibri" w:hAnsi="Arial" w:cs="Arial"/>
          <w:iCs/>
          <w:smallCaps w:val="0"/>
          <w:color w:val="auto"/>
          <w:spacing w:val="0"/>
          <w:sz w:val="23"/>
          <w:szCs w:val="23"/>
          <w:lang w:eastAsia="x-none"/>
        </w:rPr>
        <w:lastRenderedPageBreak/>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6</w:t>
      </w:r>
      <w:r w:rsidRPr="0035568A">
        <w:rPr>
          <w:rFonts w:asciiTheme="minorBidi" w:hAnsiTheme="minorBidi"/>
          <w:color w:val="auto"/>
          <w:sz w:val="22"/>
          <w:szCs w:val="22"/>
        </w:rPr>
        <w:fldChar w:fldCharType="end"/>
      </w:r>
      <w:r w:rsidRPr="0035568A">
        <w:rPr>
          <w:rFonts w:asciiTheme="minorBidi" w:hAnsiTheme="minorBidi"/>
          <w:color w:val="auto"/>
          <w:sz w:val="22"/>
          <w:szCs w:val="22"/>
        </w:rPr>
        <w:t xml:space="preserve">: </w:t>
      </w:r>
      <w:r w:rsidRPr="0035568A">
        <w:rPr>
          <w:rFonts w:ascii="Arial" w:eastAsia="Calibri" w:hAnsi="Arial" w:cs="Arial"/>
          <w:iCs/>
          <w:smallCaps w:val="0"/>
          <w:color w:val="auto"/>
          <w:spacing w:val="0"/>
          <w:sz w:val="23"/>
          <w:szCs w:val="23"/>
          <w:lang w:eastAsia="x-none"/>
        </w:rPr>
        <w:t xml:space="preserve">Comparison between </w:t>
      </w:r>
      <w:r w:rsidR="00CB57BE" w:rsidRPr="0035568A">
        <w:rPr>
          <w:rFonts w:ascii="Arial" w:eastAsia="Calibri" w:hAnsi="Arial" w:cs="Arial"/>
          <w:iCs/>
          <w:smallCaps w:val="0"/>
          <w:color w:val="auto"/>
          <w:spacing w:val="0"/>
          <w:sz w:val="23"/>
          <w:szCs w:val="23"/>
          <w:lang w:eastAsia="x-none"/>
        </w:rPr>
        <w:t xml:space="preserve">2022 </w:t>
      </w:r>
      <w:r w:rsidRPr="0035568A">
        <w:rPr>
          <w:rFonts w:ascii="Arial" w:eastAsia="Calibri" w:hAnsi="Arial" w:cs="Arial"/>
          <w:iCs/>
          <w:smallCaps w:val="0"/>
          <w:color w:val="auto"/>
          <w:spacing w:val="0"/>
          <w:sz w:val="23"/>
          <w:szCs w:val="23"/>
          <w:lang w:eastAsia="x-none"/>
        </w:rPr>
        <w:t xml:space="preserve">and </w:t>
      </w:r>
      <w:r w:rsidR="00CB57BE" w:rsidRPr="0035568A">
        <w:rPr>
          <w:rFonts w:ascii="Arial" w:eastAsia="Calibri" w:hAnsi="Arial" w:cs="Arial"/>
          <w:iCs/>
          <w:smallCaps w:val="0"/>
          <w:color w:val="auto"/>
          <w:spacing w:val="0"/>
          <w:sz w:val="23"/>
          <w:szCs w:val="23"/>
          <w:lang w:eastAsia="x-none"/>
        </w:rPr>
        <w:t xml:space="preserve">2023 </w:t>
      </w:r>
      <w:r w:rsidRPr="0035568A">
        <w:rPr>
          <w:rFonts w:ascii="Arial" w:eastAsia="Calibri" w:hAnsi="Arial" w:cs="Arial"/>
          <w:iCs/>
          <w:smallCaps w:val="0"/>
          <w:color w:val="auto"/>
          <w:spacing w:val="0"/>
          <w:sz w:val="23"/>
          <w:szCs w:val="23"/>
          <w:lang w:eastAsia="x-none"/>
        </w:rPr>
        <w:t>extractive revenues</w:t>
      </w:r>
      <w:bookmarkEnd w:id="57"/>
    </w:p>
    <w:tbl>
      <w:tblPr>
        <w:tblW w:w="7081" w:type="dxa"/>
        <w:tblLook w:val="04A0" w:firstRow="1" w:lastRow="0" w:firstColumn="1" w:lastColumn="0" w:noHBand="0" w:noVBand="1"/>
      </w:tblPr>
      <w:tblGrid>
        <w:gridCol w:w="2778"/>
        <w:gridCol w:w="794"/>
        <w:gridCol w:w="806"/>
        <w:gridCol w:w="900"/>
        <w:gridCol w:w="906"/>
        <w:gridCol w:w="897"/>
      </w:tblGrid>
      <w:tr w:rsidR="00750155" w:rsidRPr="006568D5" w14:paraId="694EDA2D" w14:textId="77777777" w:rsidTr="00C179E9">
        <w:trPr>
          <w:trHeight w:val="259"/>
        </w:trPr>
        <w:tc>
          <w:tcPr>
            <w:tcW w:w="2778" w:type="dxa"/>
            <w:tcBorders>
              <w:top w:val="nil"/>
              <w:left w:val="nil"/>
              <w:bottom w:val="single" w:sz="12" w:space="0" w:color="4472C4"/>
              <w:right w:val="nil"/>
            </w:tcBorders>
            <w:shd w:val="clear" w:color="auto" w:fill="auto"/>
            <w:vAlign w:val="center"/>
          </w:tcPr>
          <w:p w14:paraId="1D4E7316" w14:textId="77777777" w:rsidR="00750155" w:rsidRPr="006568D5" w:rsidRDefault="00750155" w:rsidP="006568D5">
            <w:pPr>
              <w:spacing w:after="0" w:line="240" w:lineRule="auto"/>
              <w:rPr>
                <w:rFonts w:ascii="Arial" w:eastAsia="Times New Roman" w:hAnsi="Arial" w:cs="Arial"/>
                <w:b/>
                <w:bCs/>
                <w:color w:val="FFFFFF"/>
                <w:sz w:val="16"/>
                <w:szCs w:val="16"/>
                <w:lang w:eastAsia="en-GB"/>
              </w:rPr>
            </w:pPr>
          </w:p>
        </w:tc>
        <w:tc>
          <w:tcPr>
            <w:tcW w:w="794" w:type="dxa"/>
            <w:tcBorders>
              <w:top w:val="nil"/>
              <w:left w:val="nil"/>
              <w:bottom w:val="single" w:sz="12" w:space="0" w:color="4472C4"/>
              <w:right w:val="nil"/>
            </w:tcBorders>
            <w:shd w:val="clear" w:color="auto" w:fill="auto"/>
            <w:vAlign w:val="center"/>
          </w:tcPr>
          <w:p w14:paraId="65A1D8D3" w14:textId="77777777" w:rsidR="00750155" w:rsidRPr="006568D5" w:rsidRDefault="00750155" w:rsidP="006568D5">
            <w:pPr>
              <w:spacing w:after="0" w:line="240" w:lineRule="auto"/>
              <w:jc w:val="center"/>
              <w:rPr>
                <w:rFonts w:ascii="Arial" w:eastAsia="Times New Roman" w:hAnsi="Arial" w:cs="Arial"/>
                <w:b/>
                <w:bCs/>
                <w:color w:val="FFFFFF"/>
                <w:sz w:val="16"/>
                <w:szCs w:val="16"/>
                <w:lang w:eastAsia="en-GB"/>
              </w:rPr>
            </w:pPr>
          </w:p>
        </w:tc>
        <w:tc>
          <w:tcPr>
            <w:tcW w:w="806" w:type="dxa"/>
            <w:tcBorders>
              <w:top w:val="nil"/>
              <w:left w:val="nil"/>
              <w:bottom w:val="single" w:sz="12" w:space="0" w:color="4472C4"/>
              <w:right w:val="nil"/>
            </w:tcBorders>
            <w:shd w:val="clear" w:color="auto" w:fill="auto"/>
            <w:vAlign w:val="center"/>
          </w:tcPr>
          <w:p w14:paraId="0D07FB96" w14:textId="77777777" w:rsidR="00750155" w:rsidRPr="006568D5" w:rsidRDefault="00750155" w:rsidP="006568D5">
            <w:pPr>
              <w:spacing w:after="0" w:line="240" w:lineRule="auto"/>
              <w:jc w:val="right"/>
              <w:rPr>
                <w:rFonts w:ascii="Arial" w:eastAsia="Times New Roman" w:hAnsi="Arial" w:cs="Arial"/>
                <w:b/>
                <w:bCs/>
                <w:color w:val="FFFFFF"/>
                <w:sz w:val="16"/>
                <w:szCs w:val="16"/>
                <w:lang w:eastAsia="en-GB"/>
              </w:rPr>
            </w:pPr>
          </w:p>
        </w:tc>
        <w:tc>
          <w:tcPr>
            <w:tcW w:w="900" w:type="dxa"/>
            <w:tcBorders>
              <w:top w:val="nil"/>
              <w:left w:val="nil"/>
              <w:bottom w:val="single" w:sz="12" w:space="0" w:color="4472C4"/>
              <w:right w:val="nil"/>
            </w:tcBorders>
            <w:shd w:val="clear" w:color="auto" w:fill="auto"/>
            <w:vAlign w:val="center"/>
          </w:tcPr>
          <w:p w14:paraId="064B504F" w14:textId="77777777" w:rsidR="00750155" w:rsidRPr="006568D5" w:rsidRDefault="00750155" w:rsidP="006568D5">
            <w:pPr>
              <w:spacing w:after="0" w:line="240" w:lineRule="auto"/>
              <w:jc w:val="right"/>
              <w:rPr>
                <w:rFonts w:ascii="Arial" w:eastAsia="Times New Roman" w:hAnsi="Arial" w:cs="Arial"/>
                <w:b/>
                <w:bCs/>
                <w:color w:val="FFFFFF"/>
                <w:sz w:val="16"/>
                <w:szCs w:val="16"/>
                <w:lang w:eastAsia="en-GB"/>
              </w:rPr>
            </w:pPr>
          </w:p>
        </w:tc>
        <w:tc>
          <w:tcPr>
            <w:tcW w:w="1803" w:type="dxa"/>
            <w:gridSpan w:val="2"/>
            <w:tcBorders>
              <w:top w:val="nil"/>
              <w:left w:val="nil"/>
              <w:bottom w:val="single" w:sz="12" w:space="0" w:color="4472C4"/>
              <w:right w:val="nil"/>
            </w:tcBorders>
            <w:shd w:val="clear" w:color="auto" w:fill="auto"/>
            <w:vAlign w:val="center"/>
          </w:tcPr>
          <w:p w14:paraId="532FBC12" w14:textId="5E0FD229" w:rsidR="00750155" w:rsidRPr="006568D5" w:rsidRDefault="00750155" w:rsidP="006568D5">
            <w:pPr>
              <w:spacing w:after="0" w:line="240" w:lineRule="auto"/>
              <w:jc w:val="right"/>
              <w:rPr>
                <w:rFonts w:ascii="Arial" w:eastAsia="Times New Roman" w:hAnsi="Arial" w:cs="Arial"/>
                <w:b/>
                <w:bCs/>
                <w:color w:val="FFFFFF"/>
                <w:sz w:val="16"/>
                <w:szCs w:val="16"/>
                <w:lang w:eastAsia="en-GB"/>
              </w:rPr>
            </w:pPr>
            <w:r w:rsidRPr="0035568A">
              <w:rPr>
                <w:rFonts w:asciiTheme="minorBidi" w:eastAsia="Times New Roman" w:hAnsiTheme="minorBidi"/>
                <w:i/>
                <w:iCs/>
                <w:sz w:val="16"/>
                <w:szCs w:val="16"/>
                <w:lang w:eastAsia="en-GB"/>
              </w:rPr>
              <w:t>(in £</w:t>
            </w:r>
            <w:r>
              <w:rPr>
                <w:rFonts w:asciiTheme="minorBidi" w:eastAsia="Times New Roman" w:hAnsiTheme="minorBidi"/>
                <w:i/>
                <w:iCs/>
                <w:sz w:val="16"/>
                <w:szCs w:val="16"/>
                <w:lang w:eastAsia="en-GB"/>
              </w:rPr>
              <w:t xml:space="preserve"> million</w:t>
            </w:r>
            <w:r w:rsidRPr="0035568A">
              <w:rPr>
                <w:rFonts w:asciiTheme="minorBidi" w:eastAsia="Times New Roman" w:hAnsiTheme="minorBidi"/>
                <w:i/>
                <w:iCs/>
                <w:sz w:val="16"/>
                <w:szCs w:val="16"/>
                <w:lang w:eastAsia="en-GB"/>
              </w:rPr>
              <w:t>)</w:t>
            </w:r>
          </w:p>
        </w:tc>
      </w:tr>
      <w:tr w:rsidR="006568D5" w:rsidRPr="006568D5" w14:paraId="640AD9B7" w14:textId="77777777" w:rsidTr="00522A10">
        <w:trPr>
          <w:trHeight w:val="283"/>
        </w:trPr>
        <w:tc>
          <w:tcPr>
            <w:tcW w:w="2778" w:type="dxa"/>
            <w:tcBorders>
              <w:top w:val="nil"/>
              <w:left w:val="nil"/>
              <w:bottom w:val="single" w:sz="12" w:space="0" w:color="4472C4"/>
              <w:right w:val="nil"/>
            </w:tcBorders>
            <w:shd w:val="clear" w:color="000000" w:fill="203764"/>
            <w:vAlign w:val="center"/>
            <w:hideMark/>
          </w:tcPr>
          <w:p w14:paraId="4EAA7BDE" w14:textId="77777777" w:rsidR="006568D5" w:rsidRPr="006568D5" w:rsidRDefault="006568D5" w:rsidP="006568D5">
            <w:pPr>
              <w:spacing w:after="0" w:line="240" w:lineRule="auto"/>
              <w:rPr>
                <w:rFonts w:ascii="Arial" w:eastAsia="Times New Roman" w:hAnsi="Arial" w:cs="Arial"/>
                <w:b/>
                <w:bCs/>
                <w:color w:val="FFFFFF"/>
                <w:sz w:val="16"/>
                <w:szCs w:val="16"/>
                <w:lang w:eastAsia="en-GB"/>
              </w:rPr>
            </w:pPr>
            <w:r w:rsidRPr="006568D5">
              <w:rPr>
                <w:rFonts w:ascii="Arial" w:eastAsia="Times New Roman" w:hAnsi="Arial" w:cs="Arial"/>
                <w:b/>
                <w:bCs/>
                <w:color w:val="FFFFFF"/>
                <w:sz w:val="16"/>
                <w:szCs w:val="16"/>
                <w:lang w:eastAsia="en-GB"/>
              </w:rPr>
              <w:t>Payment stream</w:t>
            </w:r>
          </w:p>
        </w:tc>
        <w:tc>
          <w:tcPr>
            <w:tcW w:w="794" w:type="dxa"/>
            <w:tcBorders>
              <w:top w:val="nil"/>
              <w:left w:val="nil"/>
              <w:bottom w:val="single" w:sz="12" w:space="0" w:color="4472C4"/>
              <w:right w:val="nil"/>
            </w:tcBorders>
            <w:shd w:val="clear" w:color="000000" w:fill="203764"/>
            <w:vAlign w:val="center"/>
            <w:hideMark/>
          </w:tcPr>
          <w:p w14:paraId="7D5EE550" w14:textId="774A238C" w:rsidR="006568D5" w:rsidRPr="006568D5" w:rsidRDefault="006568D5" w:rsidP="006568D5">
            <w:pPr>
              <w:spacing w:after="0" w:line="240" w:lineRule="auto"/>
              <w:jc w:val="center"/>
              <w:rPr>
                <w:rFonts w:ascii="Arial" w:eastAsia="Times New Roman" w:hAnsi="Arial" w:cs="Arial"/>
                <w:b/>
                <w:bCs/>
                <w:color w:val="FFFFFF"/>
                <w:sz w:val="16"/>
                <w:szCs w:val="16"/>
                <w:lang w:eastAsia="en-GB"/>
              </w:rPr>
            </w:pPr>
          </w:p>
        </w:tc>
        <w:tc>
          <w:tcPr>
            <w:tcW w:w="806" w:type="dxa"/>
            <w:tcBorders>
              <w:top w:val="nil"/>
              <w:left w:val="nil"/>
              <w:bottom w:val="single" w:sz="12" w:space="0" w:color="4472C4"/>
              <w:right w:val="nil"/>
            </w:tcBorders>
            <w:shd w:val="clear" w:color="000000" w:fill="203764"/>
            <w:vAlign w:val="center"/>
            <w:hideMark/>
          </w:tcPr>
          <w:p w14:paraId="3C901CF5" w14:textId="77777777" w:rsidR="006568D5" w:rsidRPr="006568D5" w:rsidRDefault="006568D5" w:rsidP="006568D5">
            <w:pPr>
              <w:spacing w:after="0" w:line="240" w:lineRule="auto"/>
              <w:jc w:val="right"/>
              <w:rPr>
                <w:rFonts w:ascii="Arial" w:eastAsia="Times New Roman" w:hAnsi="Arial" w:cs="Arial"/>
                <w:b/>
                <w:bCs/>
                <w:color w:val="FFFFFF"/>
                <w:sz w:val="16"/>
                <w:szCs w:val="16"/>
                <w:lang w:eastAsia="en-GB"/>
              </w:rPr>
            </w:pPr>
            <w:r w:rsidRPr="006568D5">
              <w:rPr>
                <w:rFonts w:ascii="Arial" w:eastAsia="Times New Roman" w:hAnsi="Arial" w:cs="Arial"/>
                <w:b/>
                <w:bCs/>
                <w:color w:val="FFFFFF"/>
                <w:sz w:val="16"/>
                <w:szCs w:val="16"/>
                <w:lang w:eastAsia="en-GB"/>
              </w:rPr>
              <w:t>2023</w:t>
            </w:r>
          </w:p>
        </w:tc>
        <w:tc>
          <w:tcPr>
            <w:tcW w:w="900" w:type="dxa"/>
            <w:tcBorders>
              <w:top w:val="nil"/>
              <w:left w:val="nil"/>
              <w:bottom w:val="single" w:sz="12" w:space="0" w:color="4472C4"/>
              <w:right w:val="nil"/>
            </w:tcBorders>
            <w:shd w:val="clear" w:color="000000" w:fill="203764"/>
            <w:vAlign w:val="center"/>
            <w:hideMark/>
          </w:tcPr>
          <w:p w14:paraId="7FB3B63F" w14:textId="77777777" w:rsidR="006568D5" w:rsidRPr="006568D5" w:rsidRDefault="006568D5" w:rsidP="006568D5">
            <w:pPr>
              <w:spacing w:after="0" w:line="240" w:lineRule="auto"/>
              <w:jc w:val="right"/>
              <w:rPr>
                <w:rFonts w:ascii="Arial" w:eastAsia="Times New Roman" w:hAnsi="Arial" w:cs="Arial"/>
                <w:b/>
                <w:bCs/>
                <w:color w:val="FFFFFF"/>
                <w:sz w:val="16"/>
                <w:szCs w:val="16"/>
                <w:lang w:eastAsia="en-GB"/>
              </w:rPr>
            </w:pPr>
            <w:r w:rsidRPr="006568D5">
              <w:rPr>
                <w:rFonts w:ascii="Arial" w:eastAsia="Times New Roman" w:hAnsi="Arial" w:cs="Arial"/>
                <w:b/>
                <w:bCs/>
                <w:color w:val="FFFFFF"/>
                <w:sz w:val="16"/>
                <w:szCs w:val="16"/>
                <w:lang w:eastAsia="en-GB"/>
              </w:rPr>
              <w:t>2022</w:t>
            </w:r>
          </w:p>
        </w:tc>
        <w:tc>
          <w:tcPr>
            <w:tcW w:w="906" w:type="dxa"/>
            <w:tcBorders>
              <w:top w:val="nil"/>
              <w:left w:val="nil"/>
              <w:bottom w:val="single" w:sz="12" w:space="0" w:color="4472C4"/>
              <w:right w:val="nil"/>
            </w:tcBorders>
            <w:shd w:val="clear" w:color="000000" w:fill="203764"/>
            <w:vAlign w:val="center"/>
            <w:hideMark/>
          </w:tcPr>
          <w:p w14:paraId="2C638786" w14:textId="77777777" w:rsidR="006568D5" w:rsidRPr="006568D5" w:rsidRDefault="006568D5" w:rsidP="006568D5">
            <w:pPr>
              <w:spacing w:after="0" w:line="240" w:lineRule="auto"/>
              <w:jc w:val="right"/>
              <w:rPr>
                <w:rFonts w:ascii="Arial" w:eastAsia="Times New Roman" w:hAnsi="Arial" w:cs="Arial"/>
                <w:b/>
                <w:bCs/>
                <w:color w:val="FFFFFF"/>
                <w:sz w:val="16"/>
                <w:szCs w:val="16"/>
                <w:lang w:eastAsia="en-GB"/>
              </w:rPr>
            </w:pPr>
            <w:r w:rsidRPr="006568D5">
              <w:rPr>
                <w:rFonts w:ascii="Arial" w:eastAsia="Times New Roman" w:hAnsi="Arial" w:cs="Arial"/>
                <w:b/>
                <w:bCs/>
                <w:color w:val="FFFFFF"/>
                <w:sz w:val="16"/>
                <w:szCs w:val="16"/>
                <w:lang w:eastAsia="en-GB"/>
              </w:rPr>
              <w:t>Variation</w:t>
            </w:r>
          </w:p>
        </w:tc>
        <w:tc>
          <w:tcPr>
            <w:tcW w:w="897" w:type="dxa"/>
            <w:tcBorders>
              <w:top w:val="nil"/>
              <w:left w:val="nil"/>
              <w:bottom w:val="single" w:sz="12" w:space="0" w:color="4472C4"/>
              <w:right w:val="nil"/>
            </w:tcBorders>
            <w:shd w:val="clear" w:color="000000" w:fill="203764"/>
            <w:vAlign w:val="center"/>
            <w:hideMark/>
          </w:tcPr>
          <w:p w14:paraId="0152E43E" w14:textId="77777777" w:rsidR="006568D5" w:rsidRPr="006568D5" w:rsidRDefault="006568D5" w:rsidP="006568D5">
            <w:pPr>
              <w:spacing w:after="0" w:line="240" w:lineRule="auto"/>
              <w:jc w:val="right"/>
              <w:rPr>
                <w:rFonts w:ascii="Arial" w:eastAsia="Times New Roman" w:hAnsi="Arial" w:cs="Arial"/>
                <w:b/>
                <w:bCs/>
                <w:color w:val="FFFFFF"/>
                <w:sz w:val="16"/>
                <w:szCs w:val="16"/>
                <w:lang w:eastAsia="en-GB"/>
              </w:rPr>
            </w:pPr>
            <w:r w:rsidRPr="006568D5">
              <w:rPr>
                <w:rFonts w:ascii="Arial" w:eastAsia="Times New Roman" w:hAnsi="Arial" w:cs="Arial"/>
                <w:b/>
                <w:bCs/>
                <w:color w:val="FFFFFF"/>
                <w:sz w:val="16"/>
                <w:szCs w:val="16"/>
                <w:lang w:eastAsia="en-GB"/>
              </w:rPr>
              <w:t>%</w:t>
            </w:r>
          </w:p>
        </w:tc>
      </w:tr>
      <w:tr w:rsidR="006568D5" w:rsidRPr="006568D5" w14:paraId="5E13B6E9" w14:textId="77777777" w:rsidTr="00522A10">
        <w:trPr>
          <w:trHeight w:val="283"/>
        </w:trPr>
        <w:tc>
          <w:tcPr>
            <w:tcW w:w="2778" w:type="dxa"/>
            <w:tcBorders>
              <w:top w:val="nil"/>
              <w:left w:val="nil"/>
              <w:bottom w:val="nil"/>
              <w:right w:val="nil"/>
            </w:tcBorders>
            <w:shd w:val="clear" w:color="auto" w:fill="auto"/>
            <w:noWrap/>
            <w:vAlign w:val="center"/>
            <w:hideMark/>
          </w:tcPr>
          <w:p w14:paraId="0F4F2E5B"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O&amp;G sector</w:t>
            </w:r>
          </w:p>
        </w:tc>
        <w:tc>
          <w:tcPr>
            <w:tcW w:w="794" w:type="dxa"/>
            <w:tcBorders>
              <w:top w:val="nil"/>
              <w:left w:val="nil"/>
              <w:bottom w:val="nil"/>
              <w:right w:val="nil"/>
            </w:tcBorders>
            <w:shd w:val="clear" w:color="auto" w:fill="auto"/>
            <w:noWrap/>
            <w:vAlign w:val="center"/>
            <w:hideMark/>
          </w:tcPr>
          <w:p w14:paraId="6BB21513"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p>
        </w:tc>
        <w:tc>
          <w:tcPr>
            <w:tcW w:w="806" w:type="dxa"/>
            <w:tcBorders>
              <w:top w:val="nil"/>
              <w:left w:val="nil"/>
              <w:bottom w:val="nil"/>
              <w:right w:val="nil"/>
            </w:tcBorders>
            <w:shd w:val="clear" w:color="auto" w:fill="auto"/>
            <w:noWrap/>
            <w:vAlign w:val="center"/>
            <w:hideMark/>
          </w:tcPr>
          <w:p w14:paraId="29DF66B3"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900" w:type="dxa"/>
            <w:tcBorders>
              <w:top w:val="nil"/>
              <w:left w:val="nil"/>
              <w:bottom w:val="nil"/>
              <w:right w:val="nil"/>
            </w:tcBorders>
            <w:shd w:val="clear" w:color="auto" w:fill="auto"/>
            <w:noWrap/>
            <w:vAlign w:val="center"/>
            <w:hideMark/>
          </w:tcPr>
          <w:p w14:paraId="7A73B0F9"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906" w:type="dxa"/>
            <w:tcBorders>
              <w:top w:val="nil"/>
              <w:left w:val="nil"/>
              <w:bottom w:val="nil"/>
              <w:right w:val="nil"/>
            </w:tcBorders>
            <w:shd w:val="clear" w:color="auto" w:fill="auto"/>
            <w:noWrap/>
            <w:vAlign w:val="center"/>
            <w:hideMark/>
          </w:tcPr>
          <w:p w14:paraId="43593964"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897" w:type="dxa"/>
            <w:tcBorders>
              <w:top w:val="nil"/>
              <w:left w:val="nil"/>
              <w:bottom w:val="nil"/>
              <w:right w:val="nil"/>
            </w:tcBorders>
            <w:shd w:val="clear" w:color="auto" w:fill="auto"/>
            <w:noWrap/>
            <w:vAlign w:val="center"/>
            <w:hideMark/>
          </w:tcPr>
          <w:p w14:paraId="50FB91C3"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r>
      <w:tr w:rsidR="001A1A88" w:rsidRPr="006568D5" w14:paraId="108E708D" w14:textId="77777777" w:rsidTr="00522A10">
        <w:trPr>
          <w:trHeight w:val="283"/>
        </w:trPr>
        <w:tc>
          <w:tcPr>
            <w:tcW w:w="2778" w:type="dxa"/>
            <w:tcBorders>
              <w:top w:val="nil"/>
              <w:left w:val="nil"/>
              <w:bottom w:val="nil"/>
              <w:right w:val="nil"/>
            </w:tcBorders>
            <w:shd w:val="clear" w:color="000000" w:fill="BDD7EE"/>
            <w:noWrap/>
            <w:vAlign w:val="center"/>
            <w:hideMark/>
          </w:tcPr>
          <w:p w14:paraId="355CF704" w14:textId="77777777" w:rsidR="006568D5" w:rsidRPr="006568D5" w:rsidRDefault="006568D5" w:rsidP="006568D5">
            <w:pPr>
              <w:spacing w:after="0" w:line="240" w:lineRule="auto"/>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RFCT &amp; SC</w:t>
            </w:r>
          </w:p>
        </w:tc>
        <w:tc>
          <w:tcPr>
            <w:tcW w:w="794" w:type="dxa"/>
            <w:tcBorders>
              <w:top w:val="nil"/>
              <w:left w:val="nil"/>
              <w:bottom w:val="nil"/>
              <w:right w:val="nil"/>
            </w:tcBorders>
            <w:shd w:val="clear" w:color="000000" w:fill="BDD7EE"/>
            <w:noWrap/>
            <w:vAlign w:val="center"/>
            <w:hideMark/>
          </w:tcPr>
          <w:p w14:paraId="4A7D1D48" w14:textId="724298CF" w:rsidR="006568D5" w:rsidRPr="006568D5" w:rsidRDefault="006568D5" w:rsidP="006568D5">
            <w:pPr>
              <w:spacing w:after="0" w:line="240" w:lineRule="auto"/>
              <w:jc w:val="center"/>
              <w:rPr>
                <w:rFonts w:ascii="Arial" w:eastAsia="Times New Roman" w:hAnsi="Arial" w:cs="Arial"/>
                <w:color w:val="000000"/>
                <w:sz w:val="16"/>
                <w:szCs w:val="16"/>
                <w:lang w:eastAsia="en-GB"/>
              </w:rPr>
            </w:pPr>
          </w:p>
        </w:tc>
        <w:tc>
          <w:tcPr>
            <w:tcW w:w="806" w:type="dxa"/>
            <w:tcBorders>
              <w:top w:val="nil"/>
              <w:left w:val="nil"/>
              <w:bottom w:val="nil"/>
              <w:right w:val="nil"/>
            </w:tcBorders>
            <w:shd w:val="clear" w:color="000000" w:fill="BDD7EE"/>
            <w:noWrap/>
            <w:vAlign w:val="center"/>
            <w:hideMark/>
          </w:tcPr>
          <w:p w14:paraId="3CD94247"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3,842.9</w:t>
            </w:r>
          </w:p>
        </w:tc>
        <w:tc>
          <w:tcPr>
            <w:tcW w:w="900" w:type="dxa"/>
            <w:tcBorders>
              <w:top w:val="nil"/>
              <w:left w:val="nil"/>
              <w:bottom w:val="nil"/>
              <w:right w:val="nil"/>
            </w:tcBorders>
            <w:shd w:val="clear" w:color="000000" w:fill="BDD7EE"/>
            <w:noWrap/>
            <w:vAlign w:val="center"/>
            <w:hideMark/>
          </w:tcPr>
          <w:p w14:paraId="75D05F94"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5,364.8</w:t>
            </w:r>
          </w:p>
        </w:tc>
        <w:tc>
          <w:tcPr>
            <w:tcW w:w="906" w:type="dxa"/>
            <w:tcBorders>
              <w:top w:val="nil"/>
              <w:left w:val="nil"/>
              <w:bottom w:val="nil"/>
              <w:right w:val="nil"/>
            </w:tcBorders>
            <w:shd w:val="clear" w:color="000000" w:fill="BDD7EE"/>
            <w:noWrap/>
            <w:vAlign w:val="center"/>
            <w:hideMark/>
          </w:tcPr>
          <w:p w14:paraId="55EF9D09"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-1,521.9</w:t>
            </w:r>
          </w:p>
        </w:tc>
        <w:tc>
          <w:tcPr>
            <w:tcW w:w="897" w:type="dxa"/>
            <w:tcBorders>
              <w:top w:val="nil"/>
              <w:left w:val="nil"/>
              <w:bottom w:val="nil"/>
              <w:right w:val="nil"/>
            </w:tcBorders>
            <w:shd w:val="clear" w:color="000000" w:fill="BDD7EE"/>
            <w:noWrap/>
            <w:vAlign w:val="center"/>
            <w:hideMark/>
          </w:tcPr>
          <w:p w14:paraId="64684E3D"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-28.4%</w:t>
            </w:r>
          </w:p>
        </w:tc>
      </w:tr>
      <w:tr w:rsidR="006568D5" w:rsidRPr="006568D5" w14:paraId="57DD6D1B" w14:textId="77777777" w:rsidTr="00522A10">
        <w:trPr>
          <w:trHeight w:val="283"/>
        </w:trPr>
        <w:tc>
          <w:tcPr>
            <w:tcW w:w="2778" w:type="dxa"/>
            <w:tcBorders>
              <w:top w:val="nil"/>
              <w:left w:val="nil"/>
              <w:bottom w:val="nil"/>
              <w:right w:val="nil"/>
            </w:tcBorders>
            <w:shd w:val="clear" w:color="auto" w:fill="auto"/>
            <w:noWrap/>
            <w:vAlign w:val="center"/>
            <w:hideMark/>
          </w:tcPr>
          <w:p w14:paraId="43808466" w14:textId="77777777" w:rsidR="006568D5" w:rsidRPr="006568D5" w:rsidRDefault="006568D5" w:rsidP="006568D5">
            <w:pPr>
              <w:spacing w:after="0" w:line="240" w:lineRule="auto"/>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EPL</w:t>
            </w:r>
          </w:p>
        </w:tc>
        <w:tc>
          <w:tcPr>
            <w:tcW w:w="794" w:type="dxa"/>
            <w:tcBorders>
              <w:top w:val="nil"/>
              <w:left w:val="nil"/>
              <w:bottom w:val="nil"/>
              <w:right w:val="nil"/>
            </w:tcBorders>
            <w:shd w:val="clear" w:color="auto" w:fill="auto"/>
            <w:noWrap/>
            <w:vAlign w:val="center"/>
            <w:hideMark/>
          </w:tcPr>
          <w:p w14:paraId="34641938" w14:textId="77777777" w:rsidR="006568D5" w:rsidRPr="006568D5" w:rsidRDefault="006568D5" w:rsidP="006568D5">
            <w:pPr>
              <w:spacing w:after="0" w:line="240" w:lineRule="auto"/>
              <w:jc w:val="center"/>
              <w:rPr>
                <w:rFonts w:ascii="Arial" w:eastAsia="Times New Roman" w:hAnsi="Arial" w:cs="Arial"/>
                <w:color w:val="000000"/>
                <w:sz w:val="16"/>
                <w:szCs w:val="16"/>
                <w:lang w:eastAsia="en-GB"/>
              </w:rPr>
            </w:pPr>
          </w:p>
        </w:tc>
        <w:tc>
          <w:tcPr>
            <w:tcW w:w="806" w:type="dxa"/>
            <w:tcBorders>
              <w:top w:val="nil"/>
              <w:left w:val="nil"/>
              <w:bottom w:val="nil"/>
              <w:right w:val="nil"/>
            </w:tcBorders>
            <w:shd w:val="clear" w:color="auto" w:fill="auto"/>
            <w:noWrap/>
            <w:vAlign w:val="center"/>
            <w:hideMark/>
          </w:tcPr>
          <w:p w14:paraId="7F283CDA"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3,921.4</w:t>
            </w:r>
          </w:p>
        </w:tc>
        <w:tc>
          <w:tcPr>
            <w:tcW w:w="900" w:type="dxa"/>
            <w:tcBorders>
              <w:top w:val="nil"/>
              <w:left w:val="nil"/>
              <w:bottom w:val="nil"/>
              <w:right w:val="nil"/>
            </w:tcBorders>
            <w:shd w:val="clear" w:color="auto" w:fill="auto"/>
            <w:noWrap/>
            <w:vAlign w:val="center"/>
            <w:hideMark/>
          </w:tcPr>
          <w:p w14:paraId="45B36A49"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1,770.5</w:t>
            </w:r>
          </w:p>
        </w:tc>
        <w:tc>
          <w:tcPr>
            <w:tcW w:w="906" w:type="dxa"/>
            <w:tcBorders>
              <w:top w:val="nil"/>
              <w:left w:val="nil"/>
              <w:bottom w:val="nil"/>
              <w:right w:val="nil"/>
            </w:tcBorders>
            <w:shd w:val="clear" w:color="auto" w:fill="auto"/>
            <w:noWrap/>
            <w:vAlign w:val="center"/>
            <w:hideMark/>
          </w:tcPr>
          <w:p w14:paraId="0F014C5D"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2,150.9</w:t>
            </w:r>
          </w:p>
        </w:tc>
        <w:tc>
          <w:tcPr>
            <w:tcW w:w="897" w:type="dxa"/>
            <w:tcBorders>
              <w:top w:val="nil"/>
              <w:left w:val="nil"/>
              <w:bottom w:val="nil"/>
              <w:right w:val="nil"/>
            </w:tcBorders>
            <w:shd w:val="clear" w:color="auto" w:fill="auto"/>
            <w:noWrap/>
            <w:vAlign w:val="center"/>
            <w:hideMark/>
          </w:tcPr>
          <w:p w14:paraId="3FDB3718"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121.5%</w:t>
            </w:r>
          </w:p>
        </w:tc>
      </w:tr>
      <w:tr w:rsidR="001A1A88" w:rsidRPr="006568D5" w14:paraId="3E51A77D" w14:textId="77777777" w:rsidTr="00522A10">
        <w:trPr>
          <w:trHeight w:val="283"/>
        </w:trPr>
        <w:tc>
          <w:tcPr>
            <w:tcW w:w="2778" w:type="dxa"/>
            <w:tcBorders>
              <w:top w:val="nil"/>
              <w:left w:val="nil"/>
              <w:bottom w:val="nil"/>
              <w:right w:val="nil"/>
            </w:tcBorders>
            <w:shd w:val="clear" w:color="000000" w:fill="BDD7EE"/>
            <w:noWrap/>
            <w:vAlign w:val="center"/>
            <w:hideMark/>
          </w:tcPr>
          <w:p w14:paraId="64AF9965" w14:textId="77777777" w:rsidR="006568D5" w:rsidRPr="006568D5" w:rsidRDefault="006568D5" w:rsidP="006568D5">
            <w:pPr>
              <w:spacing w:after="0" w:line="240" w:lineRule="auto"/>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PRT</w:t>
            </w:r>
          </w:p>
        </w:tc>
        <w:tc>
          <w:tcPr>
            <w:tcW w:w="794" w:type="dxa"/>
            <w:tcBorders>
              <w:top w:val="nil"/>
              <w:left w:val="nil"/>
              <w:bottom w:val="nil"/>
              <w:right w:val="nil"/>
            </w:tcBorders>
            <w:shd w:val="clear" w:color="000000" w:fill="BDD7EE"/>
            <w:noWrap/>
            <w:vAlign w:val="center"/>
            <w:hideMark/>
          </w:tcPr>
          <w:p w14:paraId="3F9CA9CF" w14:textId="7FED2D37" w:rsidR="006568D5" w:rsidRPr="006568D5" w:rsidRDefault="006568D5" w:rsidP="006568D5">
            <w:pPr>
              <w:spacing w:after="0" w:line="240" w:lineRule="auto"/>
              <w:jc w:val="center"/>
              <w:rPr>
                <w:rFonts w:ascii="Arial" w:eastAsia="Times New Roman" w:hAnsi="Arial" w:cs="Arial"/>
                <w:color w:val="000000"/>
                <w:sz w:val="16"/>
                <w:szCs w:val="16"/>
                <w:lang w:eastAsia="en-GB"/>
              </w:rPr>
            </w:pPr>
          </w:p>
        </w:tc>
        <w:tc>
          <w:tcPr>
            <w:tcW w:w="806" w:type="dxa"/>
            <w:tcBorders>
              <w:top w:val="nil"/>
              <w:left w:val="nil"/>
              <w:bottom w:val="nil"/>
              <w:right w:val="nil"/>
            </w:tcBorders>
            <w:shd w:val="clear" w:color="000000" w:fill="BDD7EE"/>
            <w:noWrap/>
            <w:vAlign w:val="center"/>
            <w:hideMark/>
          </w:tcPr>
          <w:p w14:paraId="782B362C"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-349.5</w:t>
            </w:r>
          </w:p>
        </w:tc>
        <w:tc>
          <w:tcPr>
            <w:tcW w:w="900" w:type="dxa"/>
            <w:tcBorders>
              <w:top w:val="nil"/>
              <w:left w:val="nil"/>
              <w:bottom w:val="nil"/>
              <w:right w:val="nil"/>
            </w:tcBorders>
            <w:shd w:val="clear" w:color="000000" w:fill="BDD7EE"/>
            <w:noWrap/>
            <w:vAlign w:val="center"/>
            <w:hideMark/>
          </w:tcPr>
          <w:p w14:paraId="2CCA3D3B"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-393.9</w:t>
            </w:r>
          </w:p>
        </w:tc>
        <w:tc>
          <w:tcPr>
            <w:tcW w:w="906" w:type="dxa"/>
            <w:tcBorders>
              <w:top w:val="nil"/>
              <w:left w:val="nil"/>
              <w:bottom w:val="nil"/>
              <w:right w:val="nil"/>
            </w:tcBorders>
            <w:shd w:val="clear" w:color="000000" w:fill="BDD7EE"/>
            <w:noWrap/>
            <w:vAlign w:val="center"/>
            <w:hideMark/>
          </w:tcPr>
          <w:p w14:paraId="659BD507" w14:textId="30A835A8" w:rsidR="006568D5" w:rsidRPr="00260E2F"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44.</w:t>
            </w:r>
            <w:r w:rsidR="00260E2F">
              <w:rPr>
                <w:rFonts w:ascii="Arial" w:eastAsia="Times New Roman" w:hAnsi="Arial" w:cs="Arial"/>
                <w:color w:val="000000"/>
                <w:sz w:val="16"/>
                <w:szCs w:val="16"/>
                <w:lang w:eastAsia="en-GB"/>
              </w:rPr>
              <w:t>4</w:t>
            </w:r>
          </w:p>
        </w:tc>
        <w:tc>
          <w:tcPr>
            <w:tcW w:w="897" w:type="dxa"/>
            <w:tcBorders>
              <w:top w:val="nil"/>
              <w:left w:val="nil"/>
              <w:bottom w:val="nil"/>
              <w:right w:val="nil"/>
            </w:tcBorders>
            <w:shd w:val="clear" w:color="000000" w:fill="BDD7EE"/>
            <w:noWrap/>
            <w:vAlign w:val="center"/>
            <w:hideMark/>
          </w:tcPr>
          <w:p w14:paraId="26484A28"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-11.3%</w:t>
            </w:r>
          </w:p>
        </w:tc>
      </w:tr>
      <w:tr w:rsidR="001A1A88" w:rsidRPr="006568D5" w14:paraId="32398F94" w14:textId="77777777" w:rsidTr="00522A10">
        <w:trPr>
          <w:trHeight w:val="283"/>
        </w:trPr>
        <w:tc>
          <w:tcPr>
            <w:tcW w:w="2778" w:type="dxa"/>
            <w:tcBorders>
              <w:top w:val="nil"/>
              <w:left w:val="nil"/>
              <w:bottom w:val="nil"/>
              <w:right w:val="nil"/>
            </w:tcBorders>
            <w:shd w:val="clear" w:color="000000" w:fill="BFBFBF"/>
            <w:noWrap/>
            <w:vAlign w:val="center"/>
            <w:hideMark/>
          </w:tcPr>
          <w:p w14:paraId="5D9340C6"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HMRC</w:t>
            </w:r>
          </w:p>
        </w:tc>
        <w:tc>
          <w:tcPr>
            <w:tcW w:w="794" w:type="dxa"/>
            <w:tcBorders>
              <w:top w:val="nil"/>
              <w:left w:val="nil"/>
              <w:bottom w:val="nil"/>
              <w:right w:val="nil"/>
            </w:tcBorders>
            <w:shd w:val="clear" w:color="000000" w:fill="BFBFBF"/>
            <w:noWrap/>
            <w:vAlign w:val="center"/>
            <w:hideMark/>
          </w:tcPr>
          <w:p w14:paraId="7528C803"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A</w:t>
            </w:r>
          </w:p>
        </w:tc>
        <w:tc>
          <w:tcPr>
            <w:tcW w:w="806" w:type="dxa"/>
            <w:tcBorders>
              <w:top w:val="nil"/>
              <w:left w:val="nil"/>
              <w:bottom w:val="nil"/>
              <w:right w:val="nil"/>
            </w:tcBorders>
            <w:shd w:val="clear" w:color="000000" w:fill="BFBFBF"/>
            <w:noWrap/>
            <w:vAlign w:val="center"/>
            <w:hideMark/>
          </w:tcPr>
          <w:p w14:paraId="388E245C"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7,414.8</w:t>
            </w:r>
          </w:p>
        </w:tc>
        <w:tc>
          <w:tcPr>
            <w:tcW w:w="900" w:type="dxa"/>
            <w:tcBorders>
              <w:top w:val="nil"/>
              <w:left w:val="nil"/>
              <w:bottom w:val="nil"/>
              <w:right w:val="nil"/>
            </w:tcBorders>
            <w:shd w:val="clear" w:color="000000" w:fill="BFBFBF"/>
            <w:noWrap/>
            <w:vAlign w:val="center"/>
            <w:hideMark/>
          </w:tcPr>
          <w:p w14:paraId="4015AE45"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6,741.3</w:t>
            </w:r>
          </w:p>
        </w:tc>
        <w:tc>
          <w:tcPr>
            <w:tcW w:w="906" w:type="dxa"/>
            <w:tcBorders>
              <w:top w:val="nil"/>
              <w:left w:val="nil"/>
              <w:bottom w:val="nil"/>
              <w:right w:val="nil"/>
            </w:tcBorders>
            <w:shd w:val="clear" w:color="000000" w:fill="BFBFBF"/>
            <w:noWrap/>
            <w:vAlign w:val="center"/>
            <w:hideMark/>
          </w:tcPr>
          <w:p w14:paraId="1ACB6689"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673.5</w:t>
            </w:r>
          </w:p>
        </w:tc>
        <w:tc>
          <w:tcPr>
            <w:tcW w:w="897" w:type="dxa"/>
            <w:tcBorders>
              <w:top w:val="nil"/>
              <w:left w:val="nil"/>
              <w:bottom w:val="nil"/>
              <w:right w:val="nil"/>
            </w:tcBorders>
            <w:shd w:val="clear" w:color="000000" w:fill="BFBFBF"/>
            <w:noWrap/>
            <w:vAlign w:val="center"/>
            <w:hideMark/>
          </w:tcPr>
          <w:p w14:paraId="0829449A"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10.0%</w:t>
            </w:r>
          </w:p>
        </w:tc>
      </w:tr>
      <w:tr w:rsidR="001A1A88" w:rsidRPr="006568D5" w14:paraId="17393587" w14:textId="77777777" w:rsidTr="00522A10">
        <w:trPr>
          <w:trHeight w:val="283"/>
        </w:trPr>
        <w:tc>
          <w:tcPr>
            <w:tcW w:w="2778" w:type="dxa"/>
            <w:tcBorders>
              <w:top w:val="nil"/>
              <w:left w:val="nil"/>
              <w:bottom w:val="nil"/>
              <w:right w:val="nil"/>
            </w:tcBorders>
            <w:shd w:val="clear" w:color="000000" w:fill="BDD7EE"/>
            <w:noWrap/>
            <w:vAlign w:val="center"/>
            <w:hideMark/>
          </w:tcPr>
          <w:p w14:paraId="6545ED1E" w14:textId="77777777" w:rsidR="006568D5" w:rsidRPr="006568D5" w:rsidRDefault="006568D5" w:rsidP="006568D5">
            <w:pPr>
              <w:spacing w:after="0" w:line="240" w:lineRule="auto"/>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Licence fees</w:t>
            </w:r>
          </w:p>
        </w:tc>
        <w:tc>
          <w:tcPr>
            <w:tcW w:w="794" w:type="dxa"/>
            <w:tcBorders>
              <w:top w:val="nil"/>
              <w:left w:val="nil"/>
              <w:bottom w:val="nil"/>
              <w:right w:val="nil"/>
            </w:tcBorders>
            <w:shd w:val="clear" w:color="000000" w:fill="BDD7EE"/>
            <w:noWrap/>
            <w:vAlign w:val="center"/>
            <w:hideMark/>
          </w:tcPr>
          <w:p w14:paraId="46A67542" w14:textId="48EC8619" w:rsidR="006568D5" w:rsidRPr="006568D5" w:rsidRDefault="006568D5" w:rsidP="006568D5">
            <w:pPr>
              <w:spacing w:after="0" w:line="240" w:lineRule="auto"/>
              <w:jc w:val="center"/>
              <w:rPr>
                <w:rFonts w:ascii="Arial" w:eastAsia="Times New Roman" w:hAnsi="Arial" w:cs="Arial"/>
                <w:color w:val="000000"/>
                <w:sz w:val="16"/>
                <w:szCs w:val="16"/>
                <w:lang w:eastAsia="en-GB"/>
              </w:rPr>
            </w:pPr>
          </w:p>
        </w:tc>
        <w:tc>
          <w:tcPr>
            <w:tcW w:w="806" w:type="dxa"/>
            <w:tcBorders>
              <w:top w:val="nil"/>
              <w:left w:val="nil"/>
              <w:bottom w:val="nil"/>
              <w:right w:val="nil"/>
            </w:tcBorders>
            <w:shd w:val="clear" w:color="000000" w:fill="BDD7EE"/>
            <w:noWrap/>
            <w:vAlign w:val="center"/>
            <w:hideMark/>
          </w:tcPr>
          <w:p w14:paraId="7AED4B40"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46.9</w:t>
            </w:r>
          </w:p>
        </w:tc>
        <w:tc>
          <w:tcPr>
            <w:tcW w:w="900" w:type="dxa"/>
            <w:tcBorders>
              <w:top w:val="nil"/>
              <w:left w:val="nil"/>
              <w:bottom w:val="nil"/>
              <w:right w:val="nil"/>
            </w:tcBorders>
            <w:shd w:val="clear" w:color="000000" w:fill="BDD7EE"/>
            <w:noWrap/>
            <w:vAlign w:val="center"/>
            <w:hideMark/>
          </w:tcPr>
          <w:p w14:paraId="7C6CD420"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50.9</w:t>
            </w:r>
          </w:p>
        </w:tc>
        <w:tc>
          <w:tcPr>
            <w:tcW w:w="906" w:type="dxa"/>
            <w:tcBorders>
              <w:top w:val="nil"/>
              <w:left w:val="nil"/>
              <w:bottom w:val="nil"/>
              <w:right w:val="nil"/>
            </w:tcBorders>
            <w:shd w:val="clear" w:color="000000" w:fill="BDD7EE"/>
            <w:noWrap/>
            <w:vAlign w:val="center"/>
            <w:hideMark/>
          </w:tcPr>
          <w:p w14:paraId="7612D5D2"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-4.0</w:t>
            </w:r>
          </w:p>
        </w:tc>
        <w:tc>
          <w:tcPr>
            <w:tcW w:w="897" w:type="dxa"/>
            <w:tcBorders>
              <w:top w:val="nil"/>
              <w:left w:val="nil"/>
              <w:bottom w:val="nil"/>
              <w:right w:val="nil"/>
            </w:tcBorders>
            <w:shd w:val="clear" w:color="000000" w:fill="BDD7EE"/>
            <w:noWrap/>
            <w:vAlign w:val="center"/>
            <w:hideMark/>
          </w:tcPr>
          <w:p w14:paraId="4BA1BF6A" w14:textId="77777777" w:rsidR="006568D5" w:rsidRPr="006568D5" w:rsidRDefault="006568D5" w:rsidP="006568D5">
            <w:pPr>
              <w:spacing w:after="0" w:line="240" w:lineRule="auto"/>
              <w:jc w:val="right"/>
              <w:rPr>
                <w:rFonts w:ascii="Arial" w:eastAsia="Times New Roman" w:hAnsi="Arial" w:cs="Arial"/>
                <w:color w:val="FF0000"/>
                <w:sz w:val="16"/>
                <w:szCs w:val="16"/>
                <w:lang w:eastAsia="en-GB"/>
              </w:rPr>
            </w:pPr>
            <w:r w:rsidRPr="006568D5">
              <w:rPr>
                <w:rFonts w:ascii="Arial" w:eastAsia="Times New Roman" w:hAnsi="Arial" w:cs="Arial"/>
                <w:color w:val="FF0000"/>
                <w:sz w:val="16"/>
                <w:szCs w:val="16"/>
                <w:lang w:eastAsia="en-GB"/>
              </w:rPr>
              <w:t>-7.9%</w:t>
            </w:r>
          </w:p>
        </w:tc>
      </w:tr>
      <w:tr w:rsidR="006568D5" w:rsidRPr="006568D5" w14:paraId="19EC2806" w14:textId="77777777" w:rsidTr="00522A10">
        <w:trPr>
          <w:trHeight w:val="283"/>
        </w:trPr>
        <w:tc>
          <w:tcPr>
            <w:tcW w:w="2778" w:type="dxa"/>
            <w:tcBorders>
              <w:top w:val="nil"/>
              <w:left w:val="nil"/>
              <w:bottom w:val="nil"/>
              <w:right w:val="nil"/>
            </w:tcBorders>
            <w:shd w:val="clear" w:color="auto" w:fill="auto"/>
            <w:noWrap/>
            <w:vAlign w:val="center"/>
            <w:hideMark/>
          </w:tcPr>
          <w:p w14:paraId="08C744BA" w14:textId="77777777" w:rsidR="006568D5" w:rsidRPr="006568D5" w:rsidRDefault="006568D5" w:rsidP="006568D5">
            <w:pPr>
              <w:spacing w:after="0" w:line="240" w:lineRule="auto"/>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OGA Levy</w:t>
            </w:r>
          </w:p>
        </w:tc>
        <w:tc>
          <w:tcPr>
            <w:tcW w:w="794" w:type="dxa"/>
            <w:tcBorders>
              <w:top w:val="nil"/>
              <w:left w:val="nil"/>
              <w:bottom w:val="nil"/>
              <w:right w:val="nil"/>
            </w:tcBorders>
            <w:shd w:val="clear" w:color="auto" w:fill="auto"/>
            <w:noWrap/>
            <w:vAlign w:val="center"/>
            <w:hideMark/>
          </w:tcPr>
          <w:p w14:paraId="5FA44E63" w14:textId="77777777" w:rsidR="006568D5" w:rsidRPr="006568D5" w:rsidRDefault="006568D5" w:rsidP="006568D5">
            <w:pPr>
              <w:spacing w:after="0" w:line="240" w:lineRule="auto"/>
              <w:jc w:val="center"/>
              <w:rPr>
                <w:rFonts w:ascii="Arial" w:eastAsia="Times New Roman" w:hAnsi="Arial" w:cs="Arial"/>
                <w:color w:val="000000"/>
                <w:sz w:val="16"/>
                <w:szCs w:val="16"/>
                <w:lang w:eastAsia="en-GB"/>
              </w:rPr>
            </w:pPr>
          </w:p>
        </w:tc>
        <w:tc>
          <w:tcPr>
            <w:tcW w:w="806" w:type="dxa"/>
            <w:tcBorders>
              <w:top w:val="nil"/>
              <w:left w:val="nil"/>
              <w:bottom w:val="nil"/>
              <w:right w:val="nil"/>
            </w:tcBorders>
            <w:shd w:val="clear" w:color="auto" w:fill="auto"/>
            <w:noWrap/>
            <w:vAlign w:val="center"/>
            <w:hideMark/>
          </w:tcPr>
          <w:p w14:paraId="3D601C5C"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30.4</w:t>
            </w:r>
          </w:p>
        </w:tc>
        <w:tc>
          <w:tcPr>
            <w:tcW w:w="900" w:type="dxa"/>
            <w:tcBorders>
              <w:top w:val="nil"/>
              <w:left w:val="nil"/>
              <w:bottom w:val="nil"/>
              <w:right w:val="nil"/>
            </w:tcBorders>
            <w:shd w:val="clear" w:color="auto" w:fill="auto"/>
            <w:noWrap/>
            <w:vAlign w:val="center"/>
            <w:hideMark/>
          </w:tcPr>
          <w:p w14:paraId="2B2CBA95" w14:textId="77777777" w:rsidR="006568D5" w:rsidRPr="006568D5"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29.1</w:t>
            </w:r>
          </w:p>
        </w:tc>
        <w:tc>
          <w:tcPr>
            <w:tcW w:w="906" w:type="dxa"/>
            <w:tcBorders>
              <w:top w:val="nil"/>
              <w:left w:val="nil"/>
              <w:bottom w:val="nil"/>
              <w:right w:val="nil"/>
            </w:tcBorders>
            <w:shd w:val="clear" w:color="auto" w:fill="auto"/>
            <w:noWrap/>
            <w:vAlign w:val="center"/>
            <w:hideMark/>
          </w:tcPr>
          <w:p w14:paraId="6DFEB2B4" w14:textId="401F4A7E" w:rsidR="006568D5" w:rsidRPr="00260E2F" w:rsidRDefault="006568D5" w:rsidP="006568D5">
            <w:pPr>
              <w:spacing w:after="0" w:line="240" w:lineRule="auto"/>
              <w:jc w:val="right"/>
              <w:rPr>
                <w:rFonts w:ascii="Arial" w:eastAsia="Times New Roman" w:hAnsi="Arial" w:cs="Arial"/>
                <w:color w:val="000000"/>
                <w:sz w:val="16"/>
                <w:szCs w:val="16"/>
                <w:lang w:eastAsia="en-GB"/>
              </w:rPr>
            </w:pPr>
            <w:r w:rsidRPr="006568D5">
              <w:rPr>
                <w:rFonts w:ascii="Arial" w:eastAsia="Times New Roman" w:hAnsi="Arial" w:cs="Arial"/>
                <w:color w:val="000000"/>
                <w:sz w:val="16"/>
                <w:szCs w:val="16"/>
                <w:lang w:eastAsia="en-GB"/>
              </w:rPr>
              <w:t>1.</w:t>
            </w:r>
            <w:r w:rsidR="00260E2F">
              <w:rPr>
                <w:rFonts w:ascii="Arial" w:eastAsia="Times New Roman" w:hAnsi="Arial" w:cs="Arial"/>
                <w:color w:val="000000"/>
                <w:sz w:val="16"/>
                <w:szCs w:val="16"/>
                <w:lang w:eastAsia="en-GB"/>
              </w:rPr>
              <w:t>3</w:t>
            </w:r>
          </w:p>
        </w:tc>
        <w:tc>
          <w:tcPr>
            <w:tcW w:w="897" w:type="dxa"/>
            <w:tcBorders>
              <w:top w:val="nil"/>
              <w:left w:val="nil"/>
              <w:bottom w:val="nil"/>
              <w:right w:val="nil"/>
            </w:tcBorders>
            <w:shd w:val="clear" w:color="auto" w:fill="auto"/>
            <w:noWrap/>
            <w:vAlign w:val="center"/>
            <w:hideMark/>
          </w:tcPr>
          <w:p w14:paraId="5F1A95A8" w14:textId="0B79A329"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4.</w:t>
            </w:r>
            <w:r w:rsidR="00260E2F">
              <w:rPr>
                <w:rFonts w:ascii="Arial" w:eastAsia="Times New Roman" w:hAnsi="Arial" w:cs="Arial"/>
                <w:b/>
                <w:bCs/>
                <w:color w:val="000000"/>
                <w:sz w:val="16"/>
                <w:szCs w:val="16"/>
                <w:lang w:eastAsia="en-GB"/>
              </w:rPr>
              <w:t>5</w:t>
            </w:r>
            <w:r w:rsidRPr="006568D5">
              <w:rPr>
                <w:rFonts w:ascii="Arial" w:eastAsia="Times New Roman" w:hAnsi="Arial" w:cs="Arial"/>
                <w:b/>
                <w:bCs/>
                <w:color w:val="000000"/>
                <w:sz w:val="16"/>
                <w:szCs w:val="16"/>
                <w:lang w:eastAsia="en-GB"/>
              </w:rPr>
              <w:t>%</w:t>
            </w:r>
          </w:p>
        </w:tc>
      </w:tr>
      <w:tr w:rsidR="001A1A88" w:rsidRPr="006568D5" w14:paraId="36751BC3" w14:textId="77777777" w:rsidTr="00522A10">
        <w:trPr>
          <w:trHeight w:val="283"/>
        </w:trPr>
        <w:tc>
          <w:tcPr>
            <w:tcW w:w="2778" w:type="dxa"/>
            <w:tcBorders>
              <w:top w:val="nil"/>
              <w:left w:val="nil"/>
              <w:bottom w:val="nil"/>
              <w:right w:val="nil"/>
            </w:tcBorders>
            <w:shd w:val="clear" w:color="000000" w:fill="BFBFBF"/>
            <w:noWrap/>
            <w:vAlign w:val="center"/>
            <w:hideMark/>
          </w:tcPr>
          <w:p w14:paraId="13C8276E"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NSTA</w:t>
            </w:r>
          </w:p>
        </w:tc>
        <w:tc>
          <w:tcPr>
            <w:tcW w:w="794" w:type="dxa"/>
            <w:tcBorders>
              <w:top w:val="nil"/>
              <w:left w:val="nil"/>
              <w:bottom w:val="nil"/>
              <w:right w:val="nil"/>
            </w:tcBorders>
            <w:shd w:val="clear" w:color="000000" w:fill="BFBFBF"/>
            <w:noWrap/>
            <w:vAlign w:val="center"/>
            <w:hideMark/>
          </w:tcPr>
          <w:p w14:paraId="009D51C0"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B</w:t>
            </w:r>
          </w:p>
        </w:tc>
        <w:tc>
          <w:tcPr>
            <w:tcW w:w="806" w:type="dxa"/>
            <w:tcBorders>
              <w:top w:val="nil"/>
              <w:left w:val="nil"/>
              <w:bottom w:val="nil"/>
              <w:right w:val="nil"/>
            </w:tcBorders>
            <w:shd w:val="clear" w:color="000000" w:fill="BFBFBF"/>
            <w:noWrap/>
            <w:vAlign w:val="center"/>
            <w:hideMark/>
          </w:tcPr>
          <w:p w14:paraId="2E55DB5D"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77.3</w:t>
            </w:r>
          </w:p>
        </w:tc>
        <w:tc>
          <w:tcPr>
            <w:tcW w:w="900" w:type="dxa"/>
            <w:tcBorders>
              <w:top w:val="nil"/>
              <w:left w:val="nil"/>
              <w:bottom w:val="nil"/>
              <w:right w:val="nil"/>
            </w:tcBorders>
            <w:shd w:val="clear" w:color="000000" w:fill="BFBFBF"/>
            <w:noWrap/>
            <w:vAlign w:val="center"/>
            <w:hideMark/>
          </w:tcPr>
          <w:p w14:paraId="2ECD437F"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80.0</w:t>
            </w:r>
          </w:p>
        </w:tc>
        <w:tc>
          <w:tcPr>
            <w:tcW w:w="906" w:type="dxa"/>
            <w:tcBorders>
              <w:top w:val="nil"/>
              <w:left w:val="nil"/>
              <w:bottom w:val="nil"/>
              <w:right w:val="nil"/>
            </w:tcBorders>
            <w:shd w:val="clear" w:color="000000" w:fill="BFBFBF"/>
            <w:noWrap/>
            <w:vAlign w:val="center"/>
            <w:hideMark/>
          </w:tcPr>
          <w:p w14:paraId="13A333C5"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-2.7</w:t>
            </w:r>
          </w:p>
        </w:tc>
        <w:tc>
          <w:tcPr>
            <w:tcW w:w="897" w:type="dxa"/>
            <w:tcBorders>
              <w:top w:val="nil"/>
              <w:left w:val="nil"/>
              <w:bottom w:val="nil"/>
              <w:right w:val="nil"/>
            </w:tcBorders>
            <w:shd w:val="clear" w:color="000000" w:fill="BFBFBF"/>
            <w:noWrap/>
            <w:vAlign w:val="center"/>
            <w:hideMark/>
          </w:tcPr>
          <w:p w14:paraId="7705D97A"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-3.3%</w:t>
            </w:r>
          </w:p>
        </w:tc>
      </w:tr>
      <w:tr w:rsidR="001A1A88" w:rsidRPr="006568D5" w14:paraId="4841F3C8" w14:textId="77777777" w:rsidTr="00522A10">
        <w:trPr>
          <w:trHeight w:val="283"/>
        </w:trPr>
        <w:tc>
          <w:tcPr>
            <w:tcW w:w="2778" w:type="dxa"/>
            <w:tcBorders>
              <w:top w:val="nil"/>
              <w:left w:val="nil"/>
              <w:bottom w:val="nil"/>
              <w:right w:val="nil"/>
            </w:tcBorders>
            <w:shd w:val="clear" w:color="000000" w:fill="BFBFBF"/>
            <w:noWrap/>
            <w:vAlign w:val="center"/>
            <w:hideMark/>
          </w:tcPr>
          <w:p w14:paraId="45B6E26E"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TCE</w:t>
            </w:r>
          </w:p>
        </w:tc>
        <w:tc>
          <w:tcPr>
            <w:tcW w:w="794" w:type="dxa"/>
            <w:tcBorders>
              <w:top w:val="nil"/>
              <w:left w:val="nil"/>
              <w:bottom w:val="nil"/>
              <w:right w:val="nil"/>
            </w:tcBorders>
            <w:shd w:val="clear" w:color="000000" w:fill="BFBFBF"/>
            <w:noWrap/>
            <w:vAlign w:val="center"/>
            <w:hideMark/>
          </w:tcPr>
          <w:p w14:paraId="14196098"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C</w:t>
            </w:r>
          </w:p>
        </w:tc>
        <w:tc>
          <w:tcPr>
            <w:tcW w:w="806" w:type="dxa"/>
            <w:tcBorders>
              <w:top w:val="nil"/>
              <w:left w:val="nil"/>
              <w:bottom w:val="nil"/>
              <w:right w:val="nil"/>
            </w:tcBorders>
            <w:shd w:val="clear" w:color="000000" w:fill="BFBFBF"/>
            <w:noWrap/>
            <w:vAlign w:val="center"/>
            <w:hideMark/>
          </w:tcPr>
          <w:p w14:paraId="2C9B5766"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2.0</w:t>
            </w:r>
          </w:p>
        </w:tc>
        <w:tc>
          <w:tcPr>
            <w:tcW w:w="900" w:type="dxa"/>
            <w:tcBorders>
              <w:top w:val="nil"/>
              <w:left w:val="nil"/>
              <w:bottom w:val="nil"/>
              <w:right w:val="nil"/>
            </w:tcBorders>
            <w:shd w:val="clear" w:color="000000" w:fill="BFBFBF"/>
            <w:noWrap/>
            <w:vAlign w:val="center"/>
            <w:hideMark/>
          </w:tcPr>
          <w:p w14:paraId="5E74B606"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2.4</w:t>
            </w:r>
          </w:p>
        </w:tc>
        <w:tc>
          <w:tcPr>
            <w:tcW w:w="906" w:type="dxa"/>
            <w:tcBorders>
              <w:top w:val="nil"/>
              <w:left w:val="nil"/>
              <w:bottom w:val="nil"/>
              <w:right w:val="nil"/>
            </w:tcBorders>
            <w:shd w:val="clear" w:color="000000" w:fill="BFBFBF"/>
            <w:noWrap/>
            <w:vAlign w:val="center"/>
            <w:hideMark/>
          </w:tcPr>
          <w:p w14:paraId="3E77F971"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-0.4</w:t>
            </w:r>
          </w:p>
        </w:tc>
        <w:tc>
          <w:tcPr>
            <w:tcW w:w="897" w:type="dxa"/>
            <w:tcBorders>
              <w:top w:val="nil"/>
              <w:left w:val="nil"/>
              <w:bottom w:val="nil"/>
              <w:right w:val="nil"/>
            </w:tcBorders>
            <w:shd w:val="clear" w:color="000000" w:fill="BFBFBF"/>
            <w:noWrap/>
            <w:vAlign w:val="center"/>
            <w:hideMark/>
          </w:tcPr>
          <w:p w14:paraId="1BA94828"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-17.5%</w:t>
            </w:r>
          </w:p>
        </w:tc>
      </w:tr>
      <w:tr w:rsidR="001A1A88" w:rsidRPr="006568D5" w14:paraId="49B3CADC" w14:textId="77777777" w:rsidTr="00522A10">
        <w:trPr>
          <w:trHeight w:val="283"/>
        </w:trPr>
        <w:tc>
          <w:tcPr>
            <w:tcW w:w="2778" w:type="dxa"/>
            <w:tcBorders>
              <w:top w:val="nil"/>
              <w:left w:val="nil"/>
              <w:bottom w:val="nil"/>
              <w:right w:val="nil"/>
            </w:tcBorders>
            <w:shd w:val="clear" w:color="000000" w:fill="BFBFBF"/>
            <w:noWrap/>
            <w:vAlign w:val="center"/>
            <w:hideMark/>
          </w:tcPr>
          <w:p w14:paraId="253223EA"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CES</w:t>
            </w:r>
          </w:p>
        </w:tc>
        <w:tc>
          <w:tcPr>
            <w:tcW w:w="794" w:type="dxa"/>
            <w:tcBorders>
              <w:top w:val="nil"/>
              <w:left w:val="nil"/>
              <w:bottom w:val="nil"/>
              <w:right w:val="nil"/>
            </w:tcBorders>
            <w:shd w:val="clear" w:color="000000" w:fill="BFBFBF"/>
            <w:noWrap/>
            <w:vAlign w:val="center"/>
            <w:hideMark/>
          </w:tcPr>
          <w:p w14:paraId="0F987CD6"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D</w:t>
            </w:r>
          </w:p>
        </w:tc>
        <w:tc>
          <w:tcPr>
            <w:tcW w:w="806" w:type="dxa"/>
            <w:tcBorders>
              <w:top w:val="nil"/>
              <w:left w:val="nil"/>
              <w:bottom w:val="nil"/>
              <w:right w:val="nil"/>
            </w:tcBorders>
            <w:shd w:val="clear" w:color="000000" w:fill="BFBFBF"/>
            <w:noWrap/>
            <w:vAlign w:val="center"/>
            <w:hideMark/>
          </w:tcPr>
          <w:p w14:paraId="67F9D364"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1.7</w:t>
            </w:r>
          </w:p>
        </w:tc>
        <w:tc>
          <w:tcPr>
            <w:tcW w:w="900" w:type="dxa"/>
            <w:tcBorders>
              <w:top w:val="nil"/>
              <w:left w:val="nil"/>
              <w:bottom w:val="nil"/>
              <w:right w:val="nil"/>
            </w:tcBorders>
            <w:shd w:val="clear" w:color="000000" w:fill="BFBFBF"/>
            <w:noWrap/>
            <w:vAlign w:val="center"/>
            <w:hideMark/>
          </w:tcPr>
          <w:p w14:paraId="762F7F43"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1.6</w:t>
            </w:r>
          </w:p>
        </w:tc>
        <w:tc>
          <w:tcPr>
            <w:tcW w:w="906" w:type="dxa"/>
            <w:tcBorders>
              <w:top w:val="nil"/>
              <w:left w:val="nil"/>
              <w:bottom w:val="nil"/>
              <w:right w:val="nil"/>
            </w:tcBorders>
            <w:shd w:val="clear" w:color="000000" w:fill="BFBFBF"/>
            <w:noWrap/>
            <w:vAlign w:val="center"/>
            <w:hideMark/>
          </w:tcPr>
          <w:p w14:paraId="173228AD"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0.1</w:t>
            </w:r>
          </w:p>
        </w:tc>
        <w:tc>
          <w:tcPr>
            <w:tcW w:w="897" w:type="dxa"/>
            <w:tcBorders>
              <w:top w:val="nil"/>
              <w:left w:val="nil"/>
              <w:bottom w:val="nil"/>
              <w:right w:val="nil"/>
            </w:tcBorders>
            <w:shd w:val="clear" w:color="000000" w:fill="BFBFBF"/>
            <w:noWrap/>
            <w:vAlign w:val="center"/>
            <w:hideMark/>
          </w:tcPr>
          <w:p w14:paraId="7A4F27B9" w14:textId="2B2BD20E" w:rsidR="006568D5" w:rsidRPr="006568D5" w:rsidRDefault="008B301E" w:rsidP="006568D5">
            <w:pPr>
              <w:spacing w:after="0" w:line="240" w:lineRule="auto"/>
              <w:jc w:val="right"/>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6</w:t>
            </w:r>
            <w:r w:rsidR="006568D5" w:rsidRPr="006568D5">
              <w:rPr>
                <w:rFonts w:ascii="Arial" w:eastAsia="Times New Roman" w:hAnsi="Arial" w:cs="Arial"/>
                <w:b/>
                <w:bCs/>
                <w:color w:val="000000"/>
                <w:sz w:val="16"/>
                <w:szCs w:val="16"/>
                <w:lang w:eastAsia="en-GB"/>
              </w:rPr>
              <w:t>.</w:t>
            </w:r>
            <w:r>
              <w:rPr>
                <w:rFonts w:ascii="Arial" w:eastAsia="Times New Roman" w:hAnsi="Arial" w:cs="Arial"/>
                <w:b/>
                <w:bCs/>
                <w:color w:val="000000"/>
                <w:sz w:val="16"/>
                <w:szCs w:val="16"/>
                <w:lang w:eastAsia="en-GB"/>
              </w:rPr>
              <w:t>2</w:t>
            </w:r>
            <w:r w:rsidR="006568D5" w:rsidRPr="006568D5">
              <w:rPr>
                <w:rFonts w:ascii="Arial" w:eastAsia="Times New Roman" w:hAnsi="Arial" w:cs="Arial"/>
                <w:b/>
                <w:bCs/>
                <w:color w:val="000000"/>
                <w:sz w:val="16"/>
                <w:szCs w:val="16"/>
                <w:lang w:eastAsia="en-GB"/>
              </w:rPr>
              <w:t>%</w:t>
            </w:r>
          </w:p>
        </w:tc>
      </w:tr>
      <w:tr w:rsidR="001A1A88" w:rsidRPr="006568D5" w14:paraId="68F95A6B" w14:textId="77777777" w:rsidTr="00522A10">
        <w:trPr>
          <w:trHeight w:val="283"/>
        </w:trPr>
        <w:tc>
          <w:tcPr>
            <w:tcW w:w="2778" w:type="dxa"/>
            <w:tcBorders>
              <w:top w:val="single" w:sz="12" w:space="0" w:color="5B9BD5"/>
              <w:left w:val="nil"/>
              <w:bottom w:val="nil"/>
              <w:right w:val="nil"/>
            </w:tcBorders>
            <w:shd w:val="clear" w:color="000000" w:fill="BFBFBF"/>
            <w:noWrap/>
            <w:vAlign w:val="center"/>
            <w:hideMark/>
          </w:tcPr>
          <w:p w14:paraId="117A2E12" w14:textId="77777777" w:rsidR="006568D5" w:rsidRPr="006568D5" w:rsidRDefault="006568D5" w:rsidP="006568D5">
            <w:pPr>
              <w:spacing w:after="0" w:line="240" w:lineRule="auto"/>
              <w:jc w:val="center"/>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Total O&amp;G</w:t>
            </w:r>
          </w:p>
        </w:tc>
        <w:tc>
          <w:tcPr>
            <w:tcW w:w="794" w:type="dxa"/>
            <w:tcBorders>
              <w:top w:val="single" w:sz="12" w:space="0" w:color="5B9BD5"/>
              <w:left w:val="nil"/>
              <w:bottom w:val="nil"/>
              <w:right w:val="nil"/>
            </w:tcBorders>
            <w:shd w:val="clear" w:color="000000" w:fill="BFBFBF"/>
            <w:noWrap/>
            <w:vAlign w:val="center"/>
            <w:hideMark/>
          </w:tcPr>
          <w:p w14:paraId="17461B58" w14:textId="77777777" w:rsidR="006568D5" w:rsidRPr="006568D5" w:rsidRDefault="006568D5" w:rsidP="006568D5">
            <w:pPr>
              <w:spacing w:after="0" w:line="240" w:lineRule="auto"/>
              <w:jc w:val="center"/>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E = A-D</w:t>
            </w:r>
          </w:p>
        </w:tc>
        <w:tc>
          <w:tcPr>
            <w:tcW w:w="806" w:type="dxa"/>
            <w:tcBorders>
              <w:top w:val="single" w:sz="12" w:space="0" w:color="5B9BD5"/>
              <w:left w:val="nil"/>
              <w:bottom w:val="nil"/>
              <w:right w:val="nil"/>
            </w:tcBorders>
            <w:shd w:val="clear" w:color="000000" w:fill="BFBFBF"/>
            <w:noWrap/>
            <w:vAlign w:val="center"/>
            <w:hideMark/>
          </w:tcPr>
          <w:p w14:paraId="7793B849" w14:textId="267266E3" w:rsidR="006568D5" w:rsidRPr="00070A61"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7,495.</w:t>
            </w:r>
            <w:r w:rsidR="00070A61">
              <w:rPr>
                <w:rFonts w:ascii="Arial" w:eastAsia="Times New Roman" w:hAnsi="Arial" w:cs="Arial"/>
                <w:b/>
                <w:bCs/>
                <w:sz w:val="16"/>
                <w:szCs w:val="16"/>
                <w:lang w:eastAsia="en-GB"/>
              </w:rPr>
              <w:t>8</w:t>
            </w:r>
          </w:p>
        </w:tc>
        <w:tc>
          <w:tcPr>
            <w:tcW w:w="900" w:type="dxa"/>
            <w:tcBorders>
              <w:top w:val="single" w:sz="12" w:space="0" w:color="5B9BD5"/>
              <w:left w:val="nil"/>
              <w:bottom w:val="nil"/>
              <w:right w:val="nil"/>
            </w:tcBorders>
            <w:shd w:val="clear" w:color="000000" w:fill="BFBFBF"/>
            <w:noWrap/>
            <w:vAlign w:val="center"/>
            <w:hideMark/>
          </w:tcPr>
          <w:p w14:paraId="7911C6FF" w14:textId="77777777" w:rsidR="006568D5" w:rsidRPr="006568D5"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6,825.3</w:t>
            </w:r>
          </w:p>
        </w:tc>
        <w:tc>
          <w:tcPr>
            <w:tcW w:w="906" w:type="dxa"/>
            <w:tcBorders>
              <w:top w:val="single" w:sz="12" w:space="0" w:color="5B9BD5"/>
              <w:left w:val="nil"/>
              <w:bottom w:val="nil"/>
              <w:right w:val="nil"/>
            </w:tcBorders>
            <w:shd w:val="clear" w:color="000000" w:fill="BFBFBF"/>
            <w:noWrap/>
            <w:vAlign w:val="center"/>
            <w:hideMark/>
          </w:tcPr>
          <w:p w14:paraId="3A0C15DB" w14:textId="0DE1EC9B" w:rsidR="006568D5" w:rsidRPr="006053BF"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670.</w:t>
            </w:r>
            <w:r w:rsidR="006053BF">
              <w:rPr>
                <w:rFonts w:ascii="Arial" w:eastAsia="Times New Roman" w:hAnsi="Arial" w:cs="Arial"/>
                <w:b/>
                <w:bCs/>
                <w:sz w:val="16"/>
                <w:szCs w:val="16"/>
                <w:lang w:eastAsia="en-GB"/>
              </w:rPr>
              <w:t>5</w:t>
            </w:r>
          </w:p>
        </w:tc>
        <w:tc>
          <w:tcPr>
            <w:tcW w:w="897" w:type="dxa"/>
            <w:tcBorders>
              <w:top w:val="single" w:sz="12" w:space="0" w:color="5B9BD5"/>
              <w:left w:val="nil"/>
              <w:bottom w:val="nil"/>
              <w:right w:val="nil"/>
            </w:tcBorders>
            <w:shd w:val="clear" w:color="000000" w:fill="BFBFBF"/>
            <w:noWrap/>
            <w:vAlign w:val="center"/>
            <w:hideMark/>
          </w:tcPr>
          <w:p w14:paraId="7CAF37B7" w14:textId="77777777" w:rsidR="006568D5" w:rsidRPr="006568D5"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9.8%</w:t>
            </w:r>
          </w:p>
        </w:tc>
      </w:tr>
      <w:tr w:rsidR="006568D5" w:rsidRPr="006568D5" w14:paraId="4DCA5AC6" w14:textId="77777777" w:rsidTr="00522A10">
        <w:trPr>
          <w:trHeight w:val="283"/>
        </w:trPr>
        <w:tc>
          <w:tcPr>
            <w:tcW w:w="2778" w:type="dxa"/>
            <w:tcBorders>
              <w:top w:val="nil"/>
              <w:left w:val="nil"/>
              <w:bottom w:val="nil"/>
              <w:right w:val="nil"/>
            </w:tcBorders>
            <w:shd w:val="clear" w:color="auto" w:fill="auto"/>
            <w:noWrap/>
            <w:vAlign w:val="center"/>
            <w:hideMark/>
          </w:tcPr>
          <w:p w14:paraId="410EAD49"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M&amp;Q sector</w:t>
            </w:r>
          </w:p>
        </w:tc>
        <w:tc>
          <w:tcPr>
            <w:tcW w:w="794" w:type="dxa"/>
            <w:tcBorders>
              <w:top w:val="nil"/>
              <w:left w:val="nil"/>
              <w:bottom w:val="nil"/>
              <w:right w:val="nil"/>
            </w:tcBorders>
            <w:shd w:val="clear" w:color="auto" w:fill="auto"/>
            <w:noWrap/>
            <w:vAlign w:val="center"/>
            <w:hideMark/>
          </w:tcPr>
          <w:p w14:paraId="6B1AB15E"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p>
        </w:tc>
        <w:tc>
          <w:tcPr>
            <w:tcW w:w="806" w:type="dxa"/>
            <w:tcBorders>
              <w:top w:val="nil"/>
              <w:left w:val="nil"/>
              <w:bottom w:val="nil"/>
              <w:right w:val="nil"/>
            </w:tcBorders>
            <w:shd w:val="clear" w:color="auto" w:fill="auto"/>
            <w:noWrap/>
            <w:vAlign w:val="center"/>
            <w:hideMark/>
          </w:tcPr>
          <w:p w14:paraId="7A1359E8"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900" w:type="dxa"/>
            <w:tcBorders>
              <w:top w:val="nil"/>
              <w:left w:val="nil"/>
              <w:bottom w:val="nil"/>
              <w:right w:val="nil"/>
            </w:tcBorders>
            <w:shd w:val="clear" w:color="auto" w:fill="auto"/>
            <w:noWrap/>
            <w:vAlign w:val="center"/>
            <w:hideMark/>
          </w:tcPr>
          <w:p w14:paraId="536D15BC"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906" w:type="dxa"/>
            <w:tcBorders>
              <w:top w:val="nil"/>
              <w:left w:val="nil"/>
              <w:bottom w:val="nil"/>
              <w:right w:val="nil"/>
            </w:tcBorders>
            <w:shd w:val="clear" w:color="auto" w:fill="auto"/>
            <w:noWrap/>
            <w:vAlign w:val="center"/>
            <w:hideMark/>
          </w:tcPr>
          <w:p w14:paraId="1AE7C243"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c>
          <w:tcPr>
            <w:tcW w:w="897" w:type="dxa"/>
            <w:tcBorders>
              <w:top w:val="nil"/>
              <w:left w:val="nil"/>
              <w:bottom w:val="nil"/>
              <w:right w:val="nil"/>
            </w:tcBorders>
            <w:shd w:val="clear" w:color="auto" w:fill="auto"/>
            <w:noWrap/>
            <w:vAlign w:val="center"/>
            <w:hideMark/>
          </w:tcPr>
          <w:p w14:paraId="48144C92" w14:textId="77777777" w:rsidR="006568D5" w:rsidRPr="006568D5" w:rsidRDefault="006568D5" w:rsidP="006568D5">
            <w:pPr>
              <w:spacing w:after="0" w:line="240" w:lineRule="auto"/>
              <w:jc w:val="right"/>
              <w:rPr>
                <w:rFonts w:ascii="Times New Roman" w:eastAsia="Times New Roman" w:hAnsi="Times New Roman" w:cs="Times New Roman"/>
                <w:lang w:eastAsia="en-GB"/>
              </w:rPr>
            </w:pPr>
          </w:p>
        </w:tc>
      </w:tr>
      <w:tr w:rsidR="001A1A88" w:rsidRPr="006568D5" w14:paraId="6507DCDD" w14:textId="77777777" w:rsidTr="00522A10">
        <w:trPr>
          <w:trHeight w:val="283"/>
        </w:trPr>
        <w:tc>
          <w:tcPr>
            <w:tcW w:w="2778" w:type="dxa"/>
            <w:tcBorders>
              <w:top w:val="nil"/>
              <w:left w:val="nil"/>
              <w:bottom w:val="nil"/>
              <w:right w:val="nil"/>
            </w:tcBorders>
            <w:shd w:val="clear" w:color="000000" w:fill="BFBFBF"/>
            <w:noWrap/>
            <w:vAlign w:val="center"/>
            <w:hideMark/>
          </w:tcPr>
          <w:p w14:paraId="670940AF"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HMRC (CT)</w:t>
            </w:r>
          </w:p>
        </w:tc>
        <w:tc>
          <w:tcPr>
            <w:tcW w:w="794" w:type="dxa"/>
            <w:tcBorders>
              <w:top w:val="nil"/>
              <w:left w:val="nil"/>
              <w:bottom w:val="nil"/>
              <w:right w:val="nil"/>
            </w:tcBorders>
            <w:shd w:val="clear" w:color="000000" w:fill="BFBFBF"/>
            <w:noWrap/>
            <w:vAlign w:val="center"/>
            <w:hideMark/>
          </w:tcPr>
          <w:p w14:paraId="690362D9"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F</w:t>
            </w:r>
          </w:p>
        </w:tc>
        <w:tc>
          <w:tcPr>
            <w:tcW w:w="806" w:type="dxa"/>
            <w:tcBorders>
              <w:top w:val="nil"/>
              <w:left w:val="nil"/>
              <w:bottom w:val="nil"/>
              <w:right w:val="nil"/>
            </w:tcBorders>
            <w:shd w:val="clear" w:color="000000" w:fill="BFBFBF"/>
            <w:noWrap/>
            <w:vAlign w:val="center"/>
            <w:hideMark/>
          </w:tcPr>
          <w:p w14:paraId="41F4008A"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122.0</w:t>
            </w:r>
          </w:p>
        </w:tc>
        <w:tc>
          <w:tcPr>
            <w:tcW w:w="900" w:type="dxa"/>
            <w:tcBorders>
              <w:top w:val="nil"/>
              <w:left w:val="nil"/>
              <w:bottom w:val="nil"/>
              <w:right w:val="nil"/>
            </w:tcBorders>
            <w:shd w:val="clear" w:color="000000" w:fill="BFBFBF"/>
            <w:noWrap/>
            <w:vAlign w:val="center"/>
            <w:hideMark/>
          </w:tcPr>
          <w:p w14:paraId="48C58294"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28.7</w:t>
            </w:r>
          </w:p>
        </w:tc>
        <w:tc>
          <w:tcPr>
            <w:tcW w:w="906" w:type="dxa"/>
            <w:tcBorders>
              <w:top w:val="nil"/>
              <w:left w:val="nil"/>
              <w:bottom w:val="nil"/>
              <w:right w:val="nil"/>
            </w:tcBorders>
            <w:shd w:val="clear" w:color="000000" w:fill="BFBFBF"/>
            <w:noWrap/>
            <w:vAlign w:val="center"/>
            <w:hideMark/>
          </w:tcPr>
          <w:p w14:paraId="5C2F3670" w14:textId="11A6682F" w:rsidR="006568D5" w:rsidRPr="00923EF3"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93.</w:t>
            </w:r>
            <w:r w:rsidR="00923EF3">
              <w:rPr>
                <w:rFonts w:ascii="Arial" w:eastAsia="Times New Roman" w:hAnsi="Arial" w:cs="Arial"/>
                <w:b/>
                <w:bCs/>
                <w:color w:val="000000"/>
                <w:sz w:val="16"/>
                <w:szCs w:val="16"/>
                <w:lang w:eastAsia="en-GB"/>
              </w:rPr>
              <w:t>3</w:t>
            </w:r>
          </w:p>
        </w:tc>
        <w:tc>
          <w:tcPr>
            <w:tcW w:w="897" w:type="dxa"/>
            <w:tcBorders>
              <w:top w:val="nil"/>
              <w:left w:val="nil"/>
              <w:bottom w:val="nil"/>
              <w:right w:val="nil"/>
            </w:tcBorders>
            <w:shd w:val="clear" w:color="000000" w:fill="BFBFBF"/>
            <w:noWrap/>
            <w:vAlign w:val="center"/>
            <w:hideMark/>
          </w:tcPr>
          <w:p w14:paraId="1A485C41" w14:textId="37F7826E"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325.</w:t>
            </w:r>
            <w:r w:rsidR="008B301E">
              <w:rPr>
                <w:rFonts w:ascii="Arial" w:eastAsia="Times New Roman" w:hAnsi="Arial" w:cs="Arial"/>
                <w:b/>
                <w:bCs/>
                <w:color w:val="000000"/>
                <w:sz w:val="16"/>
                <w:szCs w:val="16"/>
                <w:lang w:eastAsia="en-GB"/>
              </w:rPr>
              <w:t>1</w:t>
            </w:r>
            <w:r w:rsidRPr="006568D5">
              <w:rPr>
                <w:rFonts w:ascii="Arial" w:eastAsia="Times New Roman" w:hAnsi="Arial" w:cs="Arial"/>
                <w:b/>
                <w:bCs/>
                <w:color w:val="000000"/>
                <w:sz w:val="16"/>
                <w:szCs w:val="16"/>
                <w:lang w:eastAsia="en-GB"/>
              </w:rPr>
              <w:t>%</w:t>
            </w:r>
          </w:p>
        </w:tc>
      </w:tr>
      <w:tr w:rsidR="006568D5" w:rsidRPr="006568D5" w14:paraId="77621142" w14:textId="77777777" w:rsidTr="00522A10">
        <w:trPr>
          <w:trHeight w:val="283"/>
        </w:trPr>
        <w:tc>
          <w:tcPr>
            <w:tcW w:w="2778" w:type="dxa"/>
            <w:tcBorders>
              <w:top w:val="nil"/>
              <w:left w:val="nil"/>
              <w:bottom w:val="nil"/>
              <w:right w:val="nil"/>
            </w:tcBorders>
            <w:shd w:val="clear" w:color="auto" w:fill="auto"/>
            <w:noWrap/>
            <w:vAlign w:val="center"/>
            <w:hideMark/>
          </w:tcPr>
          <w:p w14:paraId="79B0ED69"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TCE</w:t>
            </w:r>
          </w:p>
        </w:tc>
        <w:tc>
          <w:tcPr>
            <w:tcW w:w="794" w:type="dxa"/>
            <w:tcBorders>
              <w:top w:val="nil"/>
              <w:left w:val="nil"/>
              <w:bottom w:val="nil"/>
              <w:right w:val="nil"/>
            </w:tcBorders>
            <w:shd w:val="clear" w:color="auto" w:fill="auto"/>
            <w:noWrap/>
            <w:vAlign w:val="center"/>
            <w:hideMark/>
          </w:tcPr>
          <w:p w14:paraId="1390E143"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G</w:t>
            </w:r>
          </w:p>
        </w:tc>
        <w:tc>
          <w:tcPr>
            <w:tcW w:w="806" w:type="dxa"/>
            <w:tcBorders>
              <w:top w:val="nil"/>
              <w:left w:val="nil"/>
              <w:bottom w:val="nil"/>
              <w:right w:val="nil"/>
            </w:tcBorders>
            <w:shd w:val="clear" w:color="auto" w:fill="auto"/>
            <w:noWrap/>
            <w:vAlign w:val="center"/>
            <w:hideMark/>
          </w:tcPr>
          <w:p w14:paraId="381E9497"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25.7</w:t>
            </w:r>
          </w:p>
        </w:tc>
        <w:tc>
          <w:tcPr>
            <w:tcW w:w="900" w:type="dxa"/>
            <w:tcBorders>
              <w:top w:val="nil"/>
              <w:left w:val="nil"/>
              <w:bottom w:val="nil"/>
              <w:right w:val="nil"/>
            </w:tcBorders>
            <w:shd w:val="clear" w:color="auto" w:fill="auto"/>
            <w:noWrap/>
            <w:vAlign w:val="center"/>
            <w:hideMark/>
          </w:tcPr>
          <w:p w14:paraId="0837491D"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26.3</w:t>
            </w:r>
          </w:p>
        </w:tc>
        <w:tc>
          <w:tcPr>
            <w:tcW w:w="906" w:type="dxa"/>
            <w:tcBorders>
              <w:top w:val="nil"/>
              <w:left w:val="nil"/>
              <w:bottom w:val="nil"/>
              <w:right w:val="nil"/>
            </w:tcBorders>
            <w:shd w:val="clear" w:color="auto" w:fill="auto"/>
            <w:noWrap/>
            <w:vAlign w:val="center"/>
            <w:hideMark/>
          </w:tcPr>
          <w:p w14:paraId="4BFC925C"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-0.6</w:t>
            </w:r>
          </w:p>
        </w:tc>
        <w:tc>
          <w:tcPr>
            <w:tcW w:w="897" w:type="dxa"/>
            <w:tcBorders>
              <w:top w:val="nil"/>
              <w:left w:val="nil"/>
              <w:bottom w:val="nil"/>
              <w:right w:val="nil"/>
            </w:tcBorders>
            <w:shd w:val="clear" w:color="auto" w:fill="auto"/>
            <w:noWrap/>
            <w:vAlign w:val="center"/>
            <w:hideMark/>
          </w:tcPr>
          <w:p w14:paraId="3387AF6F" w14:textId="77777777" w:rsidR="006568D5" w:rsidRPr="006568D5" w:rsidRDefault="006568D5" w:rsidP="006568D5">
            <w:pPr>
              <w:spacing w:after="0" w:line="240" w:lineRule="auto"/>
              <w:jc w:val="right"/>
              <w:rPr>
                <w:rFonts w:ascii="Arial" w:eastAsia="Times New Roman" w:hAnsi="Arial" w:cs="Arial"/>
                <w:b/>
                <w:bCs/>
                <w:color w:val="FF0000"/>
                <w:sz w:val="16"/>
                <w:szCs w:val="16"/>
                <w:lang w:eastAsia="en-GB"/>
              </w:rPr>
            </w:pPr>
            <w:r w:rsidRPr="006568D5">
              <w:rPr>
                <w:rFonts w:ascii="Arial" w:eastAsia="Times New Roman" w:hAnsi="Arial" w:cs="Arial"/>
                <w:b/>
                <w:bCs/>
                <w:color w:val="FF0000"/>
                <w:sz w:val="16"/>
                <w:szCs w:val="16"/>
                <w:lang w:eastAsia="en-GB"/>
              </w:rPr>
              <w:t>-2.3%</w:t>
            </w:r>
          </w:p>
        </w:tc>
      </w:tr>
      <w:tr w:rsidR="001A1A88" w:rsidRPr="006568D5" w14:paraId="7D2CD182" w14:textId="77777777" w:rsidTr="00522A10">
        <w:trPr>
          <w:trHeight w:val="283"/>
        </w:trPr>
        <w:tc>
          <w:tcPr>
            <w:tcW w:w="2778" w:type="dxa"/>
            <w:tcBorders>
              <w:top w:val="nil"/>
              <w:left w:val="nil"/>
              <w:bottom w:val="nil"/>
              <w:right w:val="nil"/>
            </w:tcBorders>
            <w:shd w:val="clear" w:color="000000" w:fill="BFBFBF"/>
            <w:noWrap/>
            <w:vAlign w:val="center"/>
            <w:hideMark/>
          </w:tcPr>
          <w:p w14:paraId="083D0C50"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Sub-total CES</w:t>
            </w:r>
          </w:p>
        </w:tc>
        <w:tc>
          <w:tcPr>
            <w:tcW w:w="794" w:type="dxa"/>
            <w:tcBorders>
              <w:top w:val="nil"/>
              <w:left w:val="nil"/>
              <w:bottom w:val="nil"/>
              <w:right w:val="nil"/>
            </w:tcBorders>
            <w:shd w:val="clear" w:color="000000" w:fill="BFBFBF"/>
            <w:noWrap/>
            <w:vAlign w:val="center"/>
            <w:hideMark/>
          </w:tcPr>
          <w:p w14:paraId="290E0BF1"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H</w:t>
            </w:r>
          </w:p>
        </w:tc>
        <w:tc>
          <w:tcPr>
            <w:tcW w:w="806" w:type="dxa"/>
            <w:tcBorders>
              <w:top w:val="nil"/>
              <w:left w:val="nil"/>
              <w:bottom w:val="nil"/>
              <w:right w:val="nil"/>
            </w:tcBorders>
            <w:shd w:val="clear" w:color="000000" w:fill="BFBFBF"/>
            <w:noWrap/>
            <w:vAlign w:val="center"/>
            <w:hideMark/>
          </w:tcPr>
          <w:p w14:paraId="1AECDCD8"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0.3</w:t>
            </w:r>
          </w:p>
        </w:tc>
        <w:tc>
          <w:tcPr>
            <w:tcW w:w="900" w:type="dxa"/>
            <w:tcBorders>
              <w:top w:val="nil"/>
              <w:left w:val="nil"/>
              <w:bottom w:val="nil"/>
              <w:right w:val="nil"/>
            </w:tcBorders>
            <w:shd w:val="clear" w:color="000000" w:fill="BFBFBF"/>
            <w:noWrap/>
            <w:vAlign w:val="center"/>
            <w:hideMark/>
          </w:tcPr>
          <w:p w14:paraId="0BE0F81B"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0.3</w:t>
            </w:r>
          </w:p>
        </w:tc>
        <w:tc>
          <w:tcPr>
            <w:tcW w:w="906" w:type="dxa"/>
            <w:tcBorders>
              <w:top w:val="nil"/>
              <w:left w:val="nil"/>
              <w:bottom w:val="nil"/>
              <w:right w:val="nil"/>
            </w:tcBorders>
            <w:shd w:val="clear" w:color="000000" w:fill="BFBFBF"/>
            <w:noWrap/>
            <w:vAlign w:val="center"/>
            <w:hideMark/>
          </w:tcPr>
          <w:p w14:paraId="509AC8AC"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0.0</w:t>
            </w:r>
          </w:p>
        </w:tc>
        <w:tc>
          <w:tcPr>
            <w:tcW w:w="897" w:type="dxa"/>
            <w:tcBorders>
              <w:top w:val="nil"/>
              <w:left w:val="nil"/>
              <w:bottom w:val="nil"/>
              <w:right w:val="nil"/>
            </w:tcBorders>
            <w:shd w:val="clear" w:color="000000" w:fill="BFBFBF"/>
            <w:noWrap/>
            <w:vAlign w:val="center"/>
            <w:hideMark/>
          </w:tcPr>
          <w:p w14:paraId="5D115669" w14:textId="78958A97" w:rsidR="006568D5" w:rsidRPr="006568D5" w:rsidRDefault="008B301E" w:rsidP="006568D5">
            <w:pPr>
              <w:spacing w:after="0" w:line="240" w:lineRule="auto"/>
              <w:jc w:val="right"/>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0</w:t>
            </w:r>
            <w:r w:rsidR="006568D5" w:rsidRPr="006568D5">
              <w:rPr>
                <w:rFonts w:ascii="Arial" w:eastAsia="Times New Roman" w:hAnsi="Arial" w:cs="Arial"/>
                <w:b/>
                <w:bCs/>
                <w:color w:val="000000"/>
                <w:sz w:val="16"/>
                <w:szCs w:val="16"/>
                <w:lang w:eastAsia="en-GB"/>
              </w:rPr>
              <w:t>.</w:t>
            </w:r>
            <w:r>
              <w:rPr>
                <w:rFonts w:ascii="Arial" w:eastAsia="Times New Roman" w:hAnsi="Arial" w:cs="Arial"/>
                <w:b/>
                <w:bCs/>
                <w:color w:val="000000"/>
                <w:sz w:val="16"/>
                <w:szCs w:val="16"/>
                <w:lang w:eastAsia="en-GB"/>
              </w:rPr>
              <w:t>0</w:t>
            </w:r>
            <w:r w:rsidR="006568D5" w:rsidRPr="006568D5">
              <w:rPr>
                <w:rFonts w:ascii="Arial" w:eastAsia="Times New Roman" w:hAnsi="Arial" w:cs="Arial"/>
                <w:b/>
                <w:bCs/>
                <w:color w:val="000000"/>
                <w:sz w:val="16"/>
                <w:szCs w:val="16"/>
                <w:lang w:eastAsia="en-GB"/>
              </w:rPr>
              <w:t>%</w:t>
            </w:r>
          </w:p>
        </w:tc>
      </w:tr>
      <w:tr w:rsidR="006568D5" w:rsidRPr="006568D5" w14:paraId="69694D98" w14:textId="77777777" w:rsidTr="00522A10">
        <w:trPr>
          <w:trHeight w:val="283"/>
        </w:trPr>
        <w:tc>
          <w:tcPr>
            <w:tcW w:w="2778" w:type="dxa"/>
            <w:tcBorders>
              <w:top w:val="nil"/>
              <w:left w:val="nil"/>
              <w:bottom w:val="nil"/>
              <w:right w:val="nil"/>
            </w:tcBorders>
            <w:shd w:val="clear" w:color="auto" w:fill="auto"/>
            <w:noWrap/>
            <w:vAlign w:val="center"/>
            <w:hideMark/>
          </w:tcPr>
          <w:p w14:paraId="3B6E607D" w14:textId="77777777" w:rsidR="006568D5" w:rsidRPr="006568D5" w:rsidRDefault="006568D5" w:rsidP="006568D5">
            <w:pPr>
              <w:spacing w:after="0" w:line="240" w:lineRule="auto"/>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Section 106 (or similar) Payments</w:t>
            </w:r>
          </w:p>
        </w:tc>
        <w:tc>
          <w:tcPr>
            <w:tcW w:w="794" w:type="dxa"/>
            <w:tcBorders>
              <w:top w:val="nil"/>
              <w:left w:val="nil"/>
              <w:bottom w:val="nil"/>
              <w:right w:val="nil"/>
            </w:tcBorders>
            <w:shd w:val="clear" w:color="auto" w:fill="auto"/>
            <w:noWrap/>
            <w:vAlign w:val="center"/>
            <w:hideMark/>
          </w:tcPr>
          <w:p w14:paraId="1478636B" w14:textId="77777777" w:rsidR="006568D5" w:rsidRPr="006568D5" w:rsidRDefault="006568D5" w:rsidP="006568D5">
            <w:pPr>
              <w:spacing w:after="0" w:line="240" w:lineRule="auto"/>
              <w:jc w:val="center"/>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I</w:t>
            </w:r>
          </w:p>
        </w:tc>
        <w:tc>
          <w:tcPr>
            <w:tcW w:w="806" w:type="dxa"/>
            <w:tcBorders>
              <w:top w:val="nil"/>
              <w:left w:val="nil"/>
              <w:bottom w:val="nil"/>
              <w:right w:val="nil"/>
            </w:tcBorders>
            <w:shd w:val="clear" w:color="auto" w:fill="auto"/>
            <w:noWrap/>
            <w:vAlign w:val="center"/>
            <w:hideMark/>
          </w:tcPr>
          <w:p w14:paraId="698AC8B3"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0.2</w:t>
            </w:r>
          </w:p>
        </w:tc>
        <w:tc>
          <w:tcPr>
            <w:tcW w:w="900" w:type="dxa"/>
            <w:tcBorders>
              <w:top w:val="nil"/>
              <w:left w:val="nil"/>
              <w:bottom w:val="nil"/>
              <w:right w:val="nil"/>
            </w:tcBorders>
            <w:shd w:val="clear" w:color="auto" w:fill="auto"/>
            <w:noWrap/>
            <w:vAlign w:val="center"/>
            <w:hideMark/>
          </w:tcPr>
          <w:p w14:paraId="0C426A26"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0.1</w:t>
            </w:r>
          </w:p>
        </w:tc>
        <w:tc>
          <w:tcPr>
            <w:tcW w:w="906" w:type="dxa"/>
            <w:tcBorders>
              <w:top w:val="nil"/>
              <w:left w:val="nil"/>
              <w:bottom w:val="nil"/>
              <w:right w:val="nil"/>
            </w:tcBorders>
            <w:shd w:val="clear" w:color="auto" w:fill="auto"/>
            <w:noWrap/>
            <w:vAlign w:val="center"/>
            <w:hideMark/>
          </w:tcPr>
          <w:p w14:paraId="6AEEF597"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0.1</w:t>
            </w:r>
          </w:p>
        </w:tc>
        <w:tc>
          <w:tcPr>
            <w:tcW w:w="897" w:type="dxa"/>
            <w:tcBorders>
              <w:top w:val="nil"/>
              <w:left w:val="nil"/>
              <w:bottom w:val="nil"/>
              <w:right w:val="nil"/>
            </w:tcBorders>
            <w:shd w:val="clear" w:color="auto" w:fill="auto"/>
            <w:noWrap/>
            <w:vAlign w:val="center"/>
            <w:hideMark/>
          </w:tcPr>
          <w:p w14:paraId="6C508E20" w14:textId="77777777" w:rsidR="006568D5" w:rsidRPr="006568D5" w:rsidRDefault="006568D5" w:rsidP="006568D5">
            <w:pPr>
              <w:spacing w:after="0" w:line="240" w:lineRule="auto"/>
              <w:jc w:val="right"/>
              <w:rPr>
                <w:rFonts w:ascii="Arial" w:eastAsia="Times New Roman" w:hAnsi="Arial" w:cs="Arial"/>
                <w:b/>
                <w:bCs/>
                <w:color w:val="000000"/>
                <w:sz w:val="16"/>
                <w:szCs w:val="16"/>
                <w:lang w:eastAsia="en-GB"/>
              </w:rPr>
            </w:pPr>
            <w:r w:rsidRPr="006568D5">
              <w:rPr>
                <w:rFonts w:ascii="Arial" w:eastAsia="Times New Roman" w:hAnsi="Arial" w:cs="Arial"/>
                <w:b/>
                <w:bCs/>
                <w:color w:val="000000"/>
                <w:sz w:val="16"/>
                <w:szCs w:val="16"/>
                <w:lang w:eastAsia="en-GB"/>
              </w:rPr>
              <w:t>77.2%</w:t>
            </w:r>
          </w:p>
        </w:tc>
      </w:tr>
      <w:tr w:rsidR="001A1A88" w:rsidRPr="006568D5" w14:paraId="3351FEB7" w14:textId="77777777" w:rsidTr="00522A10">
        <w:trPr>
          <w:trHeight w:val="283"/>
        </w:trPr>
        <w:tc>
          <w:tcPr>
            <w:tcW w:w="2778" w:type="dxa"/>
            <w:tcBorders>
              <w:top w:val="single" w:sz="12" w:space="0" w:color="5B9BD5"/>
              <w:left w:val="nil"/>
              <w:bottom w:val="nil"/>
              <w:right w:val="nil"/>
            </w:tcBorders>
            <w:shd w:val="clear" w:color="000000" w:fill="BFBFBF"/>
            <w:noWrap/>
            <w:vAlign w:val="center"/>
            <w:hideMark/>
          </w:tcPr>
          <w:p w14:paraId="07D2B6AF" w14:textId="77777777" w:rsidR="006568D5" w:rsidRPr="006568D5" w:rsidRDefault="006568D5" w:rsidP="006568D5">
            <w:pPr>
              <w:spacing w:after="0" w:line="240" w:lineRule="auto"/>
              <w:jc w:val="center"/>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Total M&amp;Q</w:t>
            </w:r>
          </w:p>
        </w:tc>
        <w:tc>
          <w:tcPr>
            <w:tcW w:w="794" w:type="dxa"/>
            <w:tcBorders>
              <w:top w:val="single" w:sz="12" w:space="0" w:color="5B9BD5"/>
              <w:left w:val="nil"/>
              <w:bottom w:val="nil"/>
              <w:right w:val="nil"/>
            </w:tcBorders>
            <w:shd w:val="clear" w:color="000000" w:fill="BFBFBF"/>
            <w:noWrap/>
            <w:vAlign w:val="center"/>
            <w:hideMark/>
          </w:tcPr>
          <w:p w14:paraId="39B711B8" w14:textId="77777777" w:rsidR="006568D5" w:rsidRPr="006568D5" w:rsidRDefault="006568D5" w:rsidP="006568D5">
            <w:pPr>
              <w:spacing w:after="0" w:line="240" w:lineRule="auto"/>
              <w:jc w:val="center"/>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J = F-I</w:t>
            </w:r>
          </w:p>
        </w:tc>
        <w:tc>
          <w:tcPr>
            <w:tcW w:w="806" w:type="dxa"/>
            <w:tcBorders>
              <w:top w:val="single" w:sz="12" w:space="0" w:color="5B9BD5"/>
              <w:left w:val="nil"/>
              <w:bottom w:val="nil"/>
              <w:right w:val="nil"/>
            </w:tcBorders>
            <w:shd w:val="clear" w:color="000000" w:fill="BFBFBF"/>
            <w:noWrap/>
            <w:vAlign w:val="center"/>
            <w:hideMark/>
          </w:tcPr>
          <w:p w14:paraId="3F2F97E3" w14:textId="77777777" w:rsidR="006568D5" w:rsidRPr="006568D5"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148.2</w:t>
            </w:r>
          </w:p>
        </w:tc>
        <w:tc>
          <w:tcPr>
            <w:tcW w:w="900" w:type="dxa"/>
            <w:tcBorders>
              <w:top w:val="single" w:sz="12" w:space="0" w:color="5B9BD5"/>
              <w:left w:val="nil"/>
              <w:bottom w:val="nil"/>
              <w:right w:val="nil"/>
            </w:tcBorders>
            <w:shd w:val="clear" w:color="000000" w:fill="BFBFBF"/>
            <w:noWrap/>
            <w:vAlign w:val="center"/>
            <w:hideMark/>
          </w:tcPr>
          <w:p w14:paraId="1FE2A35A" w14:textId="77777777" w:rsidR="006568D5" w:rsidRPr="006568D5"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55.4</w:t>
            </w:r>
          </w:p>
        </w:tc>
        <w:tc>
          <w:tcPr>
            <w:tcW w:w="906" w:type="dxa"/>
            <w:tcBorders>
              <w:top w:val="single" w:sz="12" w:space="0" w:color="5B9BD5"/>
              <w:left w:val="nil"/>
              <w:bottom w:val="nil"/>
              <w:right w:val="nil"/>
            </w:tcBorders>
            <w:shd w:val="clear" w:color="000000" w:fill="BFBFBF"/>
            <w:noWrap/>
            <w:vAlign w:val="center"/>
            <w:hideMark/>
          </w:tcPr>
          <w:p w14:paraId="54A17CE6" w14:textId="1BF2C934" w:rsidR="006568D5" w:rsidRPr="00923EF3"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92.</w:t>
            </w:r>
            <w:r w:rsidR="00923EF3">
              <w:rPr>
                <w:rFonts w:ascii="Arial" w:eastAsia="Times New Roman" w:hAnsi="Arial" w:cs="Arial"/>
                <w:b/>
                <w:bCs/>
                <w:sz w:val="16"/>
                <w:szCs w:val="16"/>
                <w:lang w:eastAsia="en-GB"/>
              </w:rPr>
              <w:t>8</w:t>
            </w:r>
          </w:p>
        </w:tc>
        <w:tc>
          <w:tcPr>
            <w:tcW w:w="897" w:type="dxa"/>
            <w:tcBorders>
              <w:top w:val="single" w:sz="12" w:space="0" w:color="5B9BD5"/>
              <w:left w:val="nil"/>
              <w:bottom w:val="nil"/>
              <w:right w:val="nil"/>
            </w:tcBorders>
            <w:shd w:val="clear" w:color="000000" w:fill="BFBFBF"/>
            <w:noWrap/>
            <w:vAlign w:val="center"/>
            <w:hideMark/>
          </w:tcPr>
          <w:p w14:paraId="52416F27" w14:textId="77777777" w:rsidR="006568D5" w:rsidRPr="006568D5" w:rsidRDefault="006568D5" w:rsidP="006568D5">
            <w:pPr>
              <w:spacing w:after="0" w:line="240" w:lineRule="auto"/>
              <w:jc w:val="right"/>
              <w:rPr>
                <w:rFonts w:ascii="Arial" w:eastAsia="Times New Roman" w:hAnsi="Arial" w:cs="Arial"/>
                <w:b/>
                <w:bCs/>
                <w:sz w:val="16"/>
                <w:szCs w:val="16"/>
                <w:lang w:eastAsia="en-GB"/>
              </w:rPr>
            </w:pPr>
            <w:r w:rsidRPr="006568D5">
              <w:rPr>
                <w:rFonts w:ascii="Arial" w:eastAsia="Times New Roman" w:hAnsi="Arial" w:cs="Arial"/>
                <w:b/>
                <w:bCs/>
                <w:sz w:val="16"/>
                <w:szCs w:val="16"/>
                <w:lang w:eastAsia="en-GB"/>
              </w:rPr>
              <w:t>167.8%</w:t>
            </w:r>
          </w:p>
        </w:tc>
      </w:tr>
      <w:tr w:rsidR="001A1A88" w:rsidRPr="006568D5" w14:paraId="17B24E67" w14:textId="77777777" w:rsidTr="00522A10">
        <w:trPr>
          <w:trHeight w:val="283"/>
        </w:trPr>
        <w:tc>
          <w:tcPr>
            <w:tcW w:w="2778" w:type="dxa"/>
            <w:tcBorders>
              <w:top w:val="single" w:sz="12" w:space="0" w:color="5B9BD5"/>
              <w:left w:val="nil"/>
              <w:bottom w:val="single" w:sz="12" w:space="0" w:color="5B9BD5"/>
              <w:right w:val="nil"/>
            </w:tcBorders>
            <w:shd w:val="clear" w:color="000000" w:fill="1F4E78"/>
            <w:noWrap/>
            <w:vAlign w:val="center"/>
            <w:hideMark/>
          </w:tcPr>
          <w:p w14:paraId="6BA57A42" w14:textId="77777777" w:rsidR="006568D5" w:rsidRPr="006568D5" w:rsidRDefault="006568D5" w:rsidP="006568D5">
            <w:pPr>
              <w:spacing w:after="0" w:line="240" w:lineRule="auto"/>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Total</w:t>
            </w:r>
          </w:p>
        </w:tc>
        <w:tc>
          <w:tcPr>
            <w:tcW w:w="794" w:type="dxa"/>
            <w:tcBorders>
              <w:top w:val="single" w:sz="12" w:space="0" w:color="5B9BD5"/>
              <w:left w:val="nil"/>
              <w:bottom w:val="single" w:sz="12" w:space="0" w:color="5B9BD5"/>
              <w:right w:val="nil"/>
            </w:tcBorders>
            <w:shd w:val="clear" w:color="000000" w:fill="1F4E78"/>
            <w:noWrap/>
            <w:vAlign w:val="center"/>
            <w:hideMark/>
          </w:tcPr>
          <w:p w14:paraId="465036A1" w14:textId="77777777" w:rsidR="006568D5" w:rsidRPr="006568D5" w:rsidRDefault="006568D5" w:rsidP="006568D5">
            <w:pPr>
              <w:spacing w:after="0" w:line="240" w:lineRule="auto"/>
              <w:jc w:val="center"/>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E + J</w:t>
            </w:r>
          </w:p>
        </w:tc>
        <w:tc>
          <w:tcPr>
            <w:tcW w:w="806" w:type="dxa"/>
            <w:tcBorders>
              <w:top w:val="single" w:sz="12" w:space="0" w:color="5B9BD5"/>
              <w:left w:val="nil"/>
              <w:bottom w:val="single" w:sz="12" w:space="0" w:color="5B9BD5"/>
              <w:right w:val="nil"/>
            </w:tcBorders>
            <w:shd w:val="clear" w:color="000000" w:fill="1F4E78"/>
            <w:noWrap/>
            <w:vAlign w:val="center"/>
            <w:hideMark/>
          </w:tcPr>
          <w:p w14:paraId="0E4C93AF" w14:textId="2F3EBD7E" w:rsidR="006568D5" w:rsidRPr="00070A61" w:rsidRDefault="006568D5" w:rsidP="006568D5">
            <w:pPr>
              <w:spacing w:after="0" w:line="240" w:lineRule="auto"/>
              <w:jc w:val="right"/>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7,644.</w:t>
            </w:r>
            <w:r w:rsidR="00070A61">
              <w:rPr>
                <w:rFonts w:ascii="Trebuchet MS" w:eastAsia="Times New Roman" w:hAnsi="Trebuchet MS" w:cs="Calibri"/>
                <w:b/>
                <w:bCs/>
                <w:color w:val="FFFFFF"/>
                <w:sz w:val="16"/>
                <w:szCs w:val="16"/>
                <w:lang w:eastAsia="en-GB"/>
              </w:rPr>
              <w:t>0</w:t>
            </w:r>
          </w:p>
        </w:tc>
        <w:tc>
          <w:tcPr>
            <w:tcW w:w="900" w:type="dxa"/>
            <w:tcBorders>
              <w:top w:val="single" w:sz="12" w:space="0" w:color="5B9BD5"/>
              <w:left w:val="nil"/>
              <w:bottom w:val="single" w:sz="12" w:space="0" w:color="5B9BD5"/>
              <w:right w:val="nil"/>
            </w:tcBorders>
            <w:shd w:val="clear" w:color="000000" w:fill="1F4E78"/>
            <w:noWrap/>
            <w:vAlign w:val="center"/>
            <w:hideMark/>
          </w:tcPr>
          <w:p w14:paraId="2ACA6835" w14:textId="77777777" w:rsidR="006568D5" w:rsidRPr="006568D5" w:rsidRDefault="006568D5" w:rsidP="006568D5">
            <w:pPr>
              <w:spacing w:after="0" w:line="240" w:lineRule="auto"/>
              <w:jc w:val="right"/>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6,880.7</w:t>
            </w:r>
          </w:p>
        </w:tc>
        <w:tc>
          <w:tcPr>
            <w:tcW w:w="906" w:type="dxa"/>
            <w:tcBorders>
              <w:top w:val="single" w:sz="12" w:space="0" w:color="5B9BD5"/>
              <w:left w:val="nil"/>
              <w:bottom w:val="single" w:sz="12" w:space="0" w:color="5B9BD5"/>
              <w:right w:val="nil"/>
            </w:tcBorders>
            <w:shd w:val="clear" w:color="000000" w:fill="1F4E78"/>
            <w:noWrap/>
            <w:vAlign w:val="center"/>
            <w:hideMark/>
          </w:tcPr>
          <w:p w14:paraId="320C859B" w14:textId="14F853AE" w:rsidR="006568D5" w:rsidRPr="006053BF" w:rsidRDefault="006568D5" w:rsidP="006568D5">
            <w:pPr>
              <w:spacing w:after="0" w:line="240" w:lineRule="auto"/>
              <w:jc w:val="right"/>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763.</w:t>
            </w:r>
            <w:r w:rsidR="006053BF">
              <w:rPr>
                <w:rFonts w:ascii="Trebuchet MS" w:eastAsia="Times New Roman" w:hAnsi="Trebuchet MS" w:cs="Calibri"/>
                <w:b/>
                <w:bCs/>
                <w:color w:val="FFFFFF"/>
                <w:sz w:val="16"/>
                <w:szCs w:val="16"/>
                <w:lang w:eastAsia="en-GB"/>
              </w:rPr>
              <w:t>3</w:t>
            </w:r>
          </w:p>
        </w:tc>
        <w:tc>
          <w:tcPr>
            <w:tcW w:w="897" w:type="dxa"/>
            <w:tcBorders>
              <w:top w:val="single" w:sz="12" w:space="0" w:color="5B9BD5"/>
              <w:left w:val="nil"/>
              <w:bottom w:val="single" w:sz="12" w:space="0" w:color="5B9BD5"/>
              <w:right w:val="nil"/>
            </w:tcBorders>
            <w:shd w:val="clear" w:color="000000" w:fill="1F4E78"/>
            <w:noWrap/>
            <w:vAlign w:val="center"/>
            <w:hideMark/>
          </w:tcPr>
          <w:p w14:paraId="256E68AC" w14:textId="77777777" w:rsidR="006568D5" w:rsidRPr="006568D5" w:rsidRDefault="006568D5" w:rsidP="006568D5">
            <w:pPr>
              <w:spacing w:after="0" w:line="240" w:lineRule="auto"/>
              <w:jc w:val="right"/>
              <w:rPr>
                <w:rFonts w:ascii="Trebuchet MS" w:eastAsia="Times New Roman" w:hAnsi="Trebuchet MS" w:cs="Calibri"/>
                <w:b/>
                <w:bCs/>
                <w:color w:val="FFFFFF"/>
                <w:sz w:val="16"/>
                <w:szCs w:val="16"/>
                <w:lang w:eastAsia="en-GB"/>
              </w:rPr>
            </w:pPr>
            <w:r w:rsidRPr="006568D5">
              <w:rPr>
                <w:rFonts w:ascii="Trebuchet MS" w:eastAsia="Times New Roman" w:hAnsi="Trebuchet MS" w:cs="Calibri"/>
                <w:b/>
                <w:bCs/>
                <w:color w:val="FFFFFF"/>
                <w:sz w:val="16"/>
                <w:szCs w:val="16"/>
                <w:lang w:eastAsia="en-GB"/>
              </w:rPr>
              <w:t>11.1%</w:t>
            </w:r>
          </w:p>
        </w:tc>
      </w:tr>
    </w:tbl>
    <w:p w14:paraId="4C39FBC3" w14:textId="2C1F3C0E" w:rsidR="00770829" w:rsidRPr="0035568A" w:rsidRDefault="001F4CB4" w:rsidP="00701378">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 xml:space="preserve">The </w:t>
      </w:r>
      <w:r w:rsidR="00882111" w:rsidRPr="0035568A">
        <w:rPr>
          <w:rFonts w:ascii="Arial" w:eastAsia="Calibri" w:hAnsi="Arial" w:cs="Arial"/>
          <w:sz w:val="23"/>
          <w:szCs w:val="23"/>
        </w:rPr>
        <w:t xml:space="preserve">above </w:t>
      </w:r>
      <w:r w:rsidRPr="0035568A">
        <w:rPr>
          <w:rFonts w:ascii="Arial" w:eastAsia="Calibri" w:hAnsi="Arial" w:cs="Arial"/>
          <w:sz w:val="23"/>
          <w:szCs w:val="23"/>
        </w:rPr>
        <w:t xml:space="preserve">table shows that the overall </w:t>
      </w:r>
      <w:r w:rsidR="007D26E5" w:rsidRPr="0035568A">
        <w:rPr>
          <w:rFonts w:ascii="Arial" w:eastAsia="Calibri" w:hAnsi="Arial" w:cs="Arial"/>
          <w:sz w:val="23"/>
          <w:szCs w:val="23"/>
        </w:rPr>
        <w:t xml:space="preserve">increase </w:t>
      </w:r>
      <w:r w:rsidRPr="0035568A">
        <w:rPr>
          <w:rFonts w:ascii="Arial" w:eastAsia="Calibri" w:hAnsi="Arial" w:cs="Arial"/>
          <w:sz w:val="23"/>
          <w:szCs w:val="23"/>
        </w:rPr>
        <w:t xml:space="preserve">was </w:t>
      </w:r>
      <w:r w:rsidR="00FF0F04" w:rsidRPr="0035568A">
        <w:rPr>
          <w:rFonts w:ascii="Arial" w:eastAsia="Calibri" w:hAnsi="Arial" w:cs="Arial"/>
          <w:sz w:val="23"/>
          <w:szCs w:val="23"/>
        </w:rPr>
        <w:t xml:space="preserve">mainly </w:t>
      </w:r>
      <w:r w:rsidR="007E4D84" w:rsidRPr="0035568A">
        <w:rPr>
          <w:rFonts w:ascii="Arial" w:eastAsia="Calibri" w:hAnsi="Arial" w:cs="Arial"/>
          <w:sz w:val="23"/>
          <w:szCs w:val="23"/>
        </w:rPr>
        <w:t>explained</w:t>
      </w:r>
      <w:r w:rsidR="00FF0F04" w:rsidRPr="0035568A">
        <w:rPr>
          <w:rFonts w:ascii="Arial" w:eastAsia="Calibri" w:hAnsi="Arial" w:cs="Arial"/>
          <w:sz w:val="23"/>
          <w:szCs w:val="23"/>
        </w:rPr>
        <w:t xml:space="preserve"> </w:t>
      </w:r>
      <w:r w:rsidR="007E4D84" w:rsidRPr="0035568A">
        <w:rPr>
          <w:rFonts w:ascii="Arial" w:eastAsia="Calibri" w:hAnsi="Arial" w:cs="Arial"/>
          <w:sz w:val="23"/>
          <w:szCs w:val="23"/>
        </w:rPr>
        <w:t>by</w:t>
      </w:r>
      <w:r w:rsidR="00FF0F04" w:rsidRPr="0035568A">
        <w:rPr>
          <w:rFonts w:ascii="Arial" w:eastAsia="Calibri" w:hAnsi="Arial" w:cs="Arial"/>
          <w:sz w:val="23"/>
          <w:szCs w:val="23"/>
        </w:rPr>
        <w:t xml:space="preserve"> </w:t>
      </w:r>
      <w:r w:rsidR="0013720D" w:rsidRPr="0035568A">
        <w:rPr>
          <w:rFonts w:ascii="Arial" w:eastAsia="Calibri" w:hAnsi="Arial" w:cs="Arial"/>
          <w:sz w:val="23"/>
          <w:szCs w:val="23"/>
        </w:rPr>
        <w:t>EPL that increased by £</w:t>
      </w:r>
      <w:r w:rsidR="00490AC6" w:rsidRPr="0035568A">
        <w:rPr>
          <w:rFonts w:ascii="Arial" w:eastAsia="Calibri" w:hAnsi="Arial" w:cs="Arial"/>
          <w:sz w:val="23"/>
          <w:szCs w:val="23"/>
        </w:rPr>
        <w:t>2</w:t>
      </w:r>
      <w:r w:rsidR="0013720D" w:rsidRPr="0035568A">
        <w:rPr>
          <w:rFonts w:ascii="Arial" w:eastAsia="Calibri" w:hAnsi="Arial" w:cs="Arial"/>
          <w:sz w:val="23"/>
          <w:szCs w:val="23"/>
        </w:rPr>
        <w:t>.</w:t>
      </w:r>
      <w:r w:rsidR="00D032D6" w:rsidRPr="0035568A">
        <w:rPr>
          <w:rFonts w:ascii="Arial" w:eastAsia="Calibri" w:hAnsi="Arial" w:cs="Arial"/>
          <w:sz w:val="23"/>
          <w:szCs w:val="23"/>
        </w:rPr>
        <w:t>2</w:t>
      </w:r>
      <w:r w:rsidR="00490AC6" w:rsidRPr="0035568A">
        <w:rPr>
          <w:rFonts w:ascii="Arial" w:eastAsia="Calibri" w:hAnsi="Arial" w:cs="Arial"/>
          <w:sz w:val="23"/>
          <w:szCs w:val="23"/>
        </w:rPr>
        <w:t xml:space="preserve"> </w:t>
      </w:r>
      <w:r w:rsidR="0013720D" w:rsidRPr="0035568A">
        <w:rPr>
          <w:rFonts w:ascii="Arial" w:eastAsia="Calibri" w:hAnsi="Arial" w:cs="Arial"/>
          <w:sz w:val="23"/>
          <w:szCs w:val="23"/>
        </w:rPr>
        <w:t xml:space="preserve">billion or </w:t>
      </w:r>
      <w:r w:rsidR="00D032D6" w:rsidRPr="0035568A">
        <w:rPr>
          <w:rFonts w:ascii="Arial" w:eastAsia="Calibri" w:hAnsi="Arial" w:cs="Arial"/>
          <w:sz w:val="23"/>
          <w:szCs w:val="23"/>
        </w:rPr>
        <w:t>121</w:t>
      </w:r>
      <w:r w:rsidR="0013720D" w:rsidRPr="0035568A">
        <w:rPr>
          <w:rFonts w:ascii="Arial" w:eastAsia="Calibri" w:hAnsi="Arial" w:cs="Arial"/>
          <w:sz w:val="23"/>
          <w:szCs w:val="23"/>
        </w:rPr>
        <w:t xml:space="preserve">% because of </w:t>
      </w:r>
      <w:r w:rsidR="00A92A6A" w:rsidRPr="0035568A">
        <w:rPr>
          <w:rFonts w:ascii="Arial" w:eastAsia="Calibri" w:hAnsi="Arial" w:cs="Arial"/>
          <w:sz w:val="23"/>
          <w:szCs w:val="23"/>
        </w:rPr>
        <w:t xml:space="preserve">the introduction of this tax in </w:t>
      </w:r>
      <w:r w:rsidR="00652014" w:rsidRPr="0035568A">
        <w:rPr>
          <w:rFonts w:ascii="Arial" w:eastAsia="Calibri" w:hAnsi="Arial" w:cs="Arial"/>
          <w:sz w:val="23"/>
          <w:szCs w:val="23"/>
        </w:rPr>
        <w:t>mid-2022</w:t>
      </w:r>
      <w:r w:rsidR="00103633" w:rsidRPr="0035568A">
        <w:rPr>
          <w:rFonts w:ascii="Arial" w:eastAsia="Calibri" w:hAnsi="Arial" w:cs="Arial"/>
          <w:sz w:val="23"/>
          <w:szCs w:val="23"/>
        </w:rPr>
        <w:t>.</w:t>
      </w:r>
    </w:p>
    <w:p w14:paraId="654592B5" w14:textId="422676BB" w:rsidR="001A5622" w:rsidRPr="0035568A" w:rsidRDefault="00046371" w:rsidP="00046371">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 xml:space="preserve">However, </w:t>
      </w:r>
      <w:r w:rsidR="00FF0F04" w:rsidRPr="0035568A">
        <w:rPr>
          <w:rFonts w:ascii="Arial" w:eastAsia="Calibri" w:hAnsi="Arial" w:cs="Arial"/>
          <w:sz w:val="23"/>
          <w:szCs w:val="23"/>
        </w:rPr>
        <w:t>RFCT</w:t>
      </w:r>
      <w:r w:rsidR="009D0E27" w:rsidRPr="0035568A">
        <w:rPr>
          <w:rFonts w:ascii="Arial" w:eastAsia="Calibri" w:hAnsi="Arial" w:cs="Arial"/>
          <w:sz w:val="23"/>
          <w:szCs w:val="23"/>
        </w:rPr>
        <w:t>/</w:t>
      </w:r>
      <w:r w:rsidR="00FF0F04" w:rsidRPr="0035568A">
        <w:rPr>
          <w:rFonts w:ascii="Arial" w:eastAsia="Calibri" w:hAnsi="Arial" w:cs="Arial"/>
          <w:sz w:val="23"/>
          <w:szCs w:val="23"/>
        </w:rPr>
        <w:t xml:space="preserve">SC </w:t>
      </w:r>
      <w:r w:rsidR="007544D5" w:rsidRPr="0035568A">
        <w:rPr>
          <w:rFonts w:ascii="Arial" w:eastAsia="Calibri" w:hAnsi="Arial" w:cs="Arial"/>
          <w:sz w:val="23"/>
          <w:szCs w:val="23"/>
        </w:rPr>
        <w:t xml:space="preserve">decreased </w:t>
      </w:r>
      <w:r w:rsidR="00FF0F04" w:rsidRPr="0035568A">
        <w:rPr>
          <w:rFonts w:ascii="Arial" w:eastAsia="Calibri" w:hAnsi="Arial" w:cs="Arial"/>
          <w:sz w:val="23"/>
          <w:szCs w:val="23"/>
        </w:rPr>
        <w:t>by £</w:t>
      </w:r>
      <w:r w:rsidR="007544D5" w:rsidRPr="0035568A">
        <w:rPr>
          <w:rFonts w:ascii="Arial" w:eastAsia="Calibri" w:hAnsi="Arial" w:cs="Arial"/>
          <w:sz w:val="23"/>
          <w:szCs w:val="23"/>
        </w:rPr>
        <w:t>1</w:t>
      </w:r>
      <w:r w:rsidR="00F43981" w:rsidRPr="0035568A">
        <w:rPr>
          <w:rFonts w:ascii="Arial" w:eastAsia="Calibri" w:hAnsi="Arial" w:cs="Arial"/>
          <w:sz w:val="23"/>
          <w:szCs w:val="23"/>
        </w:rPr>
        <w:t>.</w:t>
      </w:r>
      <w:r w:rsidR="00760F15" w:rsidRPr="0035568A">
        <w:rPr>
          <w:rFonts w:ascii="Arial" w:eastAsia="Calibri" w:hAnsi="Arial" w:cs="Arial"/>
          <w:sz w:val="23"/>
          <w:szCs w:val="23"/>
        </w:rPr>
        <w:t>5</w:t>
      </w:r>
      <w:r w:rsidR="00AC7A80" w:rsidRPr="0035568A">
        <w:rPr>
          <w:rFonts w:ascii="Arial" w:eastAsia="Calibri" w:hAnsi="Arial" w:cs="Arial"/>
          <w:sz w:val="23"/>
          <w:szCs w:val="23"/>
        </w:rPr>
        <w:t xml:space="preserve"> </w:t>
      </w:r>
      <w:r w:rsidR="00F8780C" w:rsidRPr="0035568A">
        <w:rPr>
          <w:rFonts w:ascii="Arial" w:eastAsia="Calibri" w:hAnsi="Arial" w:cs="Arial"/>
          <w:sz w:val="23"/>
          <w:szCs w:val="23"/>
        </w:rPr>
        <w:t>billion</w:t>
      </w:r>
      <w:r w:rsidR="00595836" w:rsidRPr="0035568A">
        <w:rPr>
          <w:rFonts w:ascii="Arial" w:eastAsia="Calibri" w:hAnsi="Arial" w:cs="Arial"/>
          <w:sz w:val="23"/>
          <w:szCs w:val="23"/>
        </w:rPr>
        <w:t xml:space="preserve"> </w:t>
      </w:r>
      <w:r w:rsidR="00FF0F04" w:rsidRPr="0035568A">
        <w:rPr>
          <w:rFonts w:ascii="Arial" w:eastAsia="Calibri" w:hAnsi="Arial" w:cs="Arial"/>
          <w:sz w:val="23"/>
          <w:szCs w:val="23"/>
        </w:rPr>
        <w:t>or</w:t>
      </w:r>
      <w:r w:rsidR="00071D4C" w:rsidRPr="0035568A">
        <w:rPr>
          <w:rFonts w:ascii="Arial" w:eastAsia="Calibri" w:hAnsi="Arial" w:cs="Arial"/>
          <w:sz w:val="23"/>
          <w:szCs w:val="23"/>
        </w:rPr>
        <w:t xml:space="preserve"> </w:t>
      </w:r>
      <w:r w:rsidR="0087783B" w:rsidRPr="0035568A">
        <w:rPr>
          <w:rFonts w:ascii="Arial" w:eastAsia="Calibri" w:hAnsi="Arial" w:cs="Arial"/>
          <w:sz w:val="23"/>
          <w:szCs w:val="23"/>
        </w:rPr>
        <w:t>28</w:t>
      </w:r>
      <w:r w:rsidR="00FF0F04" w:rsidRPr="0035568A">
        <w:rPr>
          <w:rFonts w:ascii="Arial" w:eastAsia="Calibri" w:hAnsi="Arial" w:cs="Arial"/>
          <w:sz w:val="23"/>
          <w:szCs w:val="23"/>
        </w:rPr>
        <w:t>%</w:t>
      </w:r>
      <w:r w:rsidR="00196760" w:rsidRPr="0035568A">
        <w:rPr>
          <w:rFonts w:ascii="Arial" w:eastAsia="Calibri" w:hAnsi="Arial" w:cs="Arial"/>
          <w:sz w:val="23"/>
          <w:szCs w:val="23"/>
        </w:rPr>
        <w:t xml:space="preserve"> </w:t>
      </w:r>
      <w:r w:rsidR="009853F8" w:rsidRPr="0035568A">
        <w:rPr>
          <w:rFonts w:ascii="Arial" w:eastAsia="Calibri" w:hAnsi="Arial" w:cs="Arial"/>
          <w:sz w:val="23"/>
          <w:szCs w:val="23"/>
        </w:rPr>
        <w:t>because of</w:t>
      </w:r>
      <w:r w:rsidR="00196760" w:rsidRPr="0035568A">
        <w:rPr>
          <w:rFonts w:ascii="Arial" w:eastAsia="Calibri" w:hAnsi="Arial" w:cs="Arial"/>
          <w:sz w:val="23"/>
          <w:szCs w:val="23"/>
        </w:rPr>
        <w:t xml:space="preserve"> the </w:t>
      </w:r>
      <w:r w:rsidR="00071D4C" w:rsidRPr="0035568A">
        <w:rPr>
          <w:rFonts w:ascii="Arial" w:eastAsia="Calibri" w:hAnsi="Arial" w:cs="Arial"/>
          <w:sz w:val="23"/>
          <w:szCs w:val="23"/>
        </w:rPr>
        <w:t xml:space="preserve">decrease </w:t>
      </w:r>
      <w:r w:rsidR="00196760" w:rsidRPr="0035568A">
        <w:rPr>
          <w:rFonts w:ascii="Arial" w:eastAsia="Calibri" w:hAnsi="Arial" w:cs="Arial"/>
          <w:sz w:val="23"/>
          <w:szCs w:val="23"/>
        </w:rPr>
        <w:t>in oil and gas prices</w:t>
      </w:r>
      <w:r w:rsidR="00271AD8" w:rsidRPr="0035568A">
        <w:rPr>
          <w:rFonts w:ascii="Arial" w:eastAsia="Calibri" w:hAnsi="Arial" w:cs="Arial"/>
          <w:sz w:val="23"/>
          <w:szCs w:val="23"/>
        </w:rPr>
        <w:t>.</w:t>
      </w:r>
    </w:p>
    <w:p w14:paraId="7292F2ED" w14:textId="367BC998" w:rsidR="00AD0866" w:rsidRPr="0035568A" w:rsidRDefault="001E0B8D" w:rsidP="00AF1B0E">
      <w:pPr>
        <w:spacing w:before="240" w:after="180" w:line="240" w:lineRule="auto"/>
        <w:jc w:val="both"/>
        <w:rPr>
          <w:rFonts w:ascii="Arial" w:eastAsia="Calibri" w:hAnsi="Arial" w:cs="Arial"/>
          <w:sz w:val="23"/>
          <w:szCs w:val="23"/>
        </w:rPr>
      </w:pPr>
      <w:r w:rsidRPr="0035568A">
        <w:rPr>
          <w:rFonts w:ascii="Arial" w:eastAsia="Calibri" w:hAnsi="Arial" w:cs="Arial"/>
          <w:sz w:val="23"/>
          <w:szCs w:val="23"/>
        </w:rPr>
        <w:t>Average</w:t>
      </w:r>
      <w:r w:rsidR="007F7C75" w:rsidRPr="0035568A">
        <w:rPr>
          <w:rFonts w:ascii="Arial" w:eastAsia="Calibri" w:hAnsi="Arial" w:cs="Arial"/>
          <w:sz w:val="23"/>
          <w:szCs w:val="23"/>
        </w:rPr>
        <w:t xml:space="preserve"> </w:t>
      </w:r>
      <w:r w:rsidR="00146320" w:rsidRPr="0035568A">
        <w:rPr>
          <w:rFonts w:ascii="Arial" w:eastAsia="Calibri" w:hAnsi="Arial" w:cs="Arial"/>
          <w:sz w:val="23"/>
          <w:szCs w:val="23"/>
        </w:rPr>
        <w:t xml:space="preserve">oil </w:t>
      </w:r>
      <w:r w:rsidRPr="0035568A">
        <w:rPr>
          <w:rFonts w:ascii="Arial" w:eastAsia="Calibri" w:hAnsi="Arial" w:cs="Arial"/>
          <w:sz w:val="23"/>
          <w:szCs w:val="23"/>
        </w:rPr>
        <w:t xml:space="preserve">prices </w:t>
      </w:r>
      <w:r w:rsidR="00560E28" w:rsidRPr="0035568A">
        <w:rPr>
          <w:rFonts w:ascii="Arial" w:eastAsia="Calibri" w:hAnsi="Arial" w:cs="Arial"/>
          <w:sz w:val="23"/>
          <w:szCs w:val="23"/>
        </w:rPr>
        <w:t xml:space="preserve">received by UK producers </w:t>
      </w:r>
      <w:r w:rsidRPr="0035568A">
        <w:rPr>
          <w:rFonts w:ascii="Arial" w:eastAsia="Calibri" w:hAnsi="Arial" w:cs="Arial"/>
          <w:sz w:val="23"/>
          <w:szCs w:val="23"/>
        </w:rPr>
        <w:t xml:space="preserve">were approximately </w:t>
      </w:r>
      <w:r w:rsidR="00AA654B" w:rsidRPr="0035568A">
        <w:rPr>
          <w:rFonts w:ascii="Arial" w:eastAsia="Calibri" w:hAnsi="Arial" w:cs="Arial"/>
          <w:sz w:val="23"/>
          <w:szCs w:val="23"/>
        </w:rPr>
        <w:t>£</w:t>
      </w:r>
      <w:r w:rsidR="00113860" w:rsidRPr="0035568A">
        <w:rPr>
          <w:rFonts w:ascii="Arial" w:eastAsia="Calibri" w:hAnsi="Arial" w:cs="Arial"/>
          <w:sz w:val="23"/>
          <w:szCs w:val="23"/>
        </w:rPr>
        <w:t>81</w:t>
      </w:r>
      <w:r w:rsidR="005116D8" w:rsidRPr="0035568A">
        <w:rPr>
          <w:rFonts w:ascii="Arial" w:eastAsia="Calibri" w:hAnsi="Arial" w:cs="Arial"/>
          <w:sz w:val="23"/>
          <w:szCs w:val="23"/>
        </w:rPr>
        <w:t>/barrel (</w:t>
      </w:r>
      <w:proofErr w:type="spellStart"/>
      <w:r w:rsidR="005116D8" w:rsidRPr="0035568A">
        <w:rPr>
          <w:rFonts w:ascii="Arial" w:eastAsia="Calibri" w:hAnsi="Arial" w:cs="Arial"/>
          <w:sz w:val="23"/>
          <w:szCs w:val="23"/>
        </w:rPr>
        <w:t>bbl</w:t>
      </w:r>
      <w:proofErr w:type="spellEnd"/>
      <w:r w:rsidR="005116D8" w:rsidRPr="0035568A">
        <w:rPr>
          <w:rFonts w:ascii="Arial" w:eastAsia="Calibri" w:hAnsi="Arial" w:cs="Arial"/>
          <w:sz w:val="23"/>
          <w:szCs w:val="23"/>
        </w:rPr>
        <w:t xml:space="preserve">) </w:t>
      </w:r>
      <w:r w:rsidRPr="0035568A">
        <w:rPr>
          <w:rFonts w:ascii="Arial" w:eastAsia="Calibri" w:hAnsi="Arial" w:cs="Arial"/>
          <w:sz w:val="23"/>
          <w:szCs w:val="23"/>
        </w:rPr>
        <w:t xml:space="preserve">in </w:t>
      </w:r>
      <w:r w:rsidR="00352C29" w:rsidRPr="0035568A">
        <w:rPr>
          <w:rFonts w:ascii="Arial" w:eastAsia="Calibri" w:hAnsi="Arial" w:cs="Arial"/>
          <w:sz w:val="23"/>
          <w:szCs w:val="23"/>
        </w:rPr>
        <w:t>202</w:t>
      </w:r>
      <w:r w:rsidR="00113860" w:rsidRPr="0035568A">
        <w:rPr>
          <w:rFonts w:ascii="Arial" w:eastAsia="Calibri" w:hAnsi="Arial" w:cs="Arial"/>
          <w:sz w:val="23"/>
          <w:szCs w:val="23"/>
        </w:rPr>
        <w:t>2</w:t>
      </w:r>
      <w:r w:rsidR="00352C29" w:rsidRPr="0035568A">
        <w:rPr>
          <w:rFonts w:ascii="Arial" w:eastAsia="Calibri" w:hAnsi="Arial" w:cs="Arial"/>
          <w:sz w:val="23"/>
          <w:szCs w:val="23"/>
        </w:rPr>
        <w:t xml:space="preserve"> </w:t>
      </w:r>
      <w:r w:rsidRPr="0035568A">
        <w:rPr>
          <w:rFonts w:ascii="Arial" w:eastAsia="Calibri" w:hAnsi="Arial" w:cs="Arial"/>
          <w:sz w:val="23"/>
          <w:szCs w:val="23"/>
        </w:rPr>
        <w:t xml:space="preserve">and </w:t>
      </w:r>
      <w:r w:rsidR="00AA654B" w:rsidRPr="0035568A">
        <w:rPr>
          <w:rFonts w:ascii="Arial" w:eastAsia="Calibri" w:hAnsi="Arial" w:cs="Arial"/>
          <w:sz w:val="23"/>
          <w:szCs w:val="23"/>
        </w:rPr>
        <w:t>£</w:t>
      </w:r>
      <w:r w:rsidR="00552BB1" w:rsidRPr="0035568A">
        <w:rPr>
          <w:rFonts w:ascii="Arial" w:eastAsia="Calibri" w:hAnsi="Arial" w:cs="Arial"/>
          <w:sz w:val="23"/>
          <w:szCs w:val="23"/>
        </w:rPr>
        <w:t>65</w:t>
      </w:r>
      <w:r w:rsidRPr="0035568A">
        <w:rPr>
          <w:rFonts w:ascii="Arial" w:eastAsia="Calibri" w:hAnsi="Arial" w:cs="Arial"/>
          <w:sz w:val="23"/>
          <w:szCs w:val="23"/>
        </w:rPr>
        <w:t>/</w:t>
      </w:r>
      <w:proofErr w:type="spellStart"/>
      <w:r w:rsidRPr="0035568A">
        <w:rPr>
          <w:rFonts w:ascii="Arial" w:eastAsia="Calibri" w:hAnsi="Arial" w:cs="Arial"/>
          <w:sz w:val="23"/>
          <w:szCs w:val="23"/>
        </w:rPr>
        <w:t>bbl</w:t>
      </w:r>
      <w:proofErr w:type="spellEnd"/>
      <w:r w:rsidRPr="0035568A">
        <w:rPr>
          <w:rFonts w:ascii="Arial" w:eastAsia="Calibri" w:hAnsi="Arial" w:cs="Arial"/>
          <w:sz w:val="23"/>
          <w:szCs w:val="23"/>
        </w:rPr>
        <w:t xml:space="preserve"> in </w:t>
      </w:r>
      <w:r w:rsidR="00F747F7" w:rsidRPr="0035568A">
        <w:rPr>
          <w:rFonts w:ascii="Arial" w:eastAsia="Calibri" w:hAnsi="Arial" w:cs="Arial"/>
          <w:sz w:val="23"/>
          <w:szCs w:val="23"/>
        </w:rPr>
        <w:t>202</w:t>
      </w:r>
      <w:r w:rsidR="00113860" w:rsidRPr="0035568A">
        <w:rPr>
          <w:rFonts w:ascii="Arial" w:eastAsia="Calibri" w:hAnsi="Arial" w:cs="Arial"/>
          <w:sz w:val="23"/>
          <w:szCs w:val="23"/>
        </w:rPr>
        <w:t>3</w:t>
      </w:r>
      <w:r w:rsidRPr="0035568A">
        <w:rPr>
          <w:rFonts w:ascii="Arial" w:eastAsia="Calibri" w:hAnsi="Arial" w:cs="Arial"/>
          <w:sz w:val="23"/>
          <w:szCs w:val="23"/>
        </w:rPr>
        <w:t xml:space="preserve">, </w:t>
      </w:r>
      <w:r w:rsidR="00F83454" w:rsidRPr="0035568A">
        <w:rPr>
          <w:rFonts w:ascii="Arial" w:eastAsia="Calibri" w:hAnsi="Arial" w:cs="Arial"/>
          <w:sz w:val="23"/>
          <w:szCs w:val="23"/>
        </w:rPr>
        <w:t xml:space="preserve">representing </w:t>
      </w:r>
      <w:r w:rsidRPr="0035568A">
        <w:rPr>
          <w:rFonts w:ascii="Arial" w:eastAsia="Calibri" w:hAnsi="Arial" w:cs="Arial"/>
          <w:sz w:val="23"/>
          <w:szCs w:val="23"/>
        </w:rPr>
        <w:t xml:space="preserve">a </w:t>
      </w:r>
      <w:r w:rsidR="00F804C1" w:rsidRPr="0035568A">
        <w:rPr>
          <w:rFonts w:ascii="Arial" w:eastAsia="Calibri" w:hAnsi="Arial" w:cs="Arial"/>
          <w:sz w:val="23"/>
          <w:szCs w:val="23"/>
        </w:rPr>
        <w:t xml:space="preserve">decrease </w:t>
      </w:r>
      <w:r w:rsidRPr="0035568A">
        <w:rPr>
          <w:rFonts w:ascii="Arial" w:eastAsia="Calibri" w:hAnsi="Arial" w:cs="Arial"/>
          <w:sz w:val="23"/>
          <w:szCs w:val="23"/>
        </w:rPr>
        <w:t>of</w:t>
      </w:r>
      <w:r w:rsidR="005116D8" w:rsidRPr="0035568A">
        <w:rPr>
          <w:rFonts w:ascii="Arial" w:eastAsia="Calibri" w:hAnsi="Arial" w:cs="Arial"/>
          <w:sz w:val="23"/>
          <w:szCs w:val="23"/>
        </w:rPr>
        <w:t xml:space="preserve"> </w:t>
      </w:r>
      <w:r w:rsidR="002A37DA" w:rsidRPr="0035568A">
        <w:rPr>
          <w:rFonts w:ascii="Arial" w:eastAsia="Calibri" w:hAnsi="Arial" w:cs="Arial"/>
          <w:sz w:val="23"/>
          <w:szCs w:val="23"/>
        </w:rPr>
        <w:t>20</w:t>
      </w:r>
      <w:r w:rsidR="005116D8" w:rsidRPr="0035568A">
        <w:rPr>
          <w:rFonts w:ascii="Arial" w:eastAsia="Calibri" w:hAnsi="Arial" w:cs="Arial"/>
          <w:sz w:val="23"/>
          <w:szCs w:val="23"/>
        </w:rPr>
        <w:t>%</w:t>
      </w:r>
      <w:r w:rsidRPr="0035568A">
        <w:rPr>
          <w:rFonts w:ascii="Arial" w:eastAsia="Calibri" w:hAnsi="Arial" w:cs="Arial"/>
          <w:sz w:val="23"/>
          <w:szCs w:val="23"/>
        </w:rPr>
        <w:t xml:space="preserve">. </w:t>
      </w:r>
      <w:r w:rsidR="00AF1B0E" w:rsidRPr="0035568A">
        <w:rPr>
          <w:rFonts w:ascii="Arial" w:eastAsia="Calibri" w:hAnsi="Arial" w:cs="Arial"/>
          <w:sz w:val="23"/>
          <w:szCs w:val="23"/>
        </w:rPr>
        <w:t>Crude oil prices fell as global markets adjusted to the new trade dynamics, Russian crude oil found destinations outside the EU and global crude oil demand was lower than expected. These dynamics offset the impact of OPEC+ crude supply restrictions.</w:t>
      </w:r>
    </w:p>
    <w:p w14:paraId="09F7F053" w14:textId="2BBC0073" w:rsidR="009117B7" w:rsidRPr="0035568A" w:rsidRDefault="00556D44" w:rsidP="006E5095">
      <w:pPr>
        <w:spacing w:before="240" w:after="180" w:line="240" w:lineRule="auto"/>
        <w:jc w:val="both"/>
        <w:rPr>
          <w:rFonts w:ascii="Arial" w:eastAsia="Calibri" w:hAnsi="Arial" w:cs="Arial"/>
          <w:sz w:val="23"/>
          <w:szCs w:val="23"/>
        </w:rPr>
      </w:pPr>
      <w:r w:rsidRPr="0035568A">
        <w:rPr>
          <w:rFonts w:ascii="Arial" w:eastAsia="Calibri" w:hAnsi="Arial" w:cs="Arial"/>
          <w:sz w:val="23"/>
          <w:szCs w:val="23"/>
        </w:rPr>
        <w:t xml:space="preserve">The same applies for </w:t>
      </w:r>
      <w:r w:rsidR="00FE0F5F" w:rsidRPr="0035568A">
        <w:rPr>
          <w:rFonts w:ascii="Arial" w:eastAsia="Calibri" w:hAnsi="Arial" w:cs="Arial"/>
          <w:sz w:val="23"/>
          <w:szCs w:val="23"/>
        </w:rPr>
        <w:t>g</w:t>
      </w:r>
      <w:r w:rsidRPr="0035568A">
        <w:rPr>
          <w:rFonts w:ascii="Arial" w:eastAsia="Calibri" w:hAnsi="Arial" w:cs="Arial"/>
          <w:sz w:val="23"/>
          <w:szCs w:val="23"/>
        </w:rPr>
        <w:t xml:space="preserve">as where the average prices </w:t>
      </w:r>
      <w:r w:rsidR="00A02FC7" w:rsidRPr="0035568A">
        <w:rPr>
          <w:rFonts w:ascii="Arial" w:eastAsia="Calibri" w:hAnsi="Arial" w:cs="Arial"/>
          <w:sz w:val="23"/>
          <w:szCs w:val="23"/>
        </w:rPr>
        <w:t xml:space="preserve">received by UK producers </w:t>
      </w:r>
      <w:r w:rsidRPr="0035568A">
        <w:rPr>
          <w:rFonts w:ascii="Arial" w:eastAsia="Calibri" w:hAnsi="Arial" w:cs="Arial"/>
          <w:sz w:val="23"/>
          <w:szCs w:val="23"/>
        </w:rPr>
        <w:t xml:space="preserve">were </w:t>
      </w:r>
      <w:r w:rsidR="00ED4AC3" w:rsidRPr="0035568A">
        <w:rPr>
          <w:rFonts w:ascii="Arial" w:eastAsia="Calibri" w:hAnsi="Arial" w:cs="Arial"/>
          <w:sz w:val="23"/>
          <w:szCs w:val="23"/>
        </w:rPr>
        <w:t>194</w:t>
      </w:r>
      <w:r w:rsidR="00CF21E9" w:rsidRPr="0035568A">
        <w:rPr>
          <w:b/>
          <w:bCs/>
          <w:iCs/>
          <w:sz w:val="24"/>
          <w:szCs w:val="24"/>
        </w:rPr>
        <w:t> </w:t>
      </w:r>
      <w:r w:rsidR="006A7229" w:rsidRPr="0035568A">
        <w:rPr>
          <w:rFonts w:ascii="Arial" w:eastAsia="Calibri" w:hAnsi="Arial" w:cs="Arial"/>
          <w:sz w:val="23"/>
          <w:szCs w:val="23"/>
        </w:rPr>
        <w:t>p/</w:t>
      </w:r>
      <w:proofErr w:type="spellStart"/>
      <w:r w:rsidR="006A7229" w:rsidRPr="0035568A">
        <w:rPr>
          <w:rFonts w:ascii="Arial" w:eastAsia="Calibri" w:hAnsi="Arial" w:cs="Arial"/>
          <w:sz w:val="23"/>
          <w:szCs w:val="23"/>
        </w:rPr>
        <w:t>therm</w:t>
      </w:r>
      <w:proofErr w:type="spellEnd"/>
      <w:r w:rsidR="006A7229" w:rsidRPr="0035568A">
        <w:rPr>
          <w:rFonts w:ascii="Arial" w:eastAsia="Calibri" w:hAnsi="Arial" w:cs="Arial"/>
          <w:sz w:val="23"/>
          <w:szCs w:val="23"/>
        </w:rPr>
        <w:t xml:space="preserve"> </w:t>
      </w:r>
      <w:r w:rsidRPr="0035568A">
        <w:rPr>
          <w:rFonts w:ascii="Arial" w:eastAsia="Calibri" w:hAnsi="Arial" w:cs="Arial"/>
          <w:sz w:val="23"/>
          <w:szCs w:val="23"/>
        </w:rPr>
        <w:t>in 202</w:t>
      </w:r>
      <w:r w:rsidR="00113860" w:rsidRPr="0035568A">
        <w:rPr>
          <w:rFonts w:ascii="Arial" w:eastAsia="Calibri" w:hAnsi="Arial" w:cs="Arial"/>
          <w:sz w:val="23"/>
          <w:szCs w:val="23"/>
        </w:rPr>
        <w:t>2</w:t>
      </w:r>
      <w:r w:rsidRPr="0035568A">
        <w:rPr>
          <w:rFonts w:ascii="Arial" w:eastAsia="Calibri" w:hAnsi="Arial" w:cs="Arial"/>
          <w:sz w:val="23"/>
          <w:szCs w:val="23"/>
        </w:rPr>
        <w:t xml:space="preserve"> and </w:t>
      </w:r>
      <w:r w:rsidR="009160FB" w:rsidRPr="0035568A">
        <w:rPr>
          <w:rFonts w:ascii="Arial" w:eastAsia="Calibri" w:hAnsi="Arial" w:cs="Arial"/>
          <w:sz w:val="23"/>
          <w:szCs w:val="23"/>
        </w:rPr>
        <w:t>99</w:t>
      </w:r>
      <w:r w:rsidR="00794FE1" w:rsidRPr="0035568A">
        <w:rPr>
          <w:b/>
          <w:bCs/>
          <w:iCs/>
          <w:sz w:val="24"/>
          <w:szCs w:val="24"/>
        </w:rPr>
        <w:t> </w:t>
      </w:r>
      <w:r w:rsidR="006A7229" w:rsidRPr="0035568A">
        <w:rPr>
          <w:rFonts w:ascii="Arial" w:eastAsia="Calibri" w:hAnsi="Arial" w:cs="Arial"/>
          <w:sz w:val="23"/>
          <w:szCs w:val="23"/>
        </w:rPr>
        <w:t>p/</w:t>
      </w:r>
      <w:proofErr w:type="spellStart"/>
      <w:r w:rsidR="006A7229" w:rsidRPr="0035568A">
        <w:rPr>
          <w:rFonts w:ascii="Arial" w:eastAsia="Calibri" w:hAnsi="Arial" w:cs="Arial"/>
          <w:sz w:val="23"/>
          <w:szCs w:val="23"/>
        </w:rPr>
        <w:t>therm</w:t>
      </w:r>
      <w:proofErr w:type="spellEnd"/>
      <w:r w:rsidR="006A7229" w:rsidRPr="0035568A">
        <w:rPr>
          <w:rFonts w:ascii="Arial" w:eastAsia="Calibri" w:hAnsi="Arial" w:cs="Arial"/>
          <w:sz w:val="23"/>
          <w:szCs w:val="23"/>
        </w:rPr>
        <w:t xml:space="preserve"> </w:t>
      </w:r>
      <w:r w:rsidRPr="0035568A">
        <w:rPr>
          <w:rFonts w:ascii="Arial" w:eastAsia="Calibri" w:hAnsi="Arial" w:cs="Arial"/>
          <w:sz w:val="23"/>
          <w:szCs w:val="23"/>
        </w:rPr>
        <w:t>in 202</w:t>
      </w:r>
      <w:r w:rsidR="009160FB" w:rsidRPr="0035568A">
        <w:rPr>
          <w:rFonts w:ascii="Arial" w:eastAsia="Calibri" w:hAnsi="Arial" w:cs="Arial"/>
          <w:sz w:val="23"/>
          <w:szCs w:val="23"/>
        </w:rPr>
        <w:t>3</w:t>
      </w:r>
      <w:r w:rsidRPr="0035568A">
        <w:rPr>
          <w:rFonts w:ascii="Arial" w:eastAsia="Calibri" w:hAnsi="Arial" w:cs="Arial"/>
          <w:sz w:val="23"/>
          <w:szCs w:val="23"/>
        </w:rPr>
        <w:t xml:space="preserve"> representing a</w:t>
      </w:r>
      <w:r w:rsidR="00794FE1" w:rsidRPr="0035568A">
        <w:rPr>
          <w:rFonts w:ascii="Arial" w:eastAsia="Calibri" w:hAnsi="Arial" w:cs="Arial"/>
          <w:sz w:val="23"/>
          <w:szCs w:val="23"/>
        </w:rPr>
        <w:t xml:space="preserve"> decrease </w:t>
      </w:r>
      <w:r w:rsidRPr="0035568A">
        <w:rPr>
          <w:rFonts w:ascii="Arial" w:eastAsia="Calibri" w:hAnsi="Arial" w:cs="Arial"/>
          <w:sz w:val="23"/>
          <w:szCs w:val="23"/>
        </w:rPr>
        <w:t>of</w:t>
      </w:r>
      <w:r w:rsidR="006A7229" w:rsidRPr="0035568A">
        <w:rPr>
          <w:rFonts w:ascii="Arial" w:eastAsia="Calibri" w:hAnsi="Arial" w:cs="Arial"/>
          <w:sz w:val="23"/>
          <w:szCs w:val="23"/>
        </w:rPr>
        <w:t xml:space="preserve"> </w:t>
      </w:r>
      <w:r w:rsidR="00E17043" w:rsidRPr="0035568A">
        <w:rPr>
          <w:rFonts w:ascii="Arial" w:eastAsia="Calibri" w:hAnsi="Arial" w:cs="Arial"/>
          <w:sz w:val="23"/>
          <w:szCs w:val="23"/>
        </w:rPr>
        <w:t>49</w:t>
      </w:r>
      <w:r w:rsidRPr="0035568A">
        <w:rPr>
          <w:rFonts w:ascii="Arial" w:eastAsia="Calibri" w:hAnsi="Arial" w:cs="Arial"/>
          <w:sz w:val="23"/>
          <w:szCs w:val="23"/>
        </w:rPr>
        <w:t>%.</w:t>
      </w:r>
      <w:r w:rsidR="009117B7" w:rsidRPr="0035568A">
        <w:rPr>
          <w:rFonts w:ascii="Arial" w:eastAsia="Calibri" w:hAnsi="Arial" w:cs="Arial"/>
          <w:sz w:val="23"/>
          <w:szCs w:val="23"/>
        </w:rPr>
        <w:br w:type="page"/>
      </w:r>
    </w:p>
    <w:p w14:paraId="0033FB22" w14:textId="1A444BCB" w:rsidR="00022E0E" w:rsidRPr="0035568A" w:rsidRDefault="009C13B4" w:rsidP="001E36F1">
      <w:pPr>
        <w:pStyle w:val="Heading1"/>
        <w:numPr>
          <w:ilvl w:val="0"/>
          <w:numId w:val="30"/>
        </w:numPr>
        <w:spacing w:after="180"/>
        <w:ind w:left="357" w:hanging="357"/>
        <w:rPr>
          <w:rFonts w:asciiTheme="minorBidi" w:hAnsiTheme="minorBidi" w:cstheme="minorBidi"/>
          <w:b/>
          <w:bCs/>
          <w:color w:val="244061" w:themeColor="accent1" w:themeShade="80"/>
          <w:sz w:val="30"/>
          <w:szCs w:val="30"/>
        </w:rPr>
      </w:pPr>
      <w:bookmarkStart w:id="58" w:name="_Toc173219588"/>
      <w:bookmarkStart w:id="59" w:name="_Toc173219589"/>
      <w:bookmarkStart w:id="60" w:name="_Toc173219590"/>
      <w:bookmarkStart w:id="61" w:name="_Toc173219621"/>
      <w:bookmarkStart w:id="62" w:name="_Toc173219622"/>
      <w:bookmarkStart w:id="63" w:name="_Toc173219623"/>
      <w:bookmarkStart w:id="64" w:name="_Toc173219624"/>
      <w:bookmarkStart w:id="65" w:name="_Toc173219625"/>
      <w:bookmarkStart w:id="66" w:name="_Toc173219626"/>
      <w:bookmarkStart w:id="67" w:name="_Toc173219627"/>
      <w:bookmarkStart w:id="68" w:name="_Toc183079154"/>
      <w:bookmarkEnd w:id="58"/>
      <w:bookmarkEnd w:id="59"/>
      <w:bookmarkEnd w:id="60"/>
      <w:bookmarkEnd w:id="61"/>
      <w:bookmarkEnd w:id="62"/>
      <w:bookmarkEnd w:id="63"/>
      <w:bookmarkEnd w:id="64"/>
      <w:bookmarkEnd w:id="65"/>
      <w:bookmarkEnd w:id="66"/>
      <w:bookmarkEnd w:id="67"/>
      <w:r w:rsidRPr="0035568A">
        <w:rPr>
          <w:rFonts w:asciiTheme="minorBidi" w:hAnsiTheme="minorBidi" w:cstheme="minorBidi"/>
          <w:b/>
          <w:bCs/>
          <w:color w:val="244061" w:themeColor="accent1" w:themeShade="80"/>
          <w:sz w:val="30"/>
          <w:szCs w:val="30"/>
        </w:rPr>
        <w:t>B</w:t>
      </w:r>
      <w:r w:rsidR="008E295A" w:rsidRPr="0035568A">
        <w:rPr>
          <w:rFonts w:asciiTheme="minorBidi" w:hAnsiTheme="minorBidi" w:cstheme="minorBidi"/>
          <w:b/>
          <w:bCs/>
          <w:color w:val="244061" w:themeColor="accent1" w:themeShade="80"/>
          <w:sz w:val="30"/>
          <w:szCs w:val="30"/>
        </w:rPr>
        <w:t>eneficial Ownership</w:t>
      </w:r>
      <w:bookmarkEnd w:id="68"/>
    </w:p>
    <w:p w14:paraId="6535EA31" w14:textId="55656A9A" w:rsidR="00022E0E" w:rsidRPr="0035568A" w:rsidRDefault="00022E0E" w:rsidP="001E36F1">
      <w:pPr>
        <w:spacing w:after="180" w:line="240" w:lineRule="auto"/>
        <w:jc w:val="both"/>
        <w:rPr>
          <w:rFonts w:ascii="Arial" w:eastAsia="Calibri" w:hAnsi="Arial" w:cs="Arial"/>
          <w:sz w:val="23"/>
          <w:szCs w:val="23"/>
        </w:rPr>
      </w:pPr>
      <w:bookmarkStart w:id="69" w:name="_Hlk536616533"/>
      <w:r w:rsidRPr="0035568A">
        <w:rPr>
          <w:rFonts w:ascii="Arial" w:eastAsia="Calibri" w:hAnsi="Arial" w:cs="Arial"/>
          <w:sz w:val="23"/>
          <w:szCs w:val="23"/>
        </w:rPr>
        <w:t>As part of EITI reporting, companies are asked to disclose their beneficial owners</w:t>
      </w:r>
      <w:r w:rsidR="00B63D07" w:rsidRPr="0035568A">
        <w:rPr>
          <w:rFonts w:ascii="Arial" w:eastAsia="Calibri" w:hAnsi="Arial" w:cs="Arial"/>
          <w:sz w:val="23"/>
          <w:szCs w:val="23"/>
        </w:rPr>
        <w:t>; that is</w:t>
      </w:r>
      <w:r w:rsidR="0093596C" w:rsidRPr="0035568A">
        <w:rPr>
          <w:rFonts w:ascii="Arial" w:eastAsia="Calibri" w:hAnsi="Arial" w:cs="Arial"/>
          <w:sz w:val="23"/>
          <w:szCs w:val="23"/>
        </w:rPr>
        <w:t>,</w:t>
      </w:r>
      <w:r w:rsidRPr="0035568A">
        <w:rPr>
          <w:rFonts w:ascii="Arial" w:eastAsia="Calibri" w:hAnsi="Arial" w:cs="Arial"/>
          <w:sz w:val="23"/>
          <w:szCs w:val="23"/>
        </w:rPr>
        <w:t xml:space="preserve"> information on the people who ultimately own and control each company.</w:t>
      </w:r>
    </w:p>
    <w:p w14:paraId="60664566" w14:textId="62361A15" w:rsidR="00022E0E" w:rsidRPr="0035568A" w:rsidRDefault="00022E0E"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 xml:space="preserve">Most UK-registered companies are required to submit information on people with significant control (PSC) to </w:t>
      </w:r>
      <w:hyperlink r:id="rId22" w:history="1">
        <w:r w:rsidRPr="0035568A">
          <w:rPr>
            <w:rFonts w:ascii="Arial" w:eastAsia="Calibri" w:hAnsi="Arial" w:cs="Arial"/>
            <w:sz w:val="23"/>
            <w:szCs w:val="23"/>
          </w:rPr>
          <w:t>Companies House</w:t>
        </w:r>
      </w:hyperlink>
      <w:r w:rsidRPr="0035568A">
        <w:rPr>
          <w:rFonts w:ascii="Arial" w:eastAsia="Calibri" w:hAnsi="Arial" w:cs="Arial"/>
          <w:sz w:val="23"/>
          <w:szCs w:val="23"/>
        </w:rPr>
        <w:t xml:space="preserve">. </w:t>
      </w:r>
      <w:r w:rsidR="00A32F92" w:rsidRPr="0035568A">
        <w:rPr>
          <w:rFonts w:ascii="Arial" w:eastAsia="Calibri" w:hAnsi="Arial" w:cs="Arial"/>
          <w:sz w:val="23"/>
          <w:szCs w:val="23"/>
        </w:rPr>
        <w:t>Publicly listed</w:t>
      </w:r>
      <w:r w:rsidRPr="0035568A">
        <w:rPr>
          <w:rFonts w:ascii="Arial" w:eastAsia="Calibri" w:hAnsi="Arial" w:cs="Arial"/>
          <w:sz w:val="23"/>
          <w:szCs w:val="23"/>
        </w:rPr>
        <w:t xml:space="preserve"> companies are exempt from PSC requirements </w:t>
      </w:r>
      <w:r w:rsidR="003955F4" w:rsidRPr="0035568A">
        <w:rPr>
          <w:rFonts w:ascii="Arial" w:eastAsia="Calibri" w:hAnsi="Arial" w:cs="Arial"/>
          <w:sz w:val="23"/>
          <w:szCs w:val="23"/>
        </w:rPr>
        <w:t>since</w:t>
      </w:r>
      <w:r w:rsidRPr="0035568A">
        <w:rPr>
          <w:rFonts w:ascii="Arial" w:eastAsia="Calibri" w:hAnsi="Arial" w:cs="Arial"/>
          <w:sz w:val="23"/>
          <w:szCs w:val="23"/>
        </w:rPr>
        <w:t xml:space="preserve"> they already provide beneficial ownership</w:t>
      </w:r>
      <w:r w:rsidR="00F44B26" w:rsidRPr="0035568A">
        <w:rPr>
          <w:rFonts w:ascii="Arial" w:eastAsia="Calibri" w:hAnsi="Arial" w:cs="Arial"/>
          <w:sz w:val="23"/>
          <w:szCs w:val="23"/>
        </w:rPr>
        <w:t xml:space="preserve"> (BO)</w:t>
      </w:r>
      <w:r w:rsidRPr="0035568A">
        <w:rPr>
          <w:rFonts w:ascii="Arial" w:eastAsia="Calibri" w:hAnsi="Arial" w:cs="Arial"/>
          <w:sz w:val="23"/>
          <w:szCs w:val="23"/>
        </w:rPr>
        <w:t xml:space="preserve"> information under stock exchange requirements. Therefore, </w:t>
      </w:r>
      <w:proofErr w:type="gramStart"/>
      <w:r w:rsidRPr="0035568A">
        <w:rPr>
          <w:rFonts w:ascii="Arial" w:eastAsia="Calibri" w:hAnsi="Arial" w:cs="Arial"/>
          <w:sz w:val="23"/>
          <w:szCs w:val="23"/>
        </w:rPr>
        <w:t>in order to</w:t>
      </w:r>
      <w:proofErr w:type="gramEnd"/>
      <w:r w:rsidRPr="0035568A">
        <w:rPr>
          <w:rFonts w:ascii="Arial" w:eastAsia="Calibri" w:hAnsi="Arial" w:cs="Arial"/>
          <w:sz w:val="23"/>
          <w:szCs w:val="23"/>
        </w:rPr>
        <w:t xml:space="preserve"> disclose their </w:t>
      </w:r>
      <w:r w:rsidR="00F44B26" w:rsidRPr="0035568A">
        <w:rPr>
          <w:rFonts w:ascii="Arial" w:eastAsia="Calibri" w:hAnsi="Arial" w:cs="Arial"/>
          <w:sz w:val="23"/>
          <w:szCs w:val="23"/>
        </w:rPr>
        <w:t>BO</w:t>
      </w:r>
      <w:r w:rsidRPr="0035568A">
        <w:rPr>
          <w:rFonts w:ascii="Arial" w:eastAsia="Calibri" w:hAnsi="Arial" w:cs="Arial"/>
          <w:sz w:val="23"/>
          <w:szCs w:val="23"/>
        </w:rPr>
        <w:t xml:space="preserve"> information for EITI reporting, UK-registered companies need only </w:t>
      </w:r>
      <w:r w:rsidR="00FF3DFD" w:rsidRPr="0035568A">
        <w:rPr>
          <w:rFonts w:ascii="Arial" w:eastAsia="Calibri" w:hAnsi="Arial" w:cs="Arial"/>
          <w:sz w:val="23"/>
          <w:szCs w:val="23"/>
        </w:rPr>
        <w:t xml:space="preserve">to </w:t>
      </w:r>
      <w:r w:rsidRPr="0035568A">
        <w:rPr>
          <w:rFonts w:ascii="Arial" w:eastAsia="Calibri" w:hAnsi="Arial" w:cs="Arial"/>
          <w:sz w:val="23"/>
          <w:szCs w:val="23"/>
        </w:rPr>
        <w:t>confirm their filing</w:t>
      </w:r>
      <w:r w:rsidR="00FF3DFD" w:rsidRPr="0035568A">
        <w:rPr>
          <w:rFonts w:ascii="Arial" w:eastAsia="Calibri" w:hAnsi="Arial" w:cs="Arial"/>
          <w:sz w:val="23"/>
          <w:szCs w:val="23"/>
        </w:rPr>
        <w:t>s</w:t>
      </w:r>
      <w:r w:rsidRPr="0035568A">
        <w:rPr>
          <w:rFonts w:ascii="Arial" w:eastAsia="Calibri" w:hAnsi="Arial" w:cs="Arial"/>
          <w:sz w:val="23"/>
          <w:szCs w:val="23"/>
        </w:rPr>
        <w:t xml:space="preserve"> and provide the link to the relevant page at Companies House in their EITI </w:t>
      </w:r>
      <w:r w:rsidR="00293720" w:rsidRPr="0035568A">
        <w:rPr>
          <w:rFonts w:ascii="Arial" w:eastAsia="Calibri" w:hAnsi="Arial" w:cs="Arial"/>
          <w:sz w:val="23"/>
          <w:szCs w:val="23"/>
        </w:rPr>
        <w:t>BO</w:t>
      </w:r>
      <w:r w:rsidRPr="0035568A">
        <w:rPr>
          <w:rFonts w:ascii="Arial" w:eastAsia="Calibri" w:hAnsi="Arial" w:cs="Arial"/>
          <w:sz w:val="23"/>
          <w:szCs w:val="23"/>
        </w:rPr>
        <w:t xml:space="preserve"> declaration form. Private companies </w:t>
      </w:r>
      <w:r w:rsidR="009B3D25" w:rsidRPr="0035568A">
        <w:rPr>
          <w:rFonts w:ascii="Arial" w:eastAsia="Calibri" w:hAnsi="Arial" w:cs="Arial"/>
          <w:sz w:val="23"/>
          <w:szCs w:val="23"/>
        </w:rPr>
        <w:t xml:space="preserve">which </w:t>
      </w:r>
      <w:r w:rsidRPr="0035568A">
        <w:rPr>
          <w:rFonts w:ascii="Arial" w:eastAsia="Calibri" w:hAnsi="Arial" w:cs="Arial"/>
          <w:sz w:val="23"/>
          <w:szCs w:val="23"/>
        </w:rPr>
        <w:t xml:space="preserve">have not filed information at Companies House on PSCs should disclose their </w:t>
      </w:r>
      <w:r w:rsidR="00C07CFE" w:rsidRPr="0035568A">
        <w:rPr>
          <w:rFonts w:ascii="Arial" w:eastAsia="Calibri" w:hAnsi="Arial" w:cs="Arial"/>
          <w:sz w:val="23"/>
          <w:szCs w:val="23"/>
        </w:rPr>
        <w:t>BO</w:t>
      </w:r>
      <w:r w:rsidRPr="0035568A">
        <w:rPr>
          <w:rFonts w:ascii="Arial" w:eastAsia="Calibri" w:hAnsi="Arial" w:cs="Arial"/>
          <w:sz w:val="23"/>
          <w:szCs w:val="23"/>
        </w:rPr>
        <w:t xml:space="preserve"> information in the EITI </w:t>
      </w:r>
      <w:r w:rsidR="00623565" w:rsidRPr="0035568A">
        <w:rPr>
          <w:rFonts w:ascii="Arial" w:eastAsia="Calibri" w:hAnsi="Arial" w:cs="Arial"/>
          <w:sz w:val="23"/>
          <w:szCs w:val="23"/>
        </w:rPr>
        <w:t>BO</w:t>
      </w:r>
      <w:r w:rsidRPr="0035568A">
        <w:rPr>
          <w:rFonts w:ascii="Arial" w:eastAsia="Calibri" w:hAnsi="Arial" w:cs="Arial"/>
          <w:sz w:val="23"/>
          <w:szCs w:val="23"/>
        </w:rPr>
        <w:t xml:space="preserve"> declaration form.</w:t>
      </w:r>
    </w:p>
    <w:p w14:paraId="433A4C95" w14:textId="0BD59AFE" w:rsidR="00F00DED" w:rsidRPr="0035568A" w:rsidRDefault="00CD4BDF" w:rsidP="001E36F1">
      <w:pPr>
        <w:spacing w:after="180" w:line="240" w:lineRule="auto"/>
        <w:jc w:val="both"/>
        <w:rPr>
          <w:rFonts w:ascii="Arial" w:eastAsia="Calibri" w:hAnsi="Arial" w:cs="Arial"/>
          <w:sz w:val="23"/>
          <w:szCs w:val="23"/>
        </w:rPr>
      </w:pPr>
      <w:r w:rsidRPr="0035568A">
        <w:rPr>
          <w:rFonts w:ascii="Arial" w:eastAsia="Calibri" w:hAnsi="Arial" w:cs="Arial"/>
          <w:sz w:val="23"/>
          <w:szCs w:val="23"/>
        </w:rPr>
        <w:t>All</w:t>
      </w:r>
      <w:r w:rsidR="00720545" w:rsidRPr="0035568A">
        <w:rPr>
          <w:rFonts w:ascii="Arial" w:eastAsia="Calibri" w:hAnsi="Arial" w:cs="Arial"/>
          <w:sz w:val="23"/>
          <w:szCs w:val="23"/>
        </w:rPr>
        <w:t xml:space="preserve"> </w:t>
      </w:r>
      <w:r w:rsidR="00796C37" w:rsidRPr="0035568A">
        <w:rPr>
          <w:rFonts w:ascii="Arial" w:eastAsia="Calibri" w:hAnsi="Arial" w:cs="Arial"/>
          <w:sz w:val="23"/>
          <w:szCs w:val="23"/>
        </w:rPr>
        <w:t>4</w:t>
      </w:r>
      <w:r w:rsidR="00796C37">
        <w:rPr>
          <w:rFonts w:ascii="Arial" w:eastAsia="Calibri" w:hAnsi="Arial" w:cs="Arial"/>
          <w:sz w:val="23"/>
          <w:szCs w:val="23"/>
        </w:rPr>
        <w:t>9</w:t>
      </w:r>
      <w:r w:rsidR="00796C37"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companies </w:t>
      </w:r>
      <w:r w:rsidR="00021F4C" w:rsidRPr="0035568A">
        <w:rPr>
          <w:rFonts w:ascii="Arial" w:eastAsia="Calibri" w:hAnsi="Arial" w:cs="Arial"/>
          <w:sz w:val="23"/>
          <w:szCs w:val="23"/>
        </w:rPr>
        <w:t xml:space="preserve">which </w:t>
      </w:r>
      <w:r w:rsidR="00022E0E" w:rsidRPr="0035568A">
        <w:rPr>
          <w:rFonts w:ascii="Arial" w:eastAsia="Calibri" w:hAnsi="Arial" w:cs="Arial"/>
          <w:sz w:val="23"/>
          <w:szCs w:val="23"/>
        </w:rPr>
        <w:t xml:space="preserve">submitted EITI reporting templates </w:t>
      </w:r>
      <w:r w:rsidR="00052768" w:rsidRPr="0035568A">
        <w:rPr>
          <w:rFonts w:ascii="Arial" w:eastAsia="Calibri" w:hAnsi="Arial" w:cs="Arial"/>
          <w:sz w:val="23"/>
          <w:szCs w:val="23"/>
        </w:rPr>
        <w:t xml:space="preserve">also </w:t>
      </w:r>
      <w:r w:rsidR="00022E0E" w:rsidRPr="0035568A">
        <w:rPr>
          <w:rFonts w:ascii="Arial" w:eastAsia="Calibri" w:hAnsi="Arial" w:cs="Arial"/>
          <w:sz w:val="23"/>
          <w:szCs w:val="23"/>
        </w:rPr>
        <w:t xml:space="preserve">submitted a </w:t>
      </w:r>
      <w:r w:rsidR="000F3B5D" w:rsidRPr="0035568A">
        <w:rPr>
          <w:rFonts w:ascii="Arial" w:eastAsia="Calibri" w:hAnsi="Arial" w:cs="Arial"/>
          <w:sz w:val="23"/>
          <w:szCs w:val="23"/>
        </w:rPr>
        <w:t>BO</w:t>
      </w:r>
      <w:r w:rsidR="00022E0E" w:rsidRPr="0035568A">
        <w:rPr>
          <w:rFonts w:ascii="Arial" w:eastAsia="Calibri" w:hAnsi="Arial" w:cs="Arial"/>
          <w:sz w:val="23"/>
          <w:szCs w:val="23"/>
        </w:rPr>
        <w:t xml:space="preserve"> declaration form</w:t>
      </w:r>
      <w:r w:rsidR="00021F4C" w:rsidRPr="0035568A">
        <w:rPr>
          <w:rFonts w:ascii="Arial" w:eastAsia="Calibri" w:hAnsi="Arial" w:cs="Arial"/>
          <w:sz w:val="23"/>
          <w:szCs w:val="23"/>
        </w:rPr>
        <w:t>,</w:t>
      </w:r>
      <w:r w:rsidR="005861AC" w:rsidRPr="0035568A">
        <w:rPr>
          <w:rFonts w:ascii="Arial" w:eastAsia="Calibri" w:hAnsi="Arial" w:cs="Arial"/>
          <w:sz w:val="23"/>
          <w:szCs w:val="23"/>
        </w:rPr>
        <w:t xml:space="preserve"> </w:t>
      </w:r>
      <w:r w:rsidR="008C6A40" w:rsidRPr="0035568A">
        <w:rPr>
          <w:rFonts w:ascii="Arial" w:eastAsia="Calibri" w:hAnsi="Arial" w:cs="Arial"/>
          <w:sz w:val="23"/>
          <w:szCs w:val="23"/>
        </w:rPr>
        <w:t>duly signed</w:t>
      </w:r>
      <w:r w:rsidR="00D72004" w:rsidRPr="0035568A">
        <w:rPr>
          <w:rFonts w:ascii="Arial" w:eastAsia="Calibri" w:hAnsi="Arial" w:cs="Arial"/>
          <w:sz w:val="23"/>
          <w:szCs w:val="23"/>
        </w:rPr>
        <w:t xml:space="preserve"> by a senior officer</w:t>
      </w:r>
      <w:r w:rsidR="00022E0E" w:rsidRPr="0035568A">
        <w:rPr>
          <w:rFonts w:ascii="Arial" w:eastAsia="Calibri" w:hAnsi="Arial" w:cs="Arial"/>
          <w:sz w:val="23"/>
          <w:szCs w:val="23"/>
        </w:rPr>
        <w:t xml:space="preserve">. </w:t>
      </w:r>
      <w:r w:rsidR="00031DED" w:rsidRPr="0035568A">
        <w:rPr>
          <w:rFonts w:ascii="Arial" w:eastAsia="Calibri" w:hAnsi="Arial" w:cs="Arial"/>
          <w:sz w:val="23"/>
          <w:szCs w:val="23"/>
        </w:rPr>
        <w:t>Twenty-</w:t>
      </w:r>
      <w:r w:rsidR="00FB2FDA">
        <w:rPr>
          <w:rFonts w:ascii="Arial" w:eastAsia="Calibri" w:hAnsi="Arial" w:cs="Arial"/>
          <w:sz w:val="23"/>
          <w:szCs w:val="23"/>
        </w:rPr>
        <w:t>e</w:t>
      </w:r>
      <w:r w:rsidR="003711DC">
        <w:rPr>
          <w:rFonts w:ascii="Arial" w:eastAsia="Calibri" w:hAnsi="Arial" w:cs="Arial"/>
          <w:sz w:val="23"/>
          <w:szCs w:val="23"/>
        </w:rPr>
        <w:t>ight</w:t>
      </w:r>
      <w:r w:rsidR="003711DC" w:rsidRPr="0035568A">
        <w:rPr>
          <w:rFonts w:ascii="Arial" w:eastAsia="Calibri" w:hAnsi="Arial" w:cs="Arial"/>
          <w:sz w:val="23"/>
          <w:szCs w:val="23"/>
        </w:rPr>
        <w:t xml:space="preserve"> </w:t>
      </w:r>
      <w:r w:rsidR="00022E0E" w:rsidRPr="0035568A">
        <w:rPr>
          <w:rFonts w:ascii="Arial" w:eastAsia="Calibri" w:hAnsi="Arial" w:cs="Arial"/>
          <w:sz w:val="23"/>
          <w:szCs w:val="23"/>
        </w:rPr>
        <w:t>of the reporting templates received were from companies that are either publicly listed or wholly owned subsidiaries of publicly listed compan</w:t>
      </w:r>
      <w:r w:rsidR="00580C93" w:rsidRPr="0035568A">
        <w:rPr>
          <w:rFonts w:ascii="Arial" w:eastAsia="Calibri" w:hAnsi="Arial" w:cs="Arial"/>
          <w:sz w:val="23"/>
          <w:szCs w:val="23"/>
        </w:rPr>
        <w:t>ies</w:t>
      </w:r>
      <w:r w:rsidR="00022E0E" w:rsidRPr="0035568A">
        <w:rPr>
          <w:rFonts w:ascii="Arial" w:eastAsia="Calibri" w:hAnsi="Arial" w:cs="Arial"/>
          <w:sz w:val="23"/>
          <w:szCs w:val="23"/>
        </w:rPr>
        <w:t xml:space="preserve">, meaning that they provide </w:t>
      </w:r>
      <w:r w:rsidR="00307897" w:rsidRPr="0035568A">
        <w:rPr>
          <w:rFonts w:ascii="Arial" w:eastAsia="Calibri" w:hAnsi="Arial" w:cs="Arial"/>
          <w:sz w:val="23"/>
          <w:szCs w:val="23"/>
        </w:rPr>
        <w:t>BO</w:t>
      </w:r>
      <w:r w:rsidR="00022E0E" w:rsidRPr="0035568A">
        <w:rPr>
          <w:rFonts w:ascii="Arial" w:eastAsia="Calibri" w:hAnsi="Arial" w:cs="Arial"/>
          <w:sz w:val="23"/>
          <w:szCs w:val="23"/>
        </w:rPr>
        <w:t xml:space="preserve"> information under stock exchange requirements</w:t>
      </w:r>
      <w:r w:rsidR="004704AD" w:rsidRPr="0035568A">
        <w:rPr>
          <w:rFonts w:ascii="Arial" w:eastAsia="Calibri" w:hAnsi="Arial" w:cs="Arial"/>
          <w:sz w:val="23"/>
          <w:szCs w:val="23"/>
        </w:rPr>
        <w:t xml:space="preserve"> (see </w:t>
      </w:r>
      <w:r w:rsidR="00DA4D9F" w:rsidRPr="0035568A">
        <w:rPr>
          <w:rFonts w:ascii="Arial" w:eastAsia="Calibri" w:hAnsi="Arial" w:cs="Arial"/>
          <w:sz w:val="23"/>
          <w:szCs w:val="23"/>
        </w:rPr>
        <w:t>T</w:t>
      </w:r>
      <w:r w:rsidR="004704AD" w:rsidRPr="0035568A">
        <w:rPr>
          <w:rFonts w:ascii="Arial" w:eastAsia="Calibri" w:hAnsi="Arial" w:cs="Arial"/>
          <w:sz w:val="23"/>
          <w:szCs w:val="23"/>
        </w:rPr>
        <w:t xml:space="preserve">able </w:t>
      </w:r>
      <w:r w:rsidR="009977EE" w:rsidRPr="0035568A">
        <w:rPr>
          <w:rFonts w:ascii="Arial" w:eastAsia="Calibri" w:hAnsi="Arial" w:cs="Arial"/>
          <w:sz w:val="23"/>
          <w:szCs w:val="23"/>
        </w:rPr>
        <w:t xml:space="preserve">6 </w:t>
      </w:r>
      <w:r w:rsidR="004704AD" w:rsidRPr="0035568A">
        <w:rPr>
          <w:rFonts w:ascii="Arial" w:eastAsia="Calibri" w:hAnsi="Arial" w:cs="Arial"/>
          <w:sz w:val="23"/>
          <w:szCs w:val="23"/>
        </w:rPr>
        <w:t>below)</w:t>
      </w:r>
      <w:r w:rsidR="00022E0E" w:rsidRPr="0035568A">
        <w:rPr>
          <w:rFonts w:ascii="Arial" w:eastAsia="Calibri" w:hAnsi="Arial" w:cs="Arial"/>
          <w:sz w:val="23"/>
          <w:szCs w:val="23"/>
        </w:rPr>
        <w:t xml:space="preserve">. The remaining </w:t>
      </w:r>
      <w:r w:rsidR="00052768" w:rsidRPr="0035568A">
        <w:rPr>
          <w:rFonts w:ascii="Arial" w:eastAsia="Calibri" w:hAnsi="Arial" w:cs="Arial"/>
          <w:sz w:val="23"/>
          <w:szCs w:val="23"/>
        </w:rPr>
        <w:t>21</w:t>
      </w:r>
      <w:r w:rsidR="00176647" w:rsidRPr="0035568A">
        <w:rPr>
          <w:rFonts w:ascii="Arial" w:eastAsia="Calibri" w:hAnsi="Arial" w:cs="Arial"/>
          <w:sz w:val="23"/>
          <w:szCs w:val="23"/>
        </w:rPr>
        <w:t xml:space="preserve"> </w:t>
      </w:r>
      <w:r w:rsidR="00022E0E" w:rsidRPr="0035568A">
        <w:rPr>
          <w:rFonts w:ascii="Arial" w:eastAsia="Calibri" w:hAnsi="Arial" w:cs="Arial"/>
          <w:sz w:val="23"/>
          <w:szCs w:val="23"/>
        </w:rPr>
        <w:t xml:space="preserve">companies </w:t>
      </w:r>
      <w:r w:rsidR="007E1D9F" w:rsidRPr="0035568A">
        <w:rPr>
          <w:rFonts w:ascii="Arial" w:eastAsia="Calibri" w:hAnsi="Arial" w:cs="Arial"/>
          <w:sz w:val="23"/>
          <w:szCs w:val="23"/>
        </w:rPr>
        <w:t>ar</w:t>
      </w:r>
      <w:r w:rsidR="00022E0E" w:rsidRPr="0035568A">
        <w:rPr>
          <w:rFonts w:ascii="Arial" w:eastAsia="Calibri" w:hAnsi="Arial" w:cs="Arial"/>
          <w:sz w:val="23"/>
          <w:szCs w:val="23"/>
        </w:rPr>
        <w:t>e privately held</w:t>
      </w:r>
      <w:r w:rsidR="004704AD" w:rsidRPr="0035568A">
        <w:rPr>
          <w:rFonts w:ascii="Arial" w:eastAsia="Calibri" w:hAnsi="Arial" w:cs="Arial"/>
          <w:sz w:val="23"/>
          <w:szCs w:val="23"/>
        </w:rPr>
        <w:t xml:space="preserve"> (see </w:t>
      </w:r>
      <w:r w:rsidR="00DA4D9F" w:rsidRPr="0035568A">
        <w:rPr>
          <w:rFonts w:ascii="Arial" w:eastAsia="Calibri" w:hAnsi="Arial" w:cs="Arial"/>
          <w:sz w:val="23"/>
          <w:szCs w:val="23"/>
        </w:rPr>
        <w:t>T</w:t>
      </w:r>
      <w:r w:rsidR="004704AD" w:rsidRPr="0035568A">
        <w:rPr>
          <w:rFonts w:ascii="Arial" w:eastAsia="Calibri" w:hAnsi="Arial" w:cs="Arial"/>
          <w:sz w:val="23"/>
          <w:szCs w:val="23"/>
        </w:rPr>
        <w:t xml:space="preserve">able </w:t>
      </w:r>
      <w:r w:rsidR="009977EE" w:rsidRPr="0035568A">
        <w:rPr>
          <w:rFonts w:ascii="Arial" w:eastAsia="Calibri" w:hAnsi="Arial" w:cs="Arial"/>
          <w:sz w:val="23"/>
          <w:szCs w:val="23"/>
        </w:rPr>
        <w:t xml:space="preserve">7 </w:t>
      </w:r>
      <w:r w:rsidR="004704AD" w:rsidRPr="0035568A">
        <w:rPr>
          <w:rFonts w:ascii="Arial" w:eastAsia="Calibri" w:hAnsi="Arial" w:cs="Arial"/>
          <w:sz w:val="23"/>
          <w:szCs w:val="23"/>
        </w:rPr>
        <w:t>below)</w:t>
      </w:r>
      <w:r w:rsidR="00022E0E" w:rsidRPr="0035568A">
        <w:rPr>
          <w:rFonts w:ascii="Arial" w:eastAsia="Calibri" w:hAnsi="Arial" w:cs="Arial"/>
          <w:sz w:val="23"/>
          <w:szCs w:val="23"/>
        </w:rPr>
        <w:t>.</w:t>
      </w:r>
    </w:p>
    <w:p w14:paraId="5313B538" w14:textId="4539D973" w:rsidR="004704AD" w:rsidRPr="0035568A" w:rsidRDefault="0058642C" w:rsidP="001E36F1">
      <w:pPr>
        <w:pStyle w:val="Caption"/>
        <w:rPr>
          <w:rFonts w:asciiTheme="minorBidi" w:eastAsia="Calibri" w:hAnsiTheme="minorBidi"/>
          <w:color w:val="auto"/>
          <w:sz w:val="22"/>
          <w:szCs w:val="22"/>
        </w:rPr>
      </w:pPr>
      <w:bookmarkStart w:id="70" w:name="_Toc177118487"/>
      <w:r w:rsidRPr="0035568A">
        <w:rPr>
          <w:rFonts w:asciiTheme="minorBidi" w:eastAsia="Calibri" w:hAnsiTheme="minorBidi"/>
          <w:iCs/>
          <w:smallCaps w:val="0"/>
          <w:color w:val="auto"/>
          <w:spacing w:val="0"/>
          <w:sz w:val="22"/>
          <w:szCs w:val="22"/>
          <w:lang w:eastAsia="x-none"/>
        </w:rPr>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7</w:t>
      </w:r>
      <w:r w:rsidRPr="0035568A">
        <w:rPr>
          <w:rFonts w:asciiTheme="minorBidi" w:hAnsiTheme="minorBidi"/>
          <w:color w:val="auto"/>
          <w:sz w:val="22"/>
          <w:szCs w:val="22"/>
        </w:rPr>
        <w:fldChar w:fldCharType="end"/>
      </w:r>
      <w:r w:rsidRPr="0035568A">
        <w:rPr>
          <w:rFonts w:asciiTheme="minorBidi" w:hAnsiTheme="minorBidi"/>
          <w:color w:val="auto"/>
          <w:sz w:val="22"/>
          <w:szCs w:val="22"/>
        </w:rPr>
        <w:t xml:space="preserve">: </w:t>
      </w:r>
      <w:r w:rsidRPr="0035568A">
        <w:rPr>
          <w:rFonts w:asciiTheme="minorBidi" w:eastAsia="Calibri" w:hAnsiTheme="minorBidi"/>
          <w:iCs/>
          <w:smallCaps w:val="0"/>
          <w:color w:val="auto"/>
          <w:spacing w:val="0"/>
          <w:sz w:val="22"/>
          <w:szCs w:val="22"/>
          <w:lang w:eastAsia="x-none"/>
        </w:rPr>
        <w:t>Publicly listed or wholly owned subsidiaries of publicly listed companies</w:t>
      </w:r>
      <w:bookmarkEnd w:id="70"/>
    </w:p>
    <w:tbl>
      <w:tblPr>
        <w:tblW w:w="0" w:type="auto"/>
        <w:tblLook w:val="04A0" w:firstRow="1" w:lastRow="0" w:firstColumn="1" w:lastColumn="0" w:noHBand="0" w:noVBand="1"/>
      </w:tblPr>
      <w:tblGrid>
        <w:gridCol w:w="396"/>
        <w:gridCol w:w="714"/>
        <w:gridCol w:w="3011"/>
        <w:gridCol w:w="1748"/>
        <w:gridCol w:w="3157"/>
      </w:tblGrid>
      <w:tr w:rsidR="00BD4A3E" w:rsidRPr="0035568A" w14:paraId="3B9300C0" w14:textId="77777777" w:rsidTr="007439A2">
        <w:trPr>
          <w:trHeight w:val="283"/>
          <w:tblHeader/>
        </w:trPr>
        <w:tc>
          <w:tcPr>
            <w:tcW w:w="0" w:type="auto"/>
            <w:tcBorders>
              <w:top w:val="nil"/>
              <w:left w:val="nil"/>
              <w:bottom w:val="single" w:sz="12" w:space="0" w:color="4472C4"/>
              <w:right w:val="nil"/>
            </w:tcBorders>
            <w:shd w:val="clear" w:color="000000" w:fill="203764"/>
            <w:noWrap/>
            <w:vAlign w:val="center"/>
            <w:hideMark/>
          </w:tcPr>
          <w:p w14:paraId="21820F3B" w14:textId="77777777" w:rsidR="00BD4A3E" w:rsidRPr="0035568A" w:rsidRDefault="00BD4A3E" w:rsidP="007439A2">
            <w:pPr>
              <w:spacing w:before="40" w:after="40" w:line="240" w:lineRule="auto"/>
              <w:jc w:val="center"/>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N°</w:t>
            </w:r>
          </w:p>
        </w:tc>
        <w:tc>
          <w:tcPr>
            <w:tcW w:w="0" w:type="auto"/>
            <w:tcBorders>
              <w:top w:val="nil"/>
              <w:left w:val="nil"/>
              <w:bottom w:val="single" w:sz="12" w:space="0" w:color="4472C4"/>
              <w:right w:val="nil"/>
            </w:tcBorders>
            <w:shd w:val="clear" w:color="000000" w:fill="203764"/>
            <w:noWrap/>
            <w:vAlign w:val="center"/>
            <w:hideMark/>
          </w:tcPr>
          <w:p w14:paraId="158F191C" w14:textId="77777777" w:rsidR="00BD4A3E" w:rsidRPr="0035568A" w:rsidRDefault="00BD4A3E"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Sector</w:t>
            </w:r>
          </w:p>
        </w:tc>
        <w:tc>
          <w:tcPr>
            <w:tcW w:w="0" w:type="auto"/>
            <w:tcBorders>
              <w:top w:val="nil"/>
              <w:left w:val="nil"/>
              <w:bottom w:val="single" w:sz="12" w:space="0" w:color="4472C4"/>
              <w:right w:val="nil"/>
            </w:tcBorders>
            <w:shd w:val="clear" w:color="000000" w:fill="203764"/>
            <w:vAlign w:val="center"/>
            <w:hideMark/>
          </w:tcPr>
          <w:p w14:paraId="2DC3165F" w14:textId="512481F7" w:rsidR="00BD4A3E" w:rsidRPr="0035568A" w:rsidRDefault="00BD4A3E"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Company (Link to the Stock Exchange company page)</w:t>
            </w:r>
          </w:p>
        </w:tc>
        <w:tc>
          <w:tcPr>
            <w:tcW w:w="0" w:type="auto"/>
            <w:tcBorders>
              <w:top w:val="nil"/>
              <w:left w:val="nil"/>
              <w:bottom w:val="single" w:sz="12" w:space="0" w:color="4472C4"/>
              <w:right w:val="nil"/>
            </w:tcBorders>
            <w:shd w:val="clear" w:color="000000" w:fill="203764"/>
            <w:vAlign w:val="center"/>
            <w:hideMark/>
          </w:tcPr>
          <w:p w14:paraId="303E1421" w14:textId="77777777" w:rsidR="00BD4A3E" w:rsidRPr="0035568A" w:rsidRDefault="00BD4A3E" w:rsidP="007439A2">
            <w:pPr>
              <w:spacing w:before="40" w:after="40" w:line="240" w:lineRule="auto"/>
              <w:jc w:val="center"/>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Companies House number</w:t>
            </w:r>
          </w:p>
        </w:tc>
        <w:tc>
          <w:tcPr>
            <w:tcW w:w="0" w:type="auto"/>
            <w:tcBorders>
              <w:top w:val="nil"/>
              <w:left w:val="nil"/>
              <w:bottom w:val="single" w:sz="12" w:space="0" w:color="4472C4"/>
              <w:right w:val="nil"/>
            </w:tcBorders>
            <w:shd w:val="clear" w:color="000000" w:fill="203764"/>
            <w:vAlign w:val="center"/>
            <w:hideMark/>
          </w:tcPr>
          <w:p w14:paraId="5896F2C1" w14:textId="1D8A21E0" w:rsidR="00BD4A3E" w:rsidRPr="0035568A" w:rsidRDefault="00BD4A3E"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Parent company</w:t>
            </w:r>
          </w:p>
        </w:tc>
      </w:tr>
      <w:tr w:rsidR="00BD4A3E" w:rsidRPr="0035568A" w14:paraId="0FD9A724" w14:textId="77777777" w:rsidTr="007439A2">
        <w:trPr>
          <w:trHeight w:val="283"/>
        </w:trPr>
        <w:tc>
          <w:tcPr>
            <w:tcW w:w="0" w:type="auto"/>
            <w:tcBorders>
              <w:top w:val="nil"/>
              <w:left w:val="nil"/>
              <w:bottom w:val="nil"/>
              <w:right w:val="nil"/>
            </w:tcBorders>
            <w:shd w:val="clear" w:color="000000" w:fill="B4C6E7"/>
            <w:noWrap/>
            <w:vAlign w:val="center"/>
            <w:hideMark/>
          </w:tcPr>
          <w:p w14:paraId="11909C12"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w:t>
            </w:r>
          </w:p>
        </w:tc>
        <w:tc>
          <w:tcPr>
            <w:tcW w:w="0" w:type="auto"/>
            <w:tcBorders>
              <w:top w:val="nil"/>
              <w:left w:val="nil"/>
              <w:bottom w:val="nil"/>
              <w:right w:val="nil"/>
            </w:tcBorders>
            <w:shd w:val="clear" w:color="000000" w:fill="B4C6E7"/>
            <w:noWrap/>
            <w:vAlign w:val="center"/>
            <w:hideMark/>
          </w:tcPr>
          <w:p w14:paraId="73C01B9A"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000000" w:fill="B4C6E7"/>
            <w:vAlign w:val="center"/>
            <w:hideMark/>
          </w:tcPr>
          <w:p w14:paraId="2BEFE493" w14:textId="3629553E"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23" w:anchor="/" w:history="1">
              <w:r w:rsidRPr="0035568A">
                <w:rPr>
                  <w:rStyle w:val="Hyperlink"/>
                  <w:rFonts w:ascii="Arial" w:eastAsia="Times New Roman" w:hAnsi="Arial" w:cs="Arial"/>
                  <w:sz w:val="16"/>
                  <w:szCs w:val="16"/>
                  <w:lang w:eastAsia="en-GB"/>
                </w:rPr>
                <w:t>Aggregate Industries UK Ltd</w:t>
              </w:r>
            </w:hyperlink>
          </w:p>
        </w:tc>
        <w:tc>
          <w:tcPr>
            <w:tcW w:w="0" w:type="auto"/>
            <w:tcBorders>
              <w:top w:val="nil"/>
              <w:left w:val="nil"/>
              <w:bottom w:val="nil"/>
              <w:right w:val="nil"/>
            </w:tcBorders>
            <w:shd w:val="clear" w:color="000000" w:fill="B4C6E7"/>
            <w:vAlign w:val="center"/>
            <w:hideMark/>
          </w:tcPr>
          <w:p w14:paraId="2D20982C"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00245717</w:t>
            </w:r>
          </w:p>
        </w:tc>
        <w:tc>
          <w:tcPr>
            <w:tcW w:w="0" w:type="auto"/>
            <w:tcBorders>
              <w:top w:val="nil"/>
              <w:left w:val="nil"/>
              <w:bottom w:val="nil"/>
              <w:right w:val="nil"/>
            </w:tcBorders>
            <w:shd w:val="clear" w:color="000000" w:fill="B4C6E7"/>
            <w:vAlign w:val="center"/>
            <w:hideMark/>
          </w:tcPr>
          <w:p w14:paraId="567A8F5F"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Holcim Ltd</w:t>
            </w:r>
          </w:p>
        </w:tc>
      </w:tr>
      <w:tr w:rsidR="00BD4A3E" w:rsidRPr="0035568A" w14:paraId="701774C1" w14:textId="77777777" w:rsidTr="007439A2">
        <w:trPr>
          <w:trHeight w:val="283"/>
        </w:trPr>
        <w:tc>
          <w:tcPr>
            <w:tcW w:w="0" w:type="auto"/>
            <w:tcBorders>
              <w:top w:val="nil"/>
              <w:left w:val="nil"/>
              <w:bottom w:val="nil"/>
              <w:right w:val="nil"/>
            </w:tcBorders>
            <w:shd w:val="clear" w:color="auto" w:fill="auto"/>
            <w:noWrap/>
            <w:vAlign w:val="center"/>
            <w:hideMark/>
          </w:tcPr>
          <w:p w14:paraId="2BEDCD25"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w:t>
            </w:r>
          </w:p>
        </w:tc>
        <w:tc>
          <w:tcPr>
            <w:tcW w:w="0" w:type="auto"/>
            <w:tcBorders>
              <w:top w:val="nil"/>
              <w:left w:val="nil"/>
              <w:bottom w:val="nil"/>
              <w:right w:val="nil"/>
            </w:tcBorders>
            <w:shd w:val="clear" w:color="auto" w:fill="auto"/>
            <w:noWrap/>
            <w:vAlign w:val="center"/>
            <w:hideMark/>
          </w:tcPr>
          <w:p w14:paraId="5CE3DFB4"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hideMark/>
          </w:tcPr>
          <w:p w14:paraId="2D09DF5F" w14:textId="73A20419"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24" w:history="1">
              <w:r w:rsidRPr="0035568A">
                <w:rPr>
                  <w:rStyle w:val="Hyperlink"/>
                  <w:rFonts w:ascii="Arial" w:eastAsia="Times New Roman" w:hAnsi="Arial" w:cs="Arial"/>
                  <w:sz w:val="16"/>
                  <w:szCs w:val="16"/>
                  <w:lang w:eastAsia="en-GB"/>
                </w:rPr>
                <w:t>Anasuria Hibiscus UK Ltd</w:t>
              </w:r>
            </w:hyperlink>
          </w:p>
        </w:tc>
        <w:tc>
          <w:tcPr>
            <w:tcW w:w="0" w:type="auto"/>
            <w:tcBorders>
              <w:top w:val="nil"/>
              <w:left w:val="nil"/>
              <w:bottom w:val="nil"/>
              <w:right w:val="nil"/>
            </w:tcBorders>
            <w:shd w:val="clear" w:color="auto" w:fill="auto"/>
            <w:vAlign w:val="center"/>
            <w:hideMark/>
          </w:tcPr>
          <w:p w14:paraId="6ECB1753"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09696268</w:t>
            </w:r>
          </w:p>
        </w:tc>
        <w:tc>
          <w:tcPr>
            <w:tcW w:w="0" w:type="auto"/>
            <w:tcBorders>
              <w:top w:val="nil"/>
              <w:left w:val="nil"/>
              <w:bottom w:val="nil"/>
              <w:right w:val="nil"/>
            </w:tcBorders>
            <w:shd w:val="clear" w:color="auto" w:fill="auto"/>
            <w:vAlign w:val="center"/>
            <w:hideMark/>
          </w:tcPr>
          <w:p w14:paraId="004AC6DD"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 xml:space="preserve">Hibiscus Petroleum </w:t>
            </w:r>
            <w:proofErr w:type="spellStart"/>
            <w:r w:rsidRPr="0035568A">
              <w:rPr>
                <w:rFonts w:ascii="Arial" w:eastAsia="Times New Roman" w:hAnsi="Arial" w:cs="Arial"/>
                <w:color w:val="000000"/>
                <w:sz w:val="16"/>
                <w:szCs w:val="16"/>
                <w:lang w:eastAsia="en-GB"/>
              </w:rPr>
              <w:t>Berhad</w:t>
            </w:r>
            <w:proofErr w:type="spellEnd"/>
          </w:p>
        </w:tc>
      </w:tr>
      <w:tr w:rsidR="00BD4A3E" w:rsidRPr="0035568A" w14:paraId="085FC1B1" w14:textId="77777777" w:rsidTr="007439A2">
        <w:trPr>
          <w:trHeight w:val="283"/>
        </w:trPr>
        <w:tc>
          <w:tcPr>
            <w:tcW w:w="0" w:type="auto"/>
            <w:tcBorders>
              <w:top w:val="nil"/>
              <w:left w:val="nil"/>
              <w:bottom w:val="nil"/>
              <w:right w:val="nil"/>
            </w:tcBorders>
            <w:shd w:val="clear" w:color="000000" w:fill="B4C6E7"/>
            <w:noWrap/>
            <w:vAlign w:val="center"/>
            <w:hideMark/>
          </w:tcPr>
          <w:p w14:paraId="4EE6F87D"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3</w:t>
            </w:r>
          </w:p>
        </w:tc>
        <w:tc>
          <w:tcPr>
            <w:tcW w:w="0" w:type="auto"/>
            <w:tcBorders>
              <w:top w:val="nil"/>
              <w:left w:val="nil"/>
              <w:bottom w:val="nil"/>
              <w:right w:val="nil"/>
            </w:tcBorders>
            <w:shd w:val="clear" w:color="000000" w:fill="B4C6E7"/>
            <w:noWrap/>
            <w:vAlign w:val="center"/>
            <w:hideMark/>
          </w:tcPr>
          <w:p w14:paraId="0DD7AE4D"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000000" w:fill="B4C6E7"/>
            <w:vAlign w:val="center"/>
            <w:hideMark/>
          </w:tcPr>
          <w:p w14:paraId="2646801D" w14:textId="2163808A"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25" w:history="1">
              <w:r w:rsidRPr="0035568A">
                <w:rPr>
                  <w:rStyle w:val="Hyperlink"/>
                  <w:rFonts w:ascii="Arial" w:eastAsia="Times New Roman" w:hAnsi="Arial" w:cs="Arial"/>
                  <w:sz w:val="16"/>
                  <w:szCs w:val="16"/>
                  <w:lang w:eastAsia="en-GB"/>
                </w:rPr>
                <w:t>Apache Corporation</w:t>
              </w:r>
            </w:hyperlink>
          </w:p>
        </w:tc>
        <w:tc>
          <w:tcPr>
            <w:tcW w:w="0" w:type="auto"/>
            <w:tcBorders>
              <w:top w:val="nil"/>
              <w:left w:val="nil"/>
              <w:bottom w:val="nil"/>
              <w:right w:val="nil"/>
            </w:tcBorders>
            <w:shd w:val="clear" w:color="000000" w:fill="B4C6E7"/>
            <w:vAlign w:val="center"/>
            <w:hideMark/>
          </w:tcPr>
          <w:p w14:paraId="79AD9E97" w14:textId="33437966"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hyperlink r:id="rId26" w:anchor="RANGE!_ftn1" w:history="1">
              <w:r w:rsidRPr="0035568A">
                <w:rPr>
                  <w:rFonts w:ascii="Arial" w:eastAsia="Times New Roman" w:hAnsi="Arial" w:cs="Arial"/>
                  <w:color w:val="000000"/>
                  <w:sz w:val="16"/>
                  <w:szCs w:val="16"/>
                  <w:lang w:eastAsia="en-GB"/>
                </w:rPr>
                <w:t>07720972</w:t>
              </w:r>
            </w:hyperlink>
          </w:p>
        </w:tc>
        <w:tc>
          <w:tcPr>
            <w:tcW w:w="0" w:type="auto"/>
            <w:tcBorders>
              <w:top w:val="nil"/>
              <w:left w:val="nil"/>
              <w:bottom w:val="nil"/>
              <w:right w:val="nil"/>
            </w:tcBorders>
            <w:shd w:val="clear" w:color="000000" w:fill="B4C6E7"/>
            <w:vAlign w:val="center"/>
            <w:hideMark/>
          </w:tcPr>
          <w:p w14:paraId="14AA00B1"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APA Corporation</w:t>
            </w:r>
          </w:p>
        </w:tc>
      </w:tr>
      <w:tr w:rsidR="00BD4A3E" w:rsidRPr="0035568A" w14:paraId="4E856A1E" w14:textId="77777777" w:rsidTr="007439A2">
        <w:trPr>
          <w:trHeight w:val="283"/>
        </w:trPr>
        <w:tc>
          <w:tcPr>
            <w:tcW w:w="0" w:type="auto"/>
            <w:tcBorders>
              <w:top w:val="nil"/>
              <w:left w:val="nil"/>
              <w:bottom w:val="nil"/>
              <w:right w:val="nil"/>
            </w:tcBorders>
            <w:shd w:val="clear" w:color="auto" w:fill="auto"/>
            <w:noWrap/>
            <w:vAlign w:val="center"/>
            <w:hideMark/>
          </w:tcPr>
          <w:p w14:paraId="5C964970"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4</w:t>
            </w:r>
          </w:p>
        </w:tc>
        <w:tc>
          <w:tcPr>
            <w:tcW w:w="0" w:type="auto"/>
            <w:tcBorders>
              <w:top w:val="nil"/>
              <w:left w:val="nil"/>
              <w:bottom w:val="nil"/>
              <w:right w:val="nil"/>
            </w:tcBorders>
            <w:shd w:val="clear" w:color="auto" w:fill="auto"/>
            <w:noWrap/>
            <w:vAlign w:val="center"/>
            <w:hideMark/>
          </w:tcPr>
          <w:p w14:paraId="0C8C38FD"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auto" w:fill="auto"/>
            <w:vAlign w:val="center"/>
            <w:hideMark/>
          </w:tcPr>
          <w:p w14:paraId="7A72F994" w14:textId="4242ACDD"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27" w:history="1">
              <w:r w:rsidRPr="0035568A">
                <w:rPr>
                  <w:rStyle w:val="Hyperlink"/>
                  <w:rFonts w:ascii="Arial" w:eastAsia="Times New Roman" w:hAnsi="Arial" w:cs="Arial"/>
                  <w:sz w:val="16"/>
                  <w:szCs w:val="16"/>
                  <w:lang w:eastAsia="en-GB"/>
                </w:rPr>
                <w:t>Boskalis Westminster Holdings Ltd</w:t>
              </w:r>
            </w:hyperlink>
          </w:p>
        </w:tc>
        <w:tc>
          <w:tcPr>
            <w:tcW w:w="0" w:type="auto"/>
            <w:tcBorders>
              <w:top w:val="nil"/>
              <w:left w:val="nil"/>
              <w:bottom w:val="nil"/>
              <w:right w:val="nil"/>
            </w:tcBorders>
            <w:shd w:val="clear" w:color="auto" w:fill="auto"/>
            <w:vAlign w:val="center"/>
            <w:hideMark/>
          </w:tcPr>
          <w:p w14:paraId="27DDA165" w14:textId="4A4DF06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hyperlink r:id="rId28" w:anchor="RANGE!_ftn1" w:history="1">
              <w:r w:rsidRPr="0035568A">
                <w:rPr>
                  <w:rFonts w:ascii="Arial" w:eastAsia="Times New Roman" w:hAnsi="Arial" w:cs="Arial"/>
                  <w:color w:val="000000"/>
                  <w:sz w:val="16"/>
                  <w:szCs w:val="16"/>
                  <w:lang w:eastAsia="en-GB"/>
                </w:rPr>
                <w:t>00338917</w:t>
              </w:r>
              <w:r w:rsidRPr="0035568A">
                <w:rPr>
                  <w:rStyle w:val="FootnoteReference"/>
                  <w:rFonts w:ascii="Arial" w:eastAsia="Times New Roman" w:hAnsi="Arial" w:cs="Arial"/>
                  <w:color w:val="000000"/>
                  <w:sz w:val="16"/>
                  <w:szCs w:val="16"/>
                  <w:lang w:eastAsia="en-GB"/>
                </w:rPr>
                <w:footnoteReference w:id="12"/>
              </w:r>
              <w:r w:rsidRPr="0035568A">
                <w:rPr>
                  <w:rFonts w:ascii="Arial" w:eastAsia="Times New Roman" w:hAnsi="Arial" w:cs="Arial"/>
                  <w:color w:val="000000"/>
                  <w:sz w:val="16"/>
                  <w:szCs w:val="16"/>
                  <w:lang w:eastAsia="en-GB"/>
                </w:rPr>
                <w:br/>
                <w:t>02380267</w:t>
              </w:r>
            </w:hyperlink>
            <w:r w:rsidRPr="0035568A">
              <w:rPr>
                <w:rStyle w:val="FootnoteReference"/>
                <w:rFonts w:ascii="Arial" w:eastAsia="Times New Roman" w:hAnsi="Arial" w:cs="Arial"/>
                <w:color w:val="000000"/>
                <w:sz w:val="16"/>
                <w:szCs w:val="16"/>
                <w:lang w:eastAsia="en-GB"/>
              </w:rPr>
              <w:footnoteReference w:id="13"/>
            </w:r>
          </w:p>
        </w:tc>
        <w:tc>
          <w:tcPr>
            <w:tcW w:w="0" w:type="auto"/>
            <w:tcBorders>
              <w:top w:val="nil"/>
              <w:left w:val="nil"/>
              <w:bottom w:val="nil"/>
              <w:right w:val="nil"/>
            </w:tcBorders>
            <w:shd w:val="clear" w:color="auto" w:fill="auto"/>
            <w:vAlign w:val="center"/>
            <w:hideMark/>
          </w:tcPr>
          <w:p w14:paraId="7C8578A1"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Boskalis Westminster Holdings Ltd</w:t>
            </w:r>
          </w:p>
        </w:tc>
      </w:tr>
      <w:tr w:rsidR="00BD4A3E" w:rsidRPr="0035568A" w14:paraId="50BE0797" w14:textId="77777777" w:rsidTr="007439A2">
        <w:trPr>
          <w:trHeight w:val="283"/>
        </w:trPr>
        <w:tc>
          <w:tcPr>
            <w:tcW w:w="0" w:type="auto"/>
            <w:tcBorders>
              <w:top w:val="nil"/>
              <w:left w:val="nil"/>
              <w:bottom w:val="nil"/>
              <w:right w:val="nil"/>
            </w:tcBorders>
            <w:shd w:val="clear" w:color="000000" w:fill="B4C6E7"/>
            <w:noWrap/>
            <w:vAlign w:val="center"/>
            <w:hideMark/>
          </w:tcPr>
          <w:p w14:paraId="6F44D890"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5</w:t>
            </w:r>
          </w:p>
        </w:tc>
        <w:tc>
          <w:tcPr>
            <w:tcW w:w="0" w:type="auto"/>
            <w:tcBorders>
              <w:top w:val="nil"/>
              <w:left w:val="nil"/>
              <w:bottom w:val="nil"/>
              <w:right w:val="nil"/>
            </w:tcBorders>
            <w:shd w:val="clear" w:color="000000" w:fill="B4C6E7"/>
            <w:noWrap/>
            <w:vAlign w:val="center"/>
            <w:hideMark/>
          </w:tcPr>
          <w:p w14:paraId="3F34FA15"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000000" w:fill="B4C6E7"/>
            <w:vAlign w:val="center"/>
            <w:hideMark/>
          </w:tcPr>
          <w:p w14:paraId="6E6AD583" w14:textId="42B1C6C8"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29" w:history="1">
              <w:r w:rsidRPr="0035568A">
                <w:rPr>
                  <w:rStyle w:val="Hyperlink"/>
                  <w:rFonts w:ascii="Arial" w:eastAsia="Times New Roman" w:hAnsi="Arial" w:cs="Arial"/>
                  <w:sz w:val="16"/>
                  <w:szCs w:val="16"/>
                  <w:lang w:eastAsia="en-GB"/>
                </w:rPr>
                <w:t>BP Plc</w:t>
              </w:r>
            </w:hyperlink>
          </w:p>
        </w:tc>
        <w:tc>
          <w:tcPr>
            <w:tcW w:w="0" w:type="auto"/>
            <w:tcBorders>
              <w:top w:val="nil"/>
              <w:left w:val="nil"/>
              <w:bottom w:val="nil"/>
              <w:right w:val="nil"/>
            </w:tcBorders>
            <w:shd w:val="clear" w:color="000000" w:fill="B4C6E7"/>
            <w:vAlign w:val="center"/>
            <w:hideMark/>
          </w:tcPr>
          <w:p w14:paraId="138DF34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00102498</w:t>
            </w:r>
          </w:p>
        </w:tc>
        <w:tc>
          <w:tcPr>
            <w:tcW w:w="0" w:type="auto"/>
            <w:tcBorders>
              <w:top w:val="nil"/>
              <w:left w:val="nil"/>
              <w:bottom w:val="nil"/>
              <w:right w:val="nil"/>
            </w:tcBorders>
            <w:shd w:val="clear" w:color="000000" w:fill="B4C6E7"/>
            <w:vAlign w:val="center"/>
            <w:hideMark/>
          </w:tcPr>
          <w:p w14:paraId="47BAF230" w14:textId="37D7771A"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BP Plc</w:t>
            </w:r>
          </w:p>
        </w:tc>
      </w:tr>
      <w:tr w:rsidR="00BD4A3E" w:rsidRPr="0035568A" w14:paraId="418C28D4" w14:textId="77777777" w:rsidTr="007439A2">
        <w:trPr>
          <w:trHeight w:val="283"/>
        </w:trPr>
        <w:tc>
          <w:tcPr>
            <w:tcW w:w="0" w:type="auto"/>
            <w:tcBorders>
              <w:top w:val="nil"/>
              <w:left w:val="nil"/>
              <w:bottom w:val="nil"/>
              <w:right w:val="nil"/>
            </w:tcBorders>
            <w:shd w:val="clear" w:color="auto" w:fill="auto"/>
            <w:noWrap/>
            <w:vAlign w:val="center"/>
            <w:hideMark/>
          </w:tcPr>
          <w:p w14:paraId="25361E0C"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6</w:t>
            </w:r>
          </w:p>
        </w:tc>
        <w:tc>
          <w:tcPr>
            <w:tcW w:w="0" w:type="auto"/>
            <w:tcBorders>
              <w:top w:val="nil"/>
              <w:left w:val="nil"/>
              <w:bottom w:val="nil"/>
              <w:right w:val="nil"/>
            </w:tcBorders>
            <w:shd w:val="clear" w:color="auto" w:fill="auto"/>
            <w:noWrap/>
            <w:vAlign w:val="center"/>
            <w:hideMark/>
          </w:tcPr>
          <w:p w14:paraId="282B854F"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auto" w:fill="auto"/>
            <w:vAlign w:val="center"/>
            <w:hideMark/>
          </w:tcPr>
          <w:p w14:paraId="28A5DE19" w14:textId="006091B4"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0" w:history="1">
              <w:r w:rsidRPr="0035568A">
                <w:rPr>
                  <w:rStyle w:val="Hyperlink"/>
                  <w:rFonts w:ascii="Arial" w:eastAsia="Times New Roman" w:hAnsi="Arial" w:cs="Arial"/>
                  <w:sz w:val="16"/>
                  <w:szCs w:val="16"/>
                  <w:lang w:eastAsia="en-GB"/>
                </w:rPr>
                <w:t>Breedon Group Plc</w:t>
              </w:r>
            </w:hyperlink>
          </w:p>
        </w:tc>
        <w:tc>
          <w:tcPr>
            <w:tcW w:w="0" w:type="auto"/>
            <w:tcBorders>
              <w:top w:val="nil"/>
              <w:left w:val="nil"/>
              <w:bottom w:val="nil"/>
              <w:right w:val="nil"/>
            </w:tcBorders>
            <w:shd w:val="clear" w:color="auto" w:fill="auto"/>
            <w:vAlign w:val="center"/>
            <w:hideMark/>
          </w:tcPr>
          <w:p w14:paraId="7E4639F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Jersey 98465</w:t>
            </w:r>
          </w:p>
        </w:tc>
        <w:tc>
          <w:tcPr>
            <w:tcW w:w="0" w:type="auto"/>
            <w:tcBorders>
              <w:top w:val="nil"/>
              <w:left w:val="nil"/>
              <w:bottom w:val="nil"/>
              <w:right w:val="nil"/>
            </w:tcBorders>
            <w:shd w:val="clear" w:color="auto" w:fill="auto"/>
            <w:vAlign w:val="center"/>
            <w:hideMark/>
          </w:tcPr>
          <w:p w14:paraId="672AFDF1" w14:textId="22F88013"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Breedon Group Plc</w:t>
            </w:r>
          </w:p>
        </w:tc>
      </w:tr>
      <w:tr w:rsidR="00BD4A3E" w:rsidRPr="0035568A" w14:paraId="4039AB8A" w14:textId="77777777" w:rsidTr="007439A2">
        <w:trPr>
          <w:trHeight w:val="283"/>
        </w:trPr>
        <w:tc>
          <w:tcPr>
            <w:tcW w:w="0" w:type="auto"/>
            <w:tcBorders>
              <w:top w:val="nil"/>
              <w:left w:val="nil"/>
              <w:bottom w:val="nil"/>
              <w:right w:val="nil"/>
            </w:tcBorders>
            <w:shd w:val="clear" w:color="000000" w:fill="B4C6E7"/>
            <w:noWrap/>
            <w:vAlign w:val="center"/>
            <w:hideMark/>
          </w:tcPr>
          <w:p w14:paraId="39071B2B"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7</w:t>
            </w:r>
          </w:p>
        </w:tc>
        <w:tc>
          <w:tcPr>
            <w:tcW w:w="0" w:type="auto"/>
            <w:tcBorders>
              <w:top w:val="nil"/>
              <w:left w:val="nil"/>
              <w:bottom w:val="nil"/>
              <w:right w:val="nil"/>
            </w:tcBorders>
            <w:shd w:val="clear" w:color="000000" w:fill="B4C6E7"/>
            <w:noWrap/>
            <w:vAlign w:val="center"/>
            <w:hideMark/>
          </w:tcPr>
          <w:p w14:paraId="60AA0567"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000000" w:fill="B4C6E7"/>
            <w:vAlign w:val="center"/>
            <w:hideMark/>
          </w:tcPr>
          <w:p w14:paraId="759E36E0" w14:textId="29F186D5"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1" w:history="1">
              <w:r w:rsidRPr="0035568A">
                <w:rPr>
                  <w:rStyle w:val="Hyperlink"/>
                  <w:rFonts w:ascii="Arial" w:eastAsia="Times New Roman" w:hAnsi="Arial" w:cs="Arial"/>
                  <w:sz w:val="16"/>
                  <w:szCs w:val="16"/>
                  <w:lang w:eastAsia="en-GB"/>
                </w:rPr>
                <w:t>Cemex UK Materials Ltd</w:t>
              </w:r>
            </w:hyperlink>
          </w:p>
        </w:tc>
        <w:tc>
          <w:tcPr>
            <w:tcW w:w="0" w:type="auto"/>
            <w:tcBorders>
              <w:top w:val="nil"/>
              <w:left w:val="nil"/>
              <w:bottom w:val="nil"/>
              <w:right w:val="nil"/>
            </w:tcBorders>
            <w:shd w:val="clear" w:color="000000" w:fill="B4C6E7"/>
            <w:vAlign w:val="center"/>
            <w:hideMark/>
          </w:tcPr>
          <w:p w14:paraId="51AC363F"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00658390</w:t>
            </w:r>
          </w:p>
        </w:tc>
        <w:tc>
          <w:tcPr>
            <w:tcW w:w="0" w:type="auto"/>
            <w:tcBorders>
              <w:top w:val="nil"/>
              <w:left w:val="nil"/>
              <w:bottom w:val="nil"/>
              <w:right w:val="nil"/>
            </w:tcBorders>
            <w:shd w:val="clear" w:color="000000" w:fill="B4C6E7"/>
            <w:vAlign w:val="center"/>
            <w:hideMark/>
          </w:tcPr>
          <w:p w14:paraId="56A9E6ED"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Cemex Espana, S.A.</w:t>
            </w:r>
          </w:p>
        </w:tc>
      </w:tr>
      <w:tr w:rsidR="00BD4A3E" w:rsidRPr="0035568A" w14:paraId="2D7E79C8" w14:textId="77777777" w:rsidTr="007439A2">
        <w:trPr>
          <w:trHeight w:val="283"/>
        </w:trPr>
        <w:tc>
          <w:tcPr>
            <w:tcW w:w="0" w:type="auto"/>
            <w:tcBorders>
              <w:top w:val="nil"/>
              <w:left w:val="nil"/>
              <w:bottom w:val="nil"/>
              <w:right w:val="nil"/>
            </w:tcBorders>
            <w:shd w:val="clear" w:color="auto" w:fill="auto"/>
            <w:noWrap/>
            <w:vAlign w:val="center"/>
            <w:hideMark/>
          </w:tcPr>
          <w:p w14:paraId="7F76925D"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8</w:t>
            </w:r>
          </w:p>
        </w:tc>
        <w:tc>
          <w:tcPr>
            <w:tcW w:w="0" w:type="auto"/>
            <w:tcBorders>
              <w:top w:val="nil"/>
              <w:left w:val="nil"/>
              <w:bottom w:val="nil"/>
              <w:right w:val="nil"/>
            </w:tcBorders>
            <w:shd w:val="clear" w:color="auto" w:fill="auto"/>
            <w:noWrap/>
            <w:vAlign w:val="center"/>
            <w:hideMark/>
          </w:tcPr>
          <w:p w14:paraId="02D9F3B3"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hideMark/>
          </w:tcPr>
          <w:p w14:paraId="7E66BB84" w14:textId="127EB83C"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2" w:history="1">
              <w:r w:rsidRPr="0035568A">
                <w:rPr>
                  <w:rStyle w:val="Hyperlink"/>
                  <w:rFonts w:ascii="Arial" w:eastAsia="Times New Roman" w:hAnsi="Arial" w:cs="Arial"/>
                  <w:sz w:val="16"/>
                  <w:szCs w:val="16"/>
                  <w:lang w:eastAsia="en-GB"/>
                </w:rPr>
                <w:t>Centrica Plc</w:t>
              </w:r>
            </w:hyperlink>
          </w:p>
        </w:tc>
        <w:tc>
          <w:tcPr>
            <w:tcW w:w="0" w:type="auto"/>
            <w:tcBorders>
              <w:top w:val="nil"/>
              <w:left w:val="nil"/>
              <w:bottom w:val="nil"/>
              <w:right w:val="nil"/>
            </w:tcBorders>
            <w:shd w:val="clear" w:color="auto" w:fill="auto"/>
            <w:vAlign w:val="center"/>
            <w:hideMark/>
          </w:tcPr>
          <w:p w14:paraId="4634BE93"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03033654</w:t>
            </w:r>
          </w:p>
        </w:tc>
        <w:tc>
          <w:tcPr>
            <w:tcW w:w="0" w:type="auto"/>
            <w:tcBorders>
              <w:top w:val="nil"/>
              <w:left w:val="nil"/>
              <w:bottom w:val="nil"/>
              <w:right w:val="nil"/>
            </w:tcBorders>
            <w:shd w:val="clear" w:color="auto" w:fill="auto"/>
            <w:vAlign w:val="center"/>
            <w:hideMark/>
          </w:tcPr>
          <w:p w14:paraId="707FF57A" w14:textId="1DD6F28E"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Centrica Plc</w:t>
            </w:r>
          </w:p>
        </w:tc>
      </w:tr>
      <w:tr w:rsidR="00BD4A3E" w:rsidRPr="0035568A" w14:paraId="5242704D" w14:textId="77777777" w:rsidTr="007439A2">
        <w:trPr>
          <w:trHeight w:val="283"/>
        </w:trPr>
        <w:tc>
          <w:tcPr>
            <w:tcW w:w="0" w:type="auto"/>
            <w:tcBorders>
              <w:top w:val="nil"/>
              <w:left w:val="nil"/>
              <w:bottom w:val="nil"/>
              <w:right w:val="nil"/>
            </w:tcBorders>
            <w:shd w:val="clear" w:color="000000" w:fill="B4C6E7"/>
            <w:noWrap/>
            <w:vAlign w:val="center"/>
            <w:hideMark/>
          </w:tcPr>
          <w:p w14:paraId="6812B66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9</w:t>
            </w:r>
          </w:p>
        </w:tc>
        <w:tc>
          <w:tcPr>
            <w:tcW w:w="0" w:type="auto"/>
            <w:tcBorders>
              <w:top w:val="nil"/>
              <w:left w:val="nil"/>
              <w:bottom w:val="nil"/>
              <w:right w:val="nil"/>
            </w:tcBorders>
            <w:shd w:val="clear" w:color="000000" w:fill="B4C6E7"/>
            <w:noWrap/>
            <w:vAlign w:val="center"/>
            <w:hideMark/>
          </w:tcPr>
          <w:p w14:paraId="30ECC24C"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000000" w:fill="B4C6E7"/>
            <w:vAlign w:val="center"/>
            <w:hideMark/>
          </w:tcPr>
          <w:p w14:paraId="05E6A385" w14:textId="038AB0EA"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3" w:history="1">
              <w:r w:rsidRPr="0035568A">
                <w:rPr>
                  <w:rStyle w:val="Hyperlink"/>
                  <w:rFonts w:ascii="Arial" w:eastAsia="Times New Roman" w:hAnsi="Arial" w:cs="Arial"/>
                  <w:sz w:val="16"/>
                  <w:szCs w:val="16"/>
                  <w:lang w:eastAsia="en-GB"/>
                </w:rPr>
                <w:t>Chevron</w:t>
              </w:r>
            </w:hyperlink>
          </w:p>
        </w:tc>
        <w:tc>
          <w:tcPr>
            <w:tcW w:w="0" w:type="auto"/>
            <w:tcBorders>
              <w:top w:val="nil"/>
              <w:left w:val="nil"/>
              <w:bottom w:val="nil"/>
              <w:right w:val="nil"/>
            </w:tcBorders>
            <w:shd w:val="clear" w:color="000000" w:fill="B4C6E7"/>
            <w:vAlign w:val="center"/>
            <w:hideMark/>
          </w:tcPr>
          <w:p w14:paraId="7C1BEAD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01006065</w:t>
            </w:r>
          </w:p>
        </w:tc>
        <w:tc>
          <w:tcPr>
            <w:tcW w:w="0" w:type="auto"/>
            <w:tcBorders>
              <w:top w:val="nil"/>
              <w:left w:val="nil"/>
              <w:bottom w:val="nil"/>
              <w:right w:val="nil"/>
            </w:tcBorders>
            <w:shd w:val="clear" w:color="000000" w:fill="B4C6E7"/>
            <w:vAlign w:val="center"/>
            <w:hideMark/>
          </w:tcPr>
          <w:p w14:paraId="560D7640"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 xml:space="preserve">Chevron Corporation </w:t>
            </w:r>
          </w:p>
        </w:tc>
      </w:tr>
      <w:tr w:rsidR="00BD4A3E" w:rsidRPr="0035568A" w14:paraId="14A497AE" w14:textId="77777777" w:rsidTr="007439A2">
        <w:trPr>
          <w:trHeight w:val="283"/>
        </w:trPr>
        <w:tc>
          <w:tcPr>
            <w:tcW w:w="0" w:type="auto"/>
            <w:tcBorders>
              <w:top w:val="nil"/>
              <w:left w:val="nil"/>
              <w:bottom w:val="nil"/>
              <w:right w:val="nil"/>
            </w:tcBorders>
            <w:shd w:val="clear" w:color="auto" w:fill="auto"/>
            <w:noWrap/>
            <w:vAlign w:val="center"/>
            <w:hideMark/>
          </w:tcPr>
          <w:p w14:paraId="60E98D84" w14:textId="4D9536FD"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10</w:t>
            </w:r>
          </w:p>
        </w:tc>
        <w:tc>
          <w:tcPr>
            <w:tcW w:w="0" w:type="auto"/>
            <w:tcBorders>
              <w:top w:val="nil"/>
              <w:left w:val="nil"/>
              <w:bottom w:val="nil"/>
              <w:right w:val="nil"/>
            </w:tcBorders>
            <w:shd w:val="clear" w:color="auto" w:fill="auto"/>
            <w:noWrap/>
            <w:vAlign w:val="center"/>
            <w:hideMark/>
          </w:tcPr>
          <w:p w14:paraId="7AE6F4CA"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hideMark/>
          </w:tcPr>
          <w:p w14:paraId="0949E28C" w14:textId="779C3951"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4" w:history="1">
              <w:r w:rsidRPr="0035568A">
                <w:rPr>
                  <w:rStyle w:val="Hyperlink"/>
                  <w:rFonts w:ascii="Arial" w:eastAsia="Times New Roman" w:hAnsi="Arial" w:cs="Arial"/>
                  <w:sz w:val="16"/>
                  <w:szCs w:val="16"/>
                  <w:lang w:eastAsia="en-GB"/>
                </w:rPr>
                <w:t>CNOOC Petroleum Europe Ltd</w:t>
              </w:r>
            </w:hyperlink>
          </w:p>
        </w:tc>
        <w:tc>
          <w:tcPr>
            <w:tcW w:w="0" w:type="auto"/>
            <w:tcBorders>
              <w:top w:val="nil"/>
              <w:left w:val="nil"/>
              <w:bottom w:val="nil"/>
              <w:right w:val="nil"/>
            </w:tcBorders>
            <w:shd w:val="clear" w:color="auto" w:fill="auto"/>
            <w:vAlign w:val="center"/>
            <w:hideMark/>
          </w:tcPr>
          <w:p w14:paraId="7284BD65"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01051137</w:t>
            </w:r>
          </w:p>
        </w:tc>
        <w:tc>
          <w:tcPr>
            <w:tcW w:w="0" w:type="auto"/>
            <w:tcBorders>
              <w:top w:val="nil"/>
              <w:left w:val="nil"/>
              <w:bottom w:val="nil"/>
              <w:right w:val="nil"/>
            </w:tcBorders>
            <w:shd w:val="clear" w:color="auto" w:fill="auto"/>
            <w:vAlign w:val="center"/>
            <w:hideMark/>
          </w:tcPr>
          <w:p w14:paraId="6962AFCB" w14:textId="1103C5DE"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CNOOC L</w:t>
            </w:r>
            <w:r w:rsidR="009B75F3" w:rsidRPr="0035568A">
              <w:rPr>
                <w:rFonts w:ascii="Arial" w:eastAsia="Times New Roman" w:hAnsi="Arial" w:cs="Arial"/>
                <w:color w:val="000000"/>
                <w:sz w:val="16"/>
                <w:szCs w:val="16"/>
                <w:lang w:eastAsia="en-GB"/>
              </w:rPr>
              <w:t>td</w:t>
            </w:r>
          </w:p>
        </w:tc>
      </w:tr>
      <w:tr w:rsidR="00BD4A3E" w:rsidRPr="0035568A" w14:paraId="710A5536" w14:textId="77777777" w:rsidTr="007439A2">
        <w:trPr>
          <w:trHeight w:val="283"/>
        </w:trPr>
        <w:tc>
          <w:tcPr>
            <w:tcW w:w="0" w:type="auto"/>
            <w:tcBorders>
              <w:top w:val="nil"/>
              <w:left w:val="nil"/>
              <w:bottom w:val="nil"/>
              <w:right w:val="nil"/>
            </w:tcBorders>
            <w:shd w:val="clear" w:color="auto" w:fill="B4C6E7"/>
            <w:noWrap/>
            <w:vAlign w:val="center"/>
            <w:hideMark/>
          </w:tcPr>
          <w:p w14:paraId="095BA30A" w14:textId="706B5F0D"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11</w:t>
            </w:r>
          </w:p>
        </w:tc>
        <w:tc>
          <w:tcPr>
            <w:tcW w:w="0" w:type="auto"/>
            <w:tcBorders>
              <w:top w:val="nil"/>
              <w:left w:val="nil"/>
              <w:bottom w:val="nil"/>
              <w:right w:val="nil"/>
            </w:tcBorders>
            <w:shd w:val="clear" w:color="auto" w:fill="B4C6E7"/>
            <w:noWrap/>
            <w:vAlign w:val="center"/>
            <w:hideMark/>
          </w:tcPr>
          <w:p w14:paraId="1B8A6C4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hideMark/>
          </w:tcPr>
          <w:p w14:paraId="2868E218" w14:textId="189C0AD0"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5" w:history="1">
              <w:r w:rsidRPr="0035568A">
                <w:rPr>
                  <w:rStyle w:val="Hyperlink"/>
                  <w:rFonts w:ascii="Arial" w:eastAsia="Times New Roman" w:hAnsi="Arial" w:cs="Arial"/>
                  <w:sz w:val="16"/>
                  <w:szCs w:val="16"/>
                  <w:lang w:eastAsia="en-GB"/>
                </w:rPr>
                <w:t>CNR International UK Invest. Ltd</w:t>
              </w:r>
            </w:hyperlink>
          </w:p>
        </w:tc>
        <w:tc>
          <w:tcPr>
            <w:tcW w:w="0" w:type="auto"/>
            <w:tcBorders>
              <w:top w:val="nil"/>
              <w:left w:val="nil"/>
              <w:bottom w:val="nil"/>
              <w:right w:val="nil"/>
            </w:tcBorders>
            <w:shd w:val="clear" w:color="auto" w:fill="B4C6E7"/>
            <w:vAlign w:val="center"/>
            <w:hideMark/>
          </w:tcPr>
          <w:p w14:paraId="5AB687B0"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00813187</w:t>
            </w:r>
          </w:p>
        </w:tc>
        <w:tc>
          <w:tcPr>
            <w:tcW w:w="0" w:type="auto"/>
            <w:tcBorders>
              <w:top w:val="nil"/>
              <w:left w:val="nil"/>
              <w:bottom w:val="nil"/>
              <w:right w:val="nil"/>
            </w:tcBorders>
            <w:shd w:val="clear" w:color="auto" w:fill="B4C6E7"/>
            <w:vAlign w:val="center"/>
            <w:hideMark/>
          </w:tcPr>
          <w:p w14:paraId="27804407" w14:textId="1DB2AD65"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Canadian Natural Resources Ltd</w:t>
            </w:r>
          </w:p>
        </w:tc>
      </w:tr>
      <w:tr w:rsidR="00BD4A3E" w:rsidRPr="0035568A" w14:paraId="59BA9072" w14:textId="77777777" w:rsidTr="007439A2">
        <w:trPr>
          <w:trHeight w:val="283"/>
        </w:trPr>
        <w:tc>
          <w:tcPr>
            <w:tcW w:w="0" w:type="auto"/>
            <w:tcBorders>
              <w:top w:val="nil"/>
              <w:left w:val="nil"/>
              <w:bottom w:val="nil"/>
              <w:right w:val="nil"/>
            </w:tcBorders>
            <w:shd w:val="clear" w:color="auto" w:fill="auto"/>
            <w:noWrap/>
            <w:vAlign w:val="center"/>
            <w:hideMark/>
          </w:tcPr>
          <w:p w14:paraId="3473E989" w14:textId="622A5913"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12</w:t>
            </w:r>
          </w:p>
        </w:tc>
        <w:tc>
          <w:tcPr>
            <w:tcW w:w="0" w:type="auto"/>
            <w:tcBorders>
              <w:top w:val="nil"/>
              <w:left w:val="nil"/>
              <w:bottom w:val="nil"/>
              <w:right w:val="nil"/>
            </w:tcBorders>
            <w:shd w:val="clear" w:color="auto" w:fill="auto"/>
            <w:noWrap/>
            <w:vAlign w:val="center"/>
            <w:hideMark/>
          </w:tcPr>
          <w:p w14:paraId="5DD2FC6B"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auto" w:fill="auto"/>
            <w:vAlign w:val="center"/>
            <w:hideMark/>
          </w:tcPr>
          <w:p w14:paraId="022A71F0" w14:textId="1E0ECD61"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6" w:history="1">
              <w:r w:rsidRPr="0035568A">
                <w:rPr>
                  <w:rStyle w:val="Hyperlink"/>
                  <w:rFonts w:ascii="Arial" w:eastAsia="Times New Roman" w:hAnsi="Arial" w:cs="Arial"/>
                  <w:sz w:val="16"/>
                  <w:szCs w:val="16"/>
                  <w:lang w:eastAsia="en-GB"/>
                </w:rPr>
                <w:t>DEME Building Materials Ltd</w:t>
              </w:r>
            </w:hyperlink>
          </w:p>
        </w:tc>
        <w:tc>
          <w:tcPr>
            <w:tcW w:w="0" w:type="auto"/>
            <w:tcBorders>
              <w:top w:val="nil"/>
              <w:left w:val="nil"/>
              <w:bottom w:val="nil"/>
              <w:right w:val="nil"/>
            </w:tcBorders>
            <w:shd w:val="clear" w:color="auto" w:fill="auto"/>
            <w:vAlign w:val="center"/>
            <w:hideMark/>
          </w:tcPr>
          <w:p w14:paraId="3161A83B"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04590759</w:t>
            </w:r>
          </w:p>
        </w:tc>
        <w:tc>
          <w:tcPr>
            <w:tcW w:w="0" w:type="auto"/>
            <w:tcBorders>
              <w:top w:val="nil"/>
              <w:left w:val="nil"/>
              <w:bottom w:val="nil"/>
              <w:right w:val="nil"/>
            </w:tcBorders>
            <w:shd w:val="clear" w:color="auto" w:fill="auto"/>
            <w:vAlign w:val="center"/>
            <w:hideMark/>
          </w:tcPr>
          <w:p w14:paraId="0A7FA114"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CFE (DEME)</w:t>
            </w:r>
          </w:p>
        </w:tc>
      </w:tr>
      <w:tr w:rsidR="00BD4A3E" w:rsidRPr="0035568A" w14:paraId="1E13F23C" w14:textId="77777777" w:rsidTr="007439A2">
        <w:trPr>
          <w:trHeight w:val="283"/>
        </w:trPr>
        <w:tc>
          <w:tcPr>
            <w:tcW w:w="0" w:type="auto"/>
            <w:tcBorders>
              <w:top w:val="nil"/>
              <w:left w:val="nil"/>
              <w:bottom w:val="nil"/>
              <w:right w:val="nil"/>
            </w:tcBorders>
            <w:shd w:val="clear" w:color="auto" w:fill="B4C6E7"/>
            <w:noWrap/>
            <w:vAlign w:val="center"/>
            <w:hideMark/>
          </w:tcPr>
          <w:p w14:paraId="654454E8" w14:textId="0DA828B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13</w:t>
            </w:r>
          </w:p>
        </w:tc>
        <w:tc>
          <w:tcPr>
            <w:tcW w:w="0" w:type="auto"/>
            <w:tcBorders>
              <w:top w:val="nil"/>
              <w:left w:val="nil"/>
              <w:bottom w:val="nil"/>
              <w:right w:val="nil"/>
            </w:tcBorders>
            <w:shd w:val="clear" w:color="auto" w:fill="B4C6E7"/>
            <w:noWrap/>
            <w:vAlign w:val="center"/>
            <w:hideMark/>
          </w:tcPr>
          <w:p w14:paraId="097A2CEA"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hideMark/>
          </w:tcPr>
          <w:p w14:paraId="2F19BE50" w14:textId="1F4843CE"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7" w:history="1">
              <w:r w:rsidRPr="0035568A">
                <w:rPr>
                  <w:rStyle w:val="Hyperlink"/>
                  <w:rFonts w:ascii="Arial" w:eastAsia="Times New Roman" w:hAnsi="Arial" w:cs="Arial"/>
                  <w:sz w:val="16"/>
                  <w:szCs w:val="16"/>
                  <w:lang w:eastAsia="en-GB"/>
                </w:rPr>
                <w:t>ENI UK Ltd</w:t>
              </w:r>
            </w:hyperlink>
          </w:p>
        </w:tc>
        <w:tc>
          <w:tcPr>
            <w:tcW w:w="0" w:type="auto"/>
            <w:tcBorders>
              <w:top w:val="nil"/>
              <w:left w:val="nil"/>
              <w:bottom w:val="nil"/>
              <w:right w:val="nil"/>
            </w:tcBorders>
            <w:shd w:val="clear" w:color="auto" w:fill="B4C6E7"/>
            <w:vAlign w:val="center"/>
            <w:hideMark/>
          </w:tcPr>
          <w:p w14:paraId="09A6CA79"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00862823</w:t>
            </w:r>
          </w:p>
        </w:tc>
        <w:tc>
          <w:tcPr>
            <w:tcW w:w="0" w:type="auto"/>
            <w:tcBorders>
              <w:top w:val="nil"/>
              <w:left w:val="nil"/>
              <w:bottom w:val="nil"/>
              <w:right w:val="nil"/>
            </w:tcBorders>
            <w:shd w:val="clear" w:color="auto" w:fill="B4C6E7"/>
            <w:vAlign w:val="center"/>
            <w:hideMark/>
          </w:tcPr>
          <w:p w14:paraId="5EB23B67"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ENI SPA</w:t>
            </w:r>
          </w:p>
        </w:tc>
      </w:tr>
      <w:tr w:rsidR="00BD4A3E" w:rsidRPr="0035568A" w14:paraId="28BB11D5" w14:textId="77777777" w:rsidTr="007439A2">
        <w:trPr>
          <w:trHeight w:val="283"/>
        </w:trPr>
        <w:tc>
          <w:tcPr>
            <w:tcW w:w="0" w:type="auto"/>
            <w:tcBorders>
              <w:top w:val="nil"/>
              <w:left w:val="nil"/>
              <w:bottom w:val="nil"/>
              <w:right w:val="nil"/>
            </w:tcBorders>
            <w:shd w:val="clear" w:color="auto" w:fill="auto"/>
            <w:noWrap/>
            <w:vAlign w:val="center"/>
            <w:hideMark/>
          </w:tcPr>
          <w:p w14:paraId="3D0F34CB" w14:textId="5849B87C"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14</w:t>
            </w:r>
          </w:p>
        </w:tc>
        <w:tc>
          <w:tcPr>
            <w:tcW w:w="0" w:type="auto"/>
            <w:tcBorders>
              <w:top w:val="nil"/>
              <w:left w:val="nil"/>
              <w:bottom w:val="nil"/>
              <w:right w:val="nil"/>
            </w:tcBorders>
            <w:shd w:val="clear" w:color="auto" w:fill="auto"/>
            <w:noWrap/>
            <w:vAlign w:val="center"/>
            <w:hideMark/>
          </w:tcPr>
          <w:p w14:paraId="0B6918CE"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hideMark/>
          </w:tcPr>
          <w:p w14:paraId="59E94E22" w14:textId="0870705D"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38" w:history="1">
              <w:r w:rsidRPr="0035568A">
                <w:rPr>
                  <w:rStyle w:val="Hyperlink"/>
                  <w:rFonts w:ascii="Arial" w:eastAsia="Times New Roman" w:hAnsi="Arial" w:cs="Arial"/>
                  <w:sz w:val="16"/>
                  <w:szCs w:val="16"/>
                  <w:lang w:eastAsia="en-GB"/>
                </w:rPr>
                <w:t>EnQuest Plc</w:t>
              </w:r>
            </w:hyperlink>
          </w:p>
        </w:tc>
        <w:tc>
          <w:tcPr>
            <w:tcW w:w="0" w:type="auto"/>
            <w:tcBorders>
              <w:top w:val="nil"/>
              <w:left w:val="nil"/>
              <w:bottom w:val="nil"/>
              <w:right w:val="nil"/>
            </w:tcBorders>
            <w:shd w:val="clear" w:color="auto" w:fill="auto"/>
            <w:vAlign w:val="center"/>
            <w:hideMark/>
          </w:tcPr>
          <w:p w14:paraId="66674A23"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07140891</w:t>
            </w:r>
          </w:p>
        </w:tc>
        <w:tc>
          <w:tcPr>
            <w:tcW w:w="0" w:type="auto"/>
            <w:tcBorders>
              <w:top w:val="nil"/>
              <w:left w:val="nil"/>
              <w:bottom w:val="nil"/>
              <w:right w:val="nil"/>
            </w:tcBorders>
            <w:shd w:val="clear" w:color="auto" w:fill="auto"/>
            <w:vAlign w:val="center"/>
            <w:hideMark/>
          </w:tcPr>
          <w:p w14:paraId="23940E1D"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EnQuest Plc</w:t>
            </w:r>
          </w:p>
        </w:tc>
      </w:tr>
      <w:tr w:rsidR="009B75F3" w:rsidRPr="0035568A" w14:paraId="7F18D415" w14:textId="77777777" w:rsidTr="007439A2">
        <w:trPr>
          <w:trHeight w:val="283"/>
        </w:trPr>
        <w:tc>
          <w:tcPr>
            <w:tcW w:w="0" w:type="auto"/>
            <w:tcBorders>
              <w:top w:val="nil"/>
              <w:left w:val="nil"/>
              <w:bottom w:val="nil"/>
              <w:right w:val="nil"/>
            </w:tcBorders>
            <w:shd w:val="clear" w:color="auto" w:fill="B8CCE4"/>
            <w:noWrap/>
            <w:vAlign w:val="center"/>
          </w:tcPr>
          <w:p w14:paraId="23608CD8" w14:textId="03BBE193" w:rsidR="009B75F3" w:rsidRPr="0035568A" w:rsidRDefault="009B75F3"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15</w:t>
            </w:r>
          </w:p>
        </w:tc>
        <w:tc>
          <w:tcPr>
            <w:tcW w:w="0" w:type="auto"/>
            <w:tcBorders>
              <w:top w:val="nil"/>
              <w:left w:val="nil"/>
              <w:bottom w:val="nil"/>
              <w:right w:val="nil"/>
            </w:tcBorders>
            <w:shd w:val="clear" w:color="auto" w:fill="B8CCE4"/>
            <w:noWrap/>
            <w:vAlign w:val="center"/>
          </w:tcPr>
          <w:p w14:paraId="4A080612" w14:textId="5852DD46" w:rsidR="009B75F3" w:rsidRPr="0035568A" w:rsidRDefault="009B75F3"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8CCE4"/>
            <w:vAlign w:val="center"/>
          </w:tcPr>
          <w:p w14:paraId="30DDC4F2" w14:textId="478CD1D5" w:rsidR="009B75F3" w:rsidRPr="0035568A" w:rsidRDefault="009B75F3" w:rsidP="007439A2">
            <w:pPr>
              <w:spacing w:before="40" w:after="40" w:line="240" w:lineRule="auto"/>
              <w:rPr>
                <w:rFonts w:ascii="Arial" w:eastAsia="Times New Roman" w:hAnsi="Arial" w:cs="Arial"/>
                <w:color w:val="000000"/>
                <w:sz w:val="16"/>
                <w:szCs w:val="16"/>
                <w:lang w:eastAsia="en-GB"/>
              </w:rPr>
            </w:pPr>
            <w:hyperlink r:id="rId39" w:history="1">
              <w:r w:rsidRPr="0035568A">
                <w:rPr>
                  <w:rStyle w:val="Hyperlink"/>
                  <w:rFonts w:ascii="Arial" w:eastAsia="Times New Roman" w:hAnsi="Arial" w:cs="Arial"/>
                  <w:sz w:val="16"/>
                  <w:szCs w:val="16"/>
                  <w:lang w:eastAsia="en-GB"/>
                </w:rPr>
                <w:t>Equinor UK Ltd</w:t>
              </w:r>
            </w:hyperlink>
          </w:p>
        </w:tc>
        <w:tc>
          <w:tcPr>
            <w:tcW w:w="0" w:type="auto"/>
            <w:tcBorders>
              <w:top w:val="nil"/>
              <w:left w:val="nil"/>
              <w:bottom w:val="nil"/>
              <w:right w:val="nil"/>
            </w:tcBorders>
            <w:shd w:val="clear" w:color="auto" w:fill="B8CCE4"/>
            <w:vAlign w:val="center"/>
          </w:tcPr>
          <w:p w14:paraId="46D93AAD" w14:textId="3A508993" w:rsidR="009B75F3" w:rsidRPr="0035568A" w:rsidRDefault="009B75F3"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1285743</w:t>
            </w:r>
          </w:p>
        </w:tc>
        <w:tc>
          <w:tcPr>
            <w:tcW w:w="0" w:type="auto"/>
            <w:tcBorders>
              <w:top w:val="nil"/>
              <w:left w:val="nil"/>
              <w:bottom w:val="nil"/>
              <w:right w:val="nil"/>
            </w:tcBorders>
            <w:shd w:val="clear" w:color="auto" w:fill="B8CCE4"/>
            <w:vAlign w:val="center"/>
          </w:tcPr>
          <w:p w14:paraId="16ACD29F" w14:textId="2818F09D" w:rsidR="009B75F3" w:rsidRPr="0035568A" w:rsidRDefault="009B75F3"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Equinor ASA</w:t>
            </w:r>
          </w:p>
        </w:tc>
      </w:tr>
      <w:tr w:rsidR="00BD4A3E" w:rsidRPr="0035568A" w14:paraId="776DA9DD" w14:textId="77777777" w:rsidTr="007439A2">
        <w:trPr>
          <w:trHeight w:val="283"/>
        </w:trPr>
        <w:tc>
          <w:tcPr>
            <w:tcW w:w="0" w:type="auto"/>
            <w:tcBorders>
              <w:top w:val="nil"/>
              <w:left w:val="nil"/>
              <w:bottom w:val="nil"/>
              <w:right w:val="nil"/>
            </w:tcBorders>
            <w:shd w:val="clear" w:color="auto" w:fill="auto"/>
            <w:noWrap/>
            <w:vAlign w:val="center"/>
            <w:hideMark/>
          </w:tcPr>
          <w:p w14:paraId="421E35C2" w14:textId="3BF85876"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16</w:t>
            </w:r>
          </w:p>
        </w:tc>
        <w:tc>
          <w:tcPr>
            <w:tcW w:w="0" w:type="auto"/>
            <w:tcBorders>
              <w:top w:val="nil"/>
              <w:left w:val="nil"/>
              <w:bottom w:val="nil"/>
              <w:right w:val="nil"/>
            </w:tcBorders>
            <w:shd w:val="clear" w:color="auto" w:fill="auto"/>
            <w:noWrap/>
            <w:vAlign w:val="center"/>
            <w:hideMark/>
          </w:tcPr>
          <w:p w14:paraId="1C013BC7" w14:textId="7777777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hideMark/>
          </w:tcPr>
          <w:p w14:paraId="765F1522" w14:textId="2647D6DA"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0" w:history="1">
              <w:r w:rsidRPr="0035568A">
                <w:rPr>
                  <w:rStyle w:val="Hyperlink"/>
                  <w:rFonts w:ascii="Arial" w:eastAsia="Times New Roman" w:hAnsi="Arial" w:cs="Arial"/>
                  <w:sz w:val="16"/>
                  <w:szCs w:val="16"/>
                  <w:lang w:eastAsia="en-GB"/>
                </w:rPr>
                <w:t>ExxonMobil International Ltd</w:t>
              </w:r>
            </w:hyperlink>
          </w:p>
        </w:tc>
        <w:tc>
          <w:tcPr>
            <w:tcW w:w="0" w:type="auto"/>
            <w:tcBorders>
              <w:top w:val="nil"/>
              <w:left w:val="nil"/>
              <w:bottom w:val="nil"/>
              <w:right w:val="nil"/>
            </w:tcBorders>
            <w:shd w:val="clear" w:color="auto" w:fill="auto"/>
            <w:vAlign w:val="center"/>
            <w:hideMark/>
          </w:tcPr>
          <w:p w14:paraId="38BAC35F" w14:textId="06FA0F8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05458042</w:t>
            </w:r>
            <w:r w:rsidRPr="0035568A">
              <w:rPr>
                <w:rStyle w:val="FootnoteReference"/>
                <w:rFonts w:ascii="Arial" w:eastAsia="Times New Roman" w:hAnsi="Arial" w:cs="Arial"/>
                <w:color w:val="000000"/>
                <w:sz w:val="16"/>
                <w:szCs w:val="16"/>
                <w:lang w:eastAsia="en-GB"/>
              </w:rPr>
              <w:footnoteReference w:id="14"/>
            </w:r>
            <w:r w:rsidRPr="0035568A">
              <w:rPr>
                <w:rFonts w:ascii="Arial" w:eastAsia="Times New Roman" w:hAnsi="Arial" w:cs="Arial"/>
                <w:color w:val="000000"/>
                <w:sz w:val="16"/>
                <w:szCs w:val="16"/>
                <w:lang w:eastAsia="en-GB"/>
              </w:rPr>
              <w:br/>
              <w:t>00207426</w:t>
            </w:r>
            <w:r w:rsidRPr="0035568A">
              <w:rPr>
                <w:rStyle w:val="FootnoteReference"/>
                <w:rFonts w:ascii="Arial" w:eastAsia="Times New Roman" w:hAnsi="Arial" w:cs="Arial"/>
                <w:color w:val="000000"/>
                <w:sz w:val="16"/>
                <w:szCs w:val="16"/>
                <w:lang w:eastAsia="en-GB"/>
              </w:rPr>
              <w:footnoteReference w:id="15"/>
            </w:r>
          </w:p>
        </w:tc>
        <w:tc>
          <w:tcPr>
            <w:tcW w:w="0" w:type="auto"/>
            <w:tcBorders>
              <w:top w:val="nil"/>
              <w:left w:val="nil"/>
              <w:bottom w:val="nil"/>
              <w:right w:val="nil"/>
            </w:tcBorders>
            <w:shd w:val="clear" w:color="auto" w:fill="auto"/>
            <w:vAlign w:val="center"/>
            <w:hideMark/>
          </w:tcPr>
          <w:p w14:paraId="6FE5DD77" w14:textId="7777777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Exxon Mobil Corporation</w:t>
            </w:r>
          </w:p>
        </w:tc>
      </w:tr>
      <w:tr w:rsidR="00BD4A3E" w:rsidRPr="00796C37" w14:paraId="246A9808" w14:textId="7FFB6F81" w:rsidTr="007439A2">
        <w:trPr>
          <w:trHeight w:val="283"/>
        </w:trPr>
        <w:tc>
          <w:tcPr>
            <w:tcW w:w="0" w:type="auto"/>
            <w:tcBorders>
              <w:top w:val="nil"/>
              <w:left w:val="nil"/>
              <w:bottom w:val="nil"/>
              <w:right w:val="nil"/>
            </w:tcBorders>
            <w:shd w:val="clear" w:color="auto" w:fill="B4C6E7"/>
            <w:noWrap/>
            <w:vAlign w:val="center"/>
          </w:tcPr>
          <w:p w14:paraId="79291D00" w14:textId="045420A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17</w:t>
            </w:r>
          </w:p>
        </w:tc>
        <w:tc>
          <w:tcPr>
            <w:tcW w:w="0" w:type="auto"/>
            <w:tcBorders>
              <w:top w:val="nil"/>
              <w:left w:val="nil"/>
              <w:bottom w:val="nil"/>
              <w:right w:val="nil"/>
            </w:tcBorders>
            <w:shd w:val="clear" w:color="auto" w:fill="B4C6E7"/>
            <w:noWrap/>
            <w:vAlign w:val="center"/>
          </w:tcPr>
          <w:p w14:paraId="394A90EC" w14:textId="5146B441" w:rsidR="00BD4A3E" w:rsidRPr="0035568A" w:rsidRDefault="00BD4A3E" w:rsidP="007439A2">
            <w:pPr>
              <w:spacing w:before="40" w:after="40" w:line="240" w:lineRule="auto"/>
              <w:jc w:val="center"/>
              <w:rPr>
                <w:rFonts w:ascii="Arial" w:eastAsia="Times New Roman" w:hAnsi="Arial" w:cs="Arial"/>
                <w:sz w:val="16"/>
                <w:szCs w:val="16"/>
                <w:lang w:eastAsia="en-GB"/>
              </w:rPr>
            </w:pPr>
            <w:r w:rsidRPr="0035568A">
              <w:rPr>
                <w:rFonts w:ascii="Arial" w:eastAsia="Times New Roman" w:hAnsi="Arial" w:cs="Arial"/>
                <w:sz w:val="16"/>
                <w:szCs w:val="16"/>
                <w:lang w:eastAsia="en-GB"/>
              </w:rPr>
              <w:t>M&amp;Q</w:t>
            </w:r>
          </w:p>
        </w:tc>
        <w:tc>
          <w:tcPr>
            <w:tcW w:w="0" w:type="auto"/>
            <w:tcBorders>
              <w:top w:val="nil"/>
              <w:left w:val="nil"/>
              <w:bottom w:val="nil"/>
              <w:right w:val="nil"/>
            </w:tcBorders>
            <w:shd w:val="clear" w:color="auto" w:fill="B4C6E7"/>
            <w:vAlign w:val="center"/>
          </w:tcPr>
          <w:p w14:paraId="7CA67463" w14:textId="5BA97D1A" w:rsidR="00BD4A3E" w:rsidRPr="0035568A" w:rsidRDefault="00BD4A3E" w:rsidP="007439A2">
            <w:pPr>
              <w:spacing w:before="40" w:after="40" w:line="240" w:lineRule="auto"/>
              <w:rPr>
                <w:rFonts w:ascii="Arial" w:eastAsia="Times New Roman" w:hAnsi="Arial" w:cs="Arial"/>
                <w:sz w:val="16"/>
                <w:szCs w:val="16"/>
                <w:lang w:eastAsia="en-GB"/>
              </w:rPr>
            </w:pPr>
            <w:hyperlink r:id="rId41" w:history="1">
              <w:r w:rsidRPr="0035568A">
                <w:rPr>
                  <w:rStyle w:val="Hyperlink"/>
                  <w:rFonts w:ascii="Arial" w:eastAsia="Times New Roman" w:hAnsi="Arial" w:cs="Arial"/>
                  <w:sz w:val="16"/>
                  <w:szCs w:val="16"/>
                  <w:lang w:eastAsia="en-GB"/>
                </w:rPr>
                <w:t>Heidelberg Materials UK</w:t>
              </w:r>
            </w:hyperlink>
          </w:p>
        </w:tc>
        <w:tc>
          <w:tcPr>
            <w:tcW w:w="0" w:type="auto"/>
            <w:tcBorders>
              <w:top w:val="nil"/>
              <w:left w:val="nil"/>
              <w:bottom w:val="nil"/>
              <w:right w:val="nil"/>
            </w:tcBorders>
            <w:shd w:val="clear" w:color="auto" w:fill="B4C6E7"/>
            <w:vAlign w:val="center"/>
          </w:tcPr>
          <w:p w14:paraId="18CC052F" w14:textId="231367E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6295350</w:t>
            </w:r>
          </w:p>
        </w:tc>
        <w:tc>
          <w:tcPr>
            <w:tcW w:w="0" w:type="auto"/>
            <w:tcBorders>
              <w:top w:val="nil"/>
              <w:left w:val="nil"/>
              <w:bottom w:val="nil"/>
              <w:right w:val="nil"/>
            </w:tcBorders>
            <w:shd w:val="clear" w:color="auto" w:fill="B4C6E7"/>
            <w:vAlign w:val="center"/>
          </w:tcPr>
          <w:p w14:paraId="65EFA26E" w14:textId="3A85BDBF" w:rsidR="00BD4A3E" w:rsidRPr="00DA4CC8" w:rsidRDefault="00BD4A3E" w:rsidP="007439A2">
            <w:pPr>
              <w:spacing w:before="40" w:after="40" w:line="240" w:lineRule="auto"/>
              <w:rPr>
                <w:rFonts w:ascii="Arial" w:eastAsia="Times New Roman" w:hAnsi="Arial" w:cs="Arial"/>
                <w:color w:val="000000"/>
                <w:sz w:val="16"/>
                <w:szCs w:val="16"/>
                <w:lang w:val="de-DE" w:eastAsia="en-GB"/>
              </w:rPr>
            </w:pPr>
            <w:r w:rsidRPr="00DA4CC8">
              <w:rPr>
                <w:rFonts w:ascii="Arial" w:eastAsia="Times New Roman" w:hAnsi="Arial" w:cs="Arial"/>
                <w:color w:val="000000"/>
                <w:sz w:val="16"/>
                <w:szCs w:val="16"/>
                <w:lang w:val="de-DE" w:eastAsia="en-GB"/>
              </w:rPr>
              <w:t>Heidelberg Materials UK Holding Ltd</w:t>
            </w:r>
          </w:p>
        </w:tc>
      </w:tr>
      <w:tr w:rsidR="00BD4A3E" w:rsidRPr="0035568A" w14:paraId="48076C4C" w14:textId="77777777" w:rsidTr="007439A2">
        <w:trPr>
          <w:trHeight w:val="283"/>
        </w:trPr>
        <w:tc>
          <w:tcPr>
            <w:tcW w:w="0" w:type="auto"/>
            <w:tcBorders>
              <w:top w:val="nil"/>
              <w:left w:val="nil"/>
              <w:bottom w:val="nil"/>
              <w:right w:val="nil"/>
            </w:tcBorders>
            <w:shd w:val="clear" w:color="auto" w:fill="auto"/>
            <w:noWrap/>
            <w:vAlign w:val="center"/>
          </w:tcPr>
          <w:p w14:paraId="377F6C54" w14:textId="28D114E4"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18</w:t>
            </w:r>
          </w:p>
        </w:tc>
        <w:tc>
          <w:tcPr>
            <w:tcW w:w="0" w:type="auto"/>
            <w:tcBorders>
              <w:top w:val="nil"/>
              <w:left w:val="nil"/>
              <w:bottom w:val="nil"/>
              <w:right w:val="nil"/>
            </w:tcBorders>
            <w:shd w:val="clear" w:color="auto" w:fill="auto"/>
            <w:noWrap/>
            <w:vAlign w:val="center"/>
          </w:tcPr>
          <w:p w14:paraId="2E6BA038" w14:textId="781B2FF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tcPr>
          <w:p w14:paraId="71EE45AE" w14:textId="0D6B89CE"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2" w:history="1">
              <w:r w:rsidRPr="0035568A">
                <w:rPr>
                  <w:rStyle w:val="Hyperlink"/>
                  <w:rFonts w:ascii="Arial" w:eastAsia="Times New Roman" w:hAnsi="Arial" w:cs="Arial"/>
                  <w:sz w:val="16"/>
                  <w:szCs w:val="16"/>
                  <w:lang w:eastAsia="en-GB"/>
                </w:rPr>
                <w:t>Harbour Energy Plc</w:t>
              </w:r>
            </w:hyperlink>
          </w:p>
        </w:tc>
        <w:tc>
          <w:tcPr>
            <w:tcW w:w="0" w:type="auto"/>
            <w:tcBorders>
              <w:top w:val="nil"/>
              <w:left w:val="nil"/>
              <w:bottom w:val="nil"/>
              <w:right w:val="nil"/>
            </w:tcBorders>
            <w:shd w:val="clear" w:color="auto" w:fill="auto"/>
            <w:vAlign w:val="center"/>
          </w:tcPr>
          <w:p w14:paraId="5CF40D09" w14:textId="2FB75A38"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SC234781</w:t>
            </w:r>
          </w:p>
        </w:tc>
        <w:tc>
          <w:tcPr>
            <w:tcW w:w="0" w:type="auto"/>
            <w:tcBorders>
              <w:top w:val="nil"/>
              <w:left w:val="nil"/>
              <w:bottom w:val="nil"/>
              <w:right w:val="nil"/>
            </w:tcBorders>
            <w:shd w:val="clear" w:color="auto" w:fill="auto"/>
            <w:vAlign w:val="center"/>
          </w:tcPr>
          <w:p w14:paraId="19A4F09B" w14:textId="465DAE6B"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Harbour Energy Plc</w:t>
            </w:r>
          </w:p>
        </w:tc>
      </w:tr>
      <w:tr w:rsidR="00BD4A3E" w:rsidRPr="0035568A" w14:paraId="5E5F674C" w14:textId="77777777" w:rsidTr="007439A2">
        <w:trPr>
          <w:trHeight w:val="283"/>
        </w:trPr>
        <w:tc>
          <w:tcPr>
            <w:tcW w:w="0" w:type="auto"/>
            <w:tcBorders>
              <w:top w:val="nil"/>
              <w:left w:val="nil"/>
              <w:bottom w:val="nil"/>
              <w:right w:val="nil"/>
            </w:tcBorders>
            <w:shd w:val="clear" w:color="auto" w:fill="B4C6E7"/>
            <w:noWrap/>
            <w:vAlign w:val="center"/>
          </w:tcPr>
          <w:p w14:paraId="7776443B" w14:textId="37CD098A"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19</w:t>
            </w:r>
          </w:p>
        </w:tc>
        <w:tc>
          <w:tcPr>
            <w:tcW w:w="0" w:type="auto"/>
            <w:tcBorders>
              <w:top w:val="nil"/>
              <w:left w:val="nil"/>
              <w:bottom w:val="nil"/>
              <w:right w:val="nil"/>
            </w:tcBorders>
            <w:shd w:val="clear" w:color="auto" w:fill="B4C6E7"/>
            <w:noWrap/>
            <w:vAlign w:val="center"/>
          </w:tcPr>
          <w:p w14:paraId="0F24717D" w14:textId="79440C4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tcPr>
          <w:p w14:paraId="04228B2D" w14:textId="6AD8BC10"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3" w:history="1">
              <w:r w:rsidRPr="0035568A">
                <w:rPr>
                  <w:rStyle w:val="Hyperlink"/>
                  <w:rFonts w:ascii="Arial" w:eastAsia="Times New Roman" w:hAnsi="Arial" w:cs="Arial"/>
                  <w:sz w:val="16"/>
                  <w:szCs w:val="16"/>
                  <w:lang w:eastAsia="en-GB"/>
                </w:rPr>
                <w:t>Ithaca Energy UK</w:t>
              </w:r>
            </w:hyperlink>
          </w:p>
        </w:tc>
        <w:tc>
          <w:tcPr>
            <w:tcW w:w="0" w:type="auto"/>
            <w:tcBorders>
              <w:top w:val="nil"/>
              <w:left w:val="nil"/>
              <w:bottom w:val="nil"/>
              <w:right w:val="nil"/>
            </w:tcBorders>
            <w:shd w:val="clear" w:color="auto" w:fill="B4C6E7"/>
            <w:vAlign w:val="center"/>
          </w:tcPr>
          <w:p w14:paraId="3C41EAC1" w14:textId="348AB4F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SC272009</w:t>
            </w:r>
          </w:p>
        </w:tc>
        <w:tc>
          <w:tcPr>
            <w:tcW w:w="0" w:type="auto"/>
            <w:tcBorders>
              <w:top w:val="nil"/>
              <w:left w:val="nil"/>
              <w:bottom w:val="nil"/>
              <w:right w:val="nil"/>
            </w:tcBorders>
            <w:shd w:val="clear" w:color="auto" w:fill="B4C6E7"/>
            <w:vAlign w:val="center"/>
          </w:tcPr>
          <w:p w14:paraId="47D7CACD" w14:textId="484C3DCB"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Delek Group Ltd</w:t>
            </w:r>
          </w:p>
        </w:tc>
      </w:tr>
      <w:tr w:rsidR="00BD4A3E" w:rsidRPr="0035568A" w14:paraId="22761BAD" w14:textId="77777777" w:rsidTr="007439A2">
        <w:trPr>
          <w:trHeight w:val="283"/>
        </w:trPr>
        <w:tc>
          <w:tcPr>
            <w:tcW w:w="0" w:type="auto"/>
            <w:tcBorders>
              <w:top w:val="nil"/>
              <w:left w:val="nil"/>
              <w:bottom w:val="nil"/>
              <w:right w:val="nil"/>
            </w:tcBorders>
            <w:shd w:val="clear" w:color="auto" w:fill="auto"/>
            <w:noWrap/>
            <w:vAlign w:val="center"/>
          </w:tcPr>
          <w:p w14:paraId="20BC705A" w14:textId="4FF3B75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20</w:t>
            </w:r>
          </w:p>
        </w:tc>
        <w:tc>
          <w:tcPr>
            <w:tcW w:w="0" w:type="auto"/>
            <w:tcBorders>
              <w:top w:val="nil"/>
              <w:left w:val="nil"/>
              <w:bottom w:val="nil"/>
              <w:right w:val="nil"/>
            </w:tcBorders>
            <w:shd w:val="clear" w:color="auto" w:fill="auto"/>
            <w:noWrap/>
            <w:vAlign w:val="center"/>
          </w:tcPr>
          <w:p w14:paraId="782EFF0A" w14:textId="12F666E5"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tcPr>
          <w:p w14:paraId="3DFB1460" w14:textId="33239313" w:rsidR="00BD4A3E" w:rsidRPr="0035568A" w:rsidRDefault="00B47547" w:rsidP="007439A2">
            <w:pPr>
              <w:spacing w:before="40" w:after="40" w:line="240" w:lineRule="auto"/>
              <w:rPr>
                <w:rFonts w:ascii="Arial" w:eastAsia="Times New Roman" w:hAnsi="Arial" w:cs="Arial"/>
                <w:color w:val="000000"/>
                <w:sz w:val="16"/>
                <w:szCs w:val="16"/>
                <w:lang w:eastAsia="en-GB"/>
              </w:rPr>
            </w:pPr>
            <w:hyperlink r:id="rId44" w:history="1">
              <w:r>
                <w:rPr>
                  <w:rStyle w:val="Hyperlink"/>
                  <w:rFonts w:ascii="Arial" w:eastAsia="Times New Roman" w:hAnsi="Arial" w:cs="Arial"/>
                  <w:sz w:val="16"/>
                  <w:szCs w:val="16"/>
                  <w:lang w:eastAsia="en-GB"/>
                </w:rPr>
                <w:t>Repsol Resources UK Ltd</w:t>
              </w:r>
            </w:hyperlink>
          </w:p>
        </w:tc>
        <w:tc>
          <w:tcPr>
            <w:tcW w:w="0" w:type="auto"/>
            <w:tcBorders>
              <w:top w:val="nil"/>
              <w:left w:val="nil"/>
              <w:bottom w:val="nil"/>
              <w:right w:val="nil"/>
            </w:tcBorders>
            <w:shd w:val="clear" w:color="auto" w:fill="auto"/>
            <w:vAlign w:val="center"/>
          </w:tcPr>
          <w:p w14:paraId="64497686" w14:textId="5E88456B"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00825828</w:t>
            </w:r>
          </w:p>
        </w:tc>
        <w:tc>
          <w:tcPr>
            <w:tcW w:w="0" w:type="auto"/>
            <w:tcBorders>
              <w:top w:val="nil"/>
              <w:left w:val="nil"/>
              <w:bottom w:val="nil"/>
              <w:right w:val="nil"/>
            </w:tcBorders>
            <w:shd w:val="clear" w:color="auto" w:fill="auto"/>
            <w:vAlign w:val="center"/>
          </w:tcPr>
          <w:p w14:paraId="7154CFBD" w14:textId="2CDC0339"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Repsol SA</w:t>
            </w:r>
          </w:p>
        </w:tc>
      </w:tr>
      <w:tr w:rsidR="00BD4A3E" w:rsidRPr="0035568A" w14:paraId="6576ED41" w14:textId="77777777" w:rsidTr="007439A2">
        <w:trPr>
          <w:trHeight w:val="283"/>
        </w:trPr>
        <w:tc>
          <w:tcPr>
            <w:tcW w:w="0" w:type="auto"/>
            <w:tcBorders>
              <w:top w:val="nil"/>
              <w:left w:val="nil"/>
              <w:bottom w:val="nil"/>
              <w:right w:val="nil"/>
            </w:tcBorders>
            <w:shd w:val="clear" w:color="auto" w:fill="B4C6E7"/>
            <w:noWrap/>
            <w:vAlign w:val="center"/>
          </w:tcPr>
          <w:p w14:paraId="3310941E" w14:textId="53CC838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21</w:t>
            </w:r>
          </w:p>
        </w:tc>
        <w:tc>
          <w:tcPr>
            <w:tcW w:w="0" w:type="auto"/>
            <w:tcBorders>
              <w:top w:val="nil"/>
              <w:left w:val="nil"/>
              <w:bottom w:val="nil"/>
              <w:right w:val="nil"/>
            </w:tcBorders>
            <w:shd w:val="clear" w:color="auto" w:fill="B4C6E7"/>
            <w:noWrap/>
            <w:vAlign w:val="center"/>
          </w:tcPr>
          <w:p w14:paraId="1E0F23C8" w14:textId="1E96082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tcPr>
          <w:p w14:paraId="45DC842D" w14:textId="3DB21AEB"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5" w:history="1">
              <w:r w:rsidRPr="0035568A">
                <w:rPr>
                  <w:rStyle w:val="Hyperlink"/>
                  <w:rFonts w:ascii="Arial" w:eastAsia="Times New Roman" w:hAnsi="Arial" w:cs="Arial"/>
                  <w:sz w:val="16"/>
                  <w:szCs w:val="16"/>
                  <w:lang w:eastAsia="en-GB"/>
                </w:rPr>
                <w:t>Shell Plc</w:t>
              </w:r>
            </w:hyperlink>
          </w:p>
        </w:tc>
        <w:tc>
          <w:tcPr>
            <w:tcW w:w="0" w:type="auto"/>
            <w:tcBorders>
              <w:top w:val="nil"/>
              <w:left w:val="nil"/>
              <w:bottom w:val="nil"/>
              <w:right w:val="nil"/>
            </w:tcBorders>
            <w:shd w:val="clear" w:color="auto" w:fill="B4C6E7"/>
            <w:vAlign w:val="center"/>
          </w:tcPr>
          <w:p w14:paraId="37C787FE" w14:textId="525D360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04366849</w:t>
            </w:r>
          </w:p>
        </w:tc>
        <w:tc>
          <w:tcPr>
            <w:tcW w:w="0" w:type="auto"/>
            <w:tcBorders>
              <w:top w:val="nil"/>
              <w:left w:val="nil"/>
              <w:bottom w:val="nil"/>
              <w:right w:val="nil"/>
            </w:tcBorders>
            <w:shd w:val="clear" w:color="auto" w:fill="B4C6E7"/>
            <w:vAlign w:val="center"/>
          </w:tcPr>
          <w:p w14:paraId="7CB8E659" w14:textId="617A0A17"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Shell Plc</w:t>
            </w:r>
          </w:p>
        </w:tc>
      </w:tr>
      <w:tr w:rsidR="00BD4A3E" w:rsidRPr="0035568A" w14:paraId="5A27F8FE" w14:textId="77777777" w:rsidTr="007439A2">
        <w:trPr>
          <w:trHeight w:val="283"/>
        </w:trPr>
        <w:tc>
          <w:tcPr>
            <w:tcW w:w="0" w:type="auto"/>
            <w:tcBorders>
              <w:top w:val="nil"/>
              <w:left w:val="nil"/>
              <w:bottom w:val="nil"/>
              <w:right w:val="nil"/>
            </w:tcBorders>
            <w:shd w:val="clear" w:color="auto" w:fill="auto"/>
            <w:noWrap/>
            <w:vAlign w:val="center"/>
          </w:tcPr>
          <w:p w14:paraId="1E78D518" w14:textId="67DDC6F9"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22</w:t>
            </w:r>
          </w:p>
        </w:tc>
        <w:tc>
          <w:tcPr>
            <w:tcW w:w="0" w:type="auto"/>
            <w:tcBorders>
              <w:top w:val="nil"/>
              <w:left w:val="nil"/>
              <w:bottom w:val="nil"/>
              <w:right w:val="nil"/>
            </w:tcBorders>
            <w:shd w:val="clear" w:color="auto" w:fill="auto"/>
            <w:noWrap/>
            <w:vAlign w:val="center"/>
          </w:tcPr>
          <w:p w14:paraId="1C93C493" w14:textId="43439E44"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auto" w:fill="auto"/>
            <w:vAlign w:val="center"/>
          </w:tcPr>
          <w:p w14:paraId="6BE9007C" w14:textId="3F4A3DA3"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6" w:history="1">
              <w:r w:rsidRPr="0035568A">
                <w:rPr>
                  <w:rStyle w:val="Hyperlink"/>
                  <w:rFonts w:ascii="Arial" w:eastAsia="Times New Roman" w:hAnsi="Arial" w:cs="Arial"/>
                  <w:sz w:val="16"/>
                  <w:szCs w:val="16"/>
                  <w:lang w:eastAsia="en-GB"/>
                </w:rPr>
                <w:t>Saint-Gobain Ltd</w:t>
              </w:r>
            </w:hyperlink>
          </w:p>
        </w:tc>
        <w:tc>
          <w:tcPr>
            <w:tcW w:w="0" w:type="auto"/>
            <w:tcBorders>
              <w:top w:val="nil"/>
              <w:left w:val="nil"/>
              <w:bottom w:val="nil"/>
              <w:right w:val="nil"/>
            </w:tcBorders>
            <w:shd w:val="clear" w:color="auto" w:fill="auto"/>
            <w:vAlign w:val="center"/>
          </w:tcPr>
          <w:p w14:paraId="64C48104" w14:textId="7AB0E21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03291592</w:t>
            </w:r>
          </w:p>
        </w:tc>
        <w:tc>
          <w:tcPr>
            <w:tcW w:w="0" w:type="auto"/>
            <w:tcBorders>
              <w:top w:val="nil"/>
              <w:left w:val="nil"/>
              <w:bottom w:val="nil"/>
              <w:right w:val="nil"/>
            </w:tcBorders>
            <w:shd w:val="clear" w:color="auto" w:fill="auto"/>
            <w:vAlign w:val="center"/>
          </w:tcPr>
          <w:p w14:paraId="61966CEA" w14:textId="6EDD7B11"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Compagnie de Saint-Gobain</w:t>
            </w:r>
          </w:p>
        </w:tc>
      </w:tr>
      <w:tr w:rsidR="00BD4A3E" w:rsidRPr="0035568A" w14:paraId="74A9EEA4" w14:textId="77777777" w:rsidTr="007439A2">
        <w:trPr>
          <w:trHeight w:val="283"/>
        </w:trPr>
        <w:tc>
          <w:tcPr>
            <w:tcW w:w="0" w:type="auto"/>
            <w:tcBorders>
              <w:top w:val="nil"/>
              <w:left w:val="nil"/>
              <w:bottom w:val="nil"/>
              <w:right w:val="nil"/>
            </w:tcBorders>
            <w:shd w:val="clear" w:color="auto" w:fill="B4C6E7"/>
            <w:noWrap/>
            <w:vAlign w:val="center"/>
          </w:tcPr>
          <w:p w14:paraId="4A881285" w14:textId="422739DD"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23</w:t>
            </w:r>
          </w:p>
        </w:tc>
        <w:tc>
          <w:tcPr>
            <w:tcW w:w="0" w:type="auto"/>
            <w:tcBorders>
              <w:top w:val="nil"/>
              <w:left w:val="nil"/>
              <w:bottom w:val="nil"/>
              <w:right w:val="nil"/>
            </w:tcBorders>
            <w:shd w:val="clear" w:color="auto" w:fill="B4C6E7"/>
            <w:noWrap/>
            <w:vAlign w:val="center"/>
          </w:tcPr>
          <w:p w14:paraId="613B67E2" w14:textId="546C780E"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tcPr>
          <w:p w14:paraId="3F0D34B3" w14:textId="15799D09"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47" w:history="1">
              <w:r w:rsidRPr="0035568A">
                <w:rPr>
                  <w:rStyle w:val="Hyperlink"/>
                  <w:rFonts w:ascii="Arial" w:eastAsia="Times New Roman" w:hAnsi="Arial" w:cs="Arial"/>
                  <w:sz w:val="16"/>
                  <w:szCs w:val="16"/>
                  <w:lang w:eastAsia="en-GB"/>
                </w:rPr>
                <w:t>Serica Energy Plc</w:t>
              </w:r>
            </w:hyperlink>
          </w:p>
        </w:tc>
        <w:tc>
          <w:tcPr>
            <w:tcW w:w="0" w:type="auto"/>
            <w:tcBorders>
              <w:top w:val="nil"/>
              <w:left w:val="nil"/>
              <w:bottom w:val="nil"/>
              <w:right w:val="nil"/>
            </w:tcBorders>
            <w:shd w:val="clear" w:color="auto" w:fill="B4C6E7"/>
            <w:vAlign w:val="center"/>
          </w:tcPr>
          <w:p w14:paraId="78AB8A92" w14:textId="10B65075"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04073712</w:t>
            </w:r>
          </w:p>
        </w:tc>
        <w:tc>
          <w:tcPr>
            <w:tcW w:w="0" w:type="auto"/>
            <w:tcBorders>
              <w:top w:val="nil"/>
              <w:left w:val="nil"/>
              <w:bottom w:val="nil"/>
              <w:right w:val="nil"/>
            </w:tcBorders>
            <w:shd w:val="clear" w:color="auto" w:fill="B4C6E7"/>
            <w:vAlign w:val="center"/>
          </w:tcPr>
          <w:p w14:paraId="67EFF12E" w14:textId="6936BA0A"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Serica Energy Plc</w:t>
            </w:r>
          </w:p>
        </w:tc>
      </w:tr>
      <w:tr w:rsidR="00BD4A3E" w:rsidRPr="0035568A" w14:paraId="7DC4CA2F" w14:textId="77777777" w:rsidTr="007439A2">
        <w:trPr>
          <w:trHeight w:val="283"/>
        </w:trPr>
        <w:tc>
          <w:tcPr>
            <w:tcW w:w="0" w:type="auto"/>
            <w:tcBorders>
              <w:top w:val="nil"/>
              <w:left w:val="nil"/>
              <w:bottom w:val="nil"/>
              <w:right w:val="nil"/>
            </w:tcBorders>
            <w:shd w:val="clear" w:color="auto" w:fill="auto"/>
            <w:noWrap/>
            <w:vAlign w:val="center"/>
          </w:tcPr>
          <w:p w14:paraId="36350EE0" w14:textId="75E3B357"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24</w:t>
            </w:r>
          </w:p>
        </w:tc>
        <w:tc>
          <w:tcPr>
            <w:tcW w:w="0" w:type="auto"/>
            <w:tcBorders>
              <w:top w:val="nil"/>
              <w:left w:val="nil"/>
              <w:bottom w:val="nil"/>
              <w:right w:val="nil"/>
            </w:tcBorders>
            <w:shd w:val="clear" w:color="auto" w:fill="auto"/>
            <w:noWrap/>
            <w:vAlign w:val="center"/>
          </w:tcPr>
          <w:p w14:paraId="2C88869C" w14:textId="603611F9"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tcPr>
          <w:p w14:paraId="0CA0E358" w14:textId="4977E868"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Suncor Energy UK Ltd (</w:t>
            </w:r>
            <w:hyperlink r:id="rId48" w:history="1">
              <w:r w:rsidRPr="0035568A">
                <w:rPr>
                  <w:rStyle w:val="Hyperlink"/>
                  <w:rFonts w:ascii="Arial" w:eastAsia="Times New Roman" w:hAnsi="Arial" w:cs="Arial"/>
                  <w:sz w:val="16"/>
                  <w:szCs w:val="16"/>
                  <w:lang w:eastAsia="en-GB"/>
                </w:rPr>
                <w:t>NYSE</w:t>
              </w:r>
            </w:hyperlink>
            <w:r w:rsidRPr="0035568A">
              <w:rPr>
                <w:rFonts w:ascii="Arial" w:eastAsia="Times New Roman" w:hAnsi="Arial" w:cs="Arial"/>
                <w:color w:val="000000"/>
                <w:sz w:val="16"/>
                <w:szCs w:val="16"/>
                <w:lang w:eastAsia="en-GB"/>
              </w:rPr>
              <w:t xml:space="preserve"> &amp; </w:t>
            </w:r>
            <w:hyperlink r:id="rId49" w:history="1">
              <w:r w:rsidRPr="0035568A">
                <w:rPr>
                  <w:rStyle w:val="Hyperlink"/>
                  <w:rFonts w:ascii="Arial" w:eastAsia="Times New Roman" w:hAnsi="Arial" w:cs="Arial"/>
                  <w:sz w:val="16"/>
                  <w:szCs w:val="16"/>
                  <w:lang w:eastAsia="en-GB"/>
                </w:rPr>
                <w:t>Toronto</w:t>
              </w:r>
            </w:hyperlink>
            <w:r w:rsidRPr="0035568A">
              <w:rPr>
                <w:rFonts w:ascii="Arial" w:eastAsia="Times New Roman" w:hAnsi="Arial" w:cs="Arial"/>
                <w:color w:val="000000"/>
                <w:sz w:val="16"/>
                <w:szCs w:val="16"/>
                <w:lang w:eastAsia="en-GB"/>
              </w:rPr>
              <w:t>)</w:t>
            </w:r>
          </w:p>
        </w:tc>
        <w:tc>
          <w:tcPr>
            <w:tcW w:w="0" w:type="auto"/>
            <w:tcBorders>
              <w:top w:val="nil"/>
              <w:left w:val="nil"/>
              <w:bottom w:val="nil"/>
              <w:right w:val="nil"/>
            </w:tcBorders>
            <w:shd w:val="clear" w:color="auto" w:fill="auto"/>
            <w:vAlign w:val="center"/>
          </w:tcPr>
          <w:p w14:paraId="133E6430" w14:textId="12B60E79"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00972618</w:t>
            </w:r>
          </w:p>
        </w:tc>
        <w:tc>
          <w:tcPr>
            <w:tcW w:w="0" w:type="auto"/>
            <w:tcBorders>
              <w:top w:val="nil"/>
              <w:left w:val="nil"/>
              <w:bottom w:val="nil"/>
              <w:right w:val="nil"/>
            </w:tcBorders>
            <w:shd w:val="clear" w:color="auto" w:fill="auto"/>
            <w:vAlign w:val="center"/>
          </w:tcPr>
          <w:p w14:paraId="5B964846" w14:textId="6D55FE03"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Suncor Energy UK Holdings Ltd</w:t>
            </w:r>
          </w:p>
        </w:tc>
      </w:tr>
      <w:tr w:rsidR="00BD4A3E" w:rsidRPr="0035568A" w14:paraId="0D7C2677" w14:textId="77777777" w:rsidTr="007439A2">
        <w:trPr>
          <w:trHeight w:val="283"/>
        </w:trPr>
        <w:tc>
          <w:tcPr>
            <w:tcW w:w="0" w:type="auto"/>
            <w:tcBorders>
              <w:top w:val="nil"/>
              <w:left w:val="nil"/>
              <w:bottom w:val="nil"/>
              <w:right w:val="nil"/>
            </w:tcBorders>
            <w:shd w:val="clear" w:color="auto" w:fill="B4C6E7"/>
            <w:noWrap/>
            <w:vAlign w:val="center"/>
          </w:tcPr>
          <w:p w14:paraId="018D61BE" w14:textId="3B640B90"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25</w:t>
            </w:r>
          </w:p>
        </w:tc>
        <w:tc>
          <w:tcPr>
            <w:tcW w:w="0" w:type="auto"/>
            <w:tcBorders>
              <w:top w:val="nil"/>
              <w:left w:val="nil"/>
              <w:bottom w:val="nil"/>
              <w:right w:val="nil"/>
            </w:tcBorders>
            <w:shd w:val="clear" w:color="auto" w:fill="B4C6E7"/>
            <w:noWrap/>
            <w:vAlign w:val="center"/>
          </w:tcPr>
          <w:p w14:paraId="27EB6275" w14:textId="4AF0A49C"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tcPr>
          <w:p w14:paraId="0C2CF155" w14:textId="18BE7475"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50" w:history="1">
              <w:r w:rsidRPr="0035568A">
                <w:rPr>
                  <w:rStyle w:val="Hyperlink"/>
                  <w:rFonts w:ascii="Arial" w:eastAsia="Times New Roman" w:hAnsi="Arial" w:cs="Arial"/>
                  <w:sz w:val="16"/>
                  <w:szCs w:val="16"/>
                  <w:lang w:eastAsia="en-GB"/>
                </w:rPr>
                <w:t>TAQA</w:t>
              </w:r>
            </w:hyperlink>
          </w:p>
        </w:tc>
        <w:tc>
          <w:tcPr>
            <w:tcW w:w="0" w:type="auto"/>
            <w:tcBorders>
              <w:top w:val="nil"/>
              <w:left w:val="nil"/>
              <w:bottom w:val="nil"/>
              <w:right w:val="nil"/>
            </w:tcBorders>
            <w:shd w:val="clear" w:color="auto" w:fill="B4C6E7"/>
            <w:vAlign w:val="center"/>
          </w:tcPr>
          <w:p w14:paraId="33330C27" w14:textId="36880B2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05975475</w:t>
            </w:r>
          </w:p>
        </w:tc>
        <w:tc>
          <w:tcPr>
            <w:tcW w:w="0" w:type="auto"/>
            <w:tcBorders>
              <w:top w:val="nil"/>
              <w:left w:val="nil"/>
              <w:bottom w:val="nil"/>
              <w:right w:val="nil"/>
            </w:tcBorders>
            <w:shd w:val="clear" w:color="auto" w:fill="B4C6E7"/>
            <w:vAlign w:val="center"/>
          </w:tcPr>
          <w:p w14:paraId="48661430" w14:textId="1C1FC942"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Abu Dhabi Developmental Holding Company PJSC (ADQ)</w:t>
            </w:r>
          </w:p>
        </w:tc>
      </w:tr>
      <w:tr w:rsidR="00BD4A3E" w:rsidRPr="0035568A" w14:paraId="4B8619DB" w14:textId="77777777" w:rsidTr="007439A2">
        <w:trPr>
          <w:trHeight w:val="283"/>
        </w:trPr>
        <w:tc>
          <w:tcPr>
            <w:tcW w:w="0" w:type="auto"/>
            <w:tcBorders>
              <w:top w:val="nil"/>
              <w:left w:val="nil"/>
              <w:bottom w:val="nil"/>
              <w:right w:val="nil"/>
            </w:tcBorders>
            <w:shd w:val="clear" w:color="auto" w:fill="auto"/>
            <w:noWrap/>
            <w:vAlign w:val="center"/>
          </w:tcPr>
          <w:p w14:paraId="6EDC5A4D" w14:textId="081C7001"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26</w:t>
            </w:r>
          </w:p>
        </w:tc>
        <w:tc>
          <w:tcPr>
            <w:tcW w:w="0" w:type="auto"/>
            <w:tcBorders>
              <w:top w:val="nil"/>
              <w:left w:val="nil"/>
              <w:bottom w:val="nil"/>
              <w:right w:val="nil"/>
            </w:tcBorders>
            <w:shd w:val="clear" w:color="auto" w:fill="auto"/>
            <w:noWrap/>
            <w:vAlign w:val="center"/>
          </w:tcPr>
          <w:p w14:paraId="16812939" w14:textId="10BB3D7C"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0" w:type="auto"/>
            <w:tcBorders>
              <w:top w:val="nil"/>
              <w:left w:val="nil"/>
              <w:bottom w:val="nil"/>
              <w:right w:val="nil"/>
            </w:tcBorders>
            <w:shd w:val="clear" w:color="auto" w:fill="auto"/>
            <w:vAlign w:val="center"/>
          </w:tcPr>
          <w:p w14:paraId="74171CE3" w14:textId="22A9582E" w:rsidR="00BD4A3E" w:rsidRPr="0035568A" w:rsidRDefault="00BD4A3E" w:rsidP="007439A2">
            <w:pPr>
              <w:spacing w:before="40" w:after="40" w:line="240" w:lineRule="auto"/>
              <w:rPr>
                <w:rFonts w:ascii="Arial" w:eastAsia="Times New Roman" w:hAnsi="Arial" w:cs="Arial"/>
                <w:color w:val="000000"/>
                <w:sz w:val="16"/>
                <w:szCs w:val="16"/>
                <w:lang w:eastAsia="en-GB"/>
              </w:rPr>
            </w:pPr>
            <w:hyperlink r:id="rId51" w:history="1">
              <w:r w:rsidRPr="0035568A">
                <w:rPr>
                  <w:rStyle w:val="Hyperlink"/>
                  <w:rFonts w:ascii="Arial" w:eastAsia="Times New Roman" w:hAnsi="Arial" w:cs="Arial"/>
                  <w:sz w:val="16"/>
                  <w:szCs w:val="16"/>
                  <w:lang w:eastAsia="en-GB"/>
                </w:rPr>
                <w:t>Tarmac Holdings Ltd</w:t>
              </w:r>
            </w:hyperlink>
          </w:p>
        </w:tc>
        <w:tc>
          <w:tcPr>
            <w:tcW w:w="0" w:type="auto"/>
            <w:tcBorders>
              <w:top w:val="nil"/>
              <w:left w:val="nil"/>
              <w:bottom w:val="nil"/>
              <w:right w:val="nil"/>
            </w:tcBorders>
            <w:shd w:val="clear" w:color="auto" w:fill="auto"/>
            <w:vAlign w:val="center"/>
          </w:tcPr>
          <w:p w14:paraId="35BC1E9C" w14:textId="7F72EE3B" w:rsidR="00BD4A3E" w:rsidRPr="0035568A" w:rsidRDefault="00BD4A3E"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07533961</w:t>
            </w:r>
          </w:p>
        </w:tc>
        <w:tc>
          <w:tcPr>
            <w:tcW w:w="0" w:type="auto"/>
            <w:tcBorders>
              <w:top w:val="nil"/>
              <w:left w:val="nil"/>
              <w:bottom w:val="nil"/>
              <w:right w:val="nil"/>
            </w:tcBorders>
            <w:shd w:val="clear" w:color="auto" w:fill="auto"/>
            <w:vAlign w:val="center"/>
          </w:tcPr>
          <w:p w14:paraId="0CEF211D" w14:textId="5FB1CF1F" w:rsidR="00BD4A3E" w:rsidRPr="0035568A" w:rsidRDefault="00BD4A3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CRH Plc</w:t>
            </w:r>
          </w:p>
        </w:tc>
      </w:tr>
      <w:tr w:rsidR="00210FF5" w:rsidRPr="0035568A" w14:paraId="0E104E92" w14:textId="77777777" w:rsidTr="00D86338">
        <w:trPr>
          <w:trHeight w:val="283"/>
        </w:trPr>
        <w:tc>
          <w:tcPr>
            <w:tcW w:w="0" w:type="auto"/>
            <w:tcBorders>
              <w:top w:val="nil"/>
              <w:left w:val="nil"/>
              <w:bottom w:val="nil"/>
              <w:right w:val="nil"/>
            </w:tcBorders>
            <w:shd w:val="clear" w:color="auto" w:fill="B4C6E7"/>
            <w:noWrap/>
            <w:vAlign w:val="center"/>
          </w:tcPr>
          <w:p w14:paraId="734572DD" w14:textId="77777777" w:rsidR="00210FF5" w:rsidRPr="0035568A" w:rsidRDefault="00210FF5" w:rsidP="00D86338">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27</w:t>
            </w:r>
          </w:p>
        </w:tc>
        <w:tc>
          <w:tcPr>
            <w:tcW w:w="0" w:type="auto"/>
            <w:tcBorders>
              <w:top w:val="nil"/>
              <w:left w:val="nil"/>
              <w:bottom w:val="nil"/>
              <w:right w:val="nil"/>
            </w:tcBorders>
            <w:shd w:val="clear" w:color="auto" w:fill="B4C6E7"/>
            <w:noWrap/>
            <w:vAlign w:val="center"/>
          </w:tcPr>
          <w:p w14:paraId="4A546F03" w14:textId="77777777" w:rsidR="00210FF5" w:rsidRPr="0035568A" w:rsidRDefault="00210FF5" w:rsidP="00D86338">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B4C6E7"/>
            <w:vAlign w:val="center"/>
          </w:tcPr>
          <w:p w14:paraId="2433A121" w14:textId="77777777" w:rsidR="00210FF5" w:rsidRPr="0035568A" w:rsidRDefault="00210FF5" w:rsidP="00D86338">
            <w:pPr>
              <w:spacing w:before="40" w:after="40" w:line="240" w:lineRule="auto"/>
              <w:rPr>
                <w:rFonts w:ascii="Arial" w:eastAsia="Times New Roman" w:hAnsi="Arial" w:cs="Arial"/>
                <w:color w:val="000000"/>
                <w:sz w:val="16"/>
                <w:szCs w:val="16"/>
                <w:lang w:eastAsia="en-GB"/>
              </w:rPr>
            </w:pPr>
            <w:hyperlink r:id="rId52" w:history="1">
              <w:r w:rsidRPr="0035568A">
                <w:rPr>
                  <w:rStyle w:val="Hyperlink"/>
                  <w:rFonts w:ascii="Arial" w:eastAsia="Times New Roman" w:hAnsi="Arial" w:cs="Arial"/>
                  <w:sz w:val="16"/>
                  <w:szCs w:val="16"/>
                  <w:lang w:eastAsia="en-GB"/>
                </w:rPr>
                <w:t>TotalEnergies Holdings UK Ltd</w:t>
              </w:r>
            </w:hyperlink>
          </w:p>
        </w:tc>
        <w:tc>
          <w:tcPr>
            <w:tcW w:w="0" w:type="auto"/>
            <w:tcBorders>
              <w:top w:val="nil"/>
              <w:left w:val="nil"/>
              <w:bottom w:val="nil"/>
              <w:right w:val="nil"/>
            </w:tcBorders>
            <w:shd w:val="clear" w:color="auto" w:fill="B4C6E7"/>
            <w:vAlign w:val="center"/>
          </w:tcPr>
          <w:p w14:paraId="6BB93D10" w14:textId="77777777" w:rsidR="00210FF5" w:rsidRPr="0035568A" w:rsidRDefault="00210FF5" w:rsidP="00D86338">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01722136</w:t>
            </w:r>
          </w:p>
        </w:tc>
        <w:tc>
          <w:tcPr>
            <w:tcW w:w="0" w:type="auto"/>
            <w:tcBorders>
              <w:top w:val="nil"/>
              <w:left w:val="nil"/>
              <w:bottom w:val="nil"/>
              <w:right w:val="nil"/>
            </w:tcBorders>
            <w:shd w:val="clear" w:color="auto" w:fill="B4C6E7"/>
            <w:vAlign w:val="center"/>
          </w:tcPr>
          <w:p w14:paraId="3C6872FE" w14:textId="77777777" w:rsidR="00210FF5" w:rsidRPr="0035568A" w:rsidRDefault="00210FF5" w:rsidP="00D86338">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TOTALENERGIES SE</w:t>
            </w:r>
          </w:p>
        </w:tc>
      </w:tr>
      <w:tr w:rsidR="00BD4A3E" w:rsidRPr="0035568A" w14:paraId="117B5BE0" w14:textId="77777777" w:rsidTr="00DA4CC8">
        <w:trPr>
          <w:trHeight w:val="283"/>
        </w:trPr>
        <w:tc>
          <w:tcPr>
            <w:tcW w:w="0" w:type="auto"/>
            <w:tcBorders>
              <w:top w:val="nil"/>
              <w:left w:val="nil"/>
              <w:bottom w:val="nil"/>
              <w:right w:val="nil"/>
            </w:tcBorders>
            <w:shd w:val="clear" w:color="auto" w:fill="auto"/>
            <w:noWrap/>
            <w:vAlign w:val="center"/>
          </w:tcPr>
          <w:p w14:paraId="117A74B1" w14:textId="1CA7ACC3" w:rsidR="00BD4A3E" w:rsidRPr="00210FF5" w:rsidRDefault="005C7FE7" w:rsidP="007439A2">
            <w:pPr>
              <w:spacing w:before="40" w:after="40" w:line="240" w:lineRule="auto"/>
              <w:jc w:val="center"/>
              <w:rPr>
                <w:rFonts w:ascii="Arial" w:eastAsia="Times New Roman" w:hAnsi="Arial" w:cs="Arial"/>
                <w:color w:val="000000"/>
                <w:sz w:val="16"/>
                <w:szCs w:val="16"/>
                <w:lang w:eastAsia="en-GB"/>
              </w:rPr>
            </w:pPr>
            <w:r w:rsidRPr="00210FF5">
              <w:rPr>
                <w:rFonts w:ascii="Arial" w:eastAsia="Times New Roman" w:hAnsi="Arial" w:cs="Arial"/>
                <w:color w:val="000000"/>
                <w:sz w:val="16"/>
                <w:szCs w:val="16"/>
                <w:lang w:eastAsia="en-GB"/>
              </w:rPr>
              <w:t>2</w:t>
            </w:r>
            <w:r>
              <w:rPr>
                <w:rFonts w:ascii="Arial" w:eastAsia="Times New Roman" w:hAnsi="Arial" w:cs="Arial"/>
                <w:color w:val="000000"/>
                <w:sz w:val="16"/>
                <w:szCs w:val="16"/>
                <w:lang w:eastAsia="en-GB"/>
              </w:rPr>
              <w:t>8</w:t>
            </w:r>
          </w:p>
        </w:tc>
        <w:tc>
          <w:tcPr>
            <w:tcW w:w="0" w:type="auto"/>
            <w:tcBorders>
              <w:top w:val="nil"/>
              <w:left w:val="nil"/>
              <w:bottom w:val="nil"/>
              <w:right w:val="nil"/>
            </w:tcBorders>
            <w:shd w:val="clear" w:color="auto" w:fill="auto"/>
            <w:noWrap/>
            <w:vAlign w:val="center"/>
          </w:tcPr>
          <w:p w14:paraId="21DB75E8" w14:textId="54BC122C" w:rsidR="00BD4A3E" w:rsidRPr="00210FF5" w:rsidRDefault="00BD4A3E" w:rsidP="007439A2">
            <w:pPr>
              <w:spacing w:before="40" w:after="40" w:line="240" w:lineRule="auto"/>
              <w:jc w:val="center"/>
              <w:rPr>
                <w:rFonts w:ascii="Arial" w:eastAsia="Times New Roman" w:hAnsi="Arial" w:cs="Arial"/>
                <w:color w:val="000000"/>
                <w:sz w:val="16"/>
                <w:szCs w:val="16"/>
                <w:lang w:eastAsia="en-GB"/>
              </w:rPr>
            </w:pPr>
            <w:r w:rsidRPr="00210FF5">
              <w:rPr>
                <w:rFonts w:ascii="Arial" w:eastAsia="Times New Roman" w:hAnsi="Arial" w:cs="Arial"/>
                <w:color w:val="000000"/>
                <w:sz w:val="16"/>
                <w:szCs w:val="16"/>
                <w:lang w:eastAsia="en-GB"/>
              </w:rPr>
              <w:t>O&amp;G</w:t>
            </w:r>
          </w:p>
        </w:tc>
        <w:tc>
          <w:tcPr>
            <w:tcW w:w="0" w:type="auto"/>
            <w:tcBorders>
              <w:top w:val="nil"/>
              <w:left w:val="nil"/>
              <w:bottom w:val="nil"/>
              <w:right w:val="nil"/>
            </w:tcBorders>
            <w:shd w:val="clear" w:color="auto" w:fill="auto"/>
            <w:vAlign w:val="center"/>
          </w:tcPr>
          <w:p w14:paraId="7B470352" w14:textId="679B67F0" w:rsidR="00BD4A3E" w:rsidRPr="00DA4CC8" w:rsidRDefault="008E766C" w:rsidP="007439A2">
            <w:pPr>
              <w:spacing w:before="40" w:after="40" w:line="240" w:lineRule="auto"/>
              <w:rPr>
                <w:rStyle w:val="Hyperlink"/>
              </w:rPr>
            </w:pPr>
            <w:hyperlink r:id="rId53" w:history="1">
              <w:r w:rsidRPr="00DA4CC8">
                <w:rPr>
                  <w:rStyle w:val="Hyperlink"/>
                  <w:rFonts w:ascii="Arial" w:eastAsia="Times New Roman" w:hAnsi="Arial" w:cs="Arial"/>
                  <w:sz w:val="16"/>
                  <w:szCs w:val="16"/>
                  <w:lang w:eastAsia="en-GB"/>
                </w:rPr>
                <w:t>Tullow Oil Plc</w:t>
              </w:r>
            </w:hyperlink>
          </w:p>
        </w:tc>
        <w:tc>
          <w:tcPr>
            <w:tcW w:w="0" w:type="auto"/>
            <w:tcBorders>
              <w:top w:val="nil"/>
              <w:left w:val="nil"/>
              <w:bottom w:val="nil"/>
              <w:right w:val="nil"/>
            </w:tcBorders>
            <w:shd w:val="clear" w:color="auto" w:fill="auto"/>
            <w:vAlign w:val="center"/>
          </w:tcPr>
          <w:p w14:paraId="6E5749E9" w14:textId="4FEF5DBE" w:rsidR="00BD4A3E" w:rsidRPr="00210FF5" w:rsidRDefault="00CA09FA" w:rsidP="007439A2">
            <w:pPr>
              <w:spacing w:before="40" w:after="40" w:line="240" w:lineRule="auto"/>
              <w:jc w:val="center"/>
              <w:rPr>
                <w:rFonts w:ascii="Arial" w:eastAsia="Times New Roman" w:hAnsi="Arial" w:cs="Arial"/>
                <w:color w:val="000000"/>
                <w:sz w:val="16"/>
                <w:szCs w:val="16"/>
                <w:lang w:eastAsia="en-GB"/>
              </w:rPr>
            </w:pPr>
            <w:r w:rsidRPr="00CA09FA">
              <w:rPr>
                <w:rFonts w:ascii="Arial" w:eastAsia="Times New Roman" w:hAnsi="Arial" w:cs="Arial"/>
                <w:color w:val="000000"/>
                <w:sz w:val="16"/>
                <w:szCs w:val="16"/>
                <w:lang w:eastAsia="en-GB"/>
              </w:rPr>
              <w:t>3919249</w:t>
            </w:r>
          </w:p>
        </w:tc>
        <w:tc>
          <w:tcPr>
            <w:tcW w:w="0" w:type="auto"/>
            <w:tcBorders>
              <w:top w:val="nil"/>
              <w:left w:val="nil"/>
              <w:bottom w:val="nil"/>
              <w:right w:val="nil"/>
            </w:tcBorders>
            <w:shd w:val="clear" w:color="auto" w:fill="auto"/>
            <w:vAlign w:val="center"/>
          </w:tcPr>
          <w:p w14:paraId="25BB69DB" w14:textId="2CEC3005" w:rsidR="00BD4A3E" w:rsidRPr="0035568A" w:rsidRDefault="00757970" w:rsidP="007439A2">
            <w:pPr>
              <w:spacing w:before="40" w:after="40" w:line="240" w:lineRule="auto"/>
              <w:rPr>
                <w:rFonts w:ascii="Arial" w:eastAsia="Times New Roman" w:hAnsi="Arial" w:cs="Arial"/>
                <w:color w:val="000000"/>
                <w:sz w:val="16"/>
                <w:szCs w:val="16"/>
                <w:lang w:eastAsia="en-GB"/>
              </w:rPr>
            </w:pPr>
            <w:r w:rsidRPr="00757970">
              <w:rPr>
                <w:rFonts w:ascii="Arial" w:eastAsia="Times New Roman" w:hAnsi="Arial" w:cs="Arial"/>
                <w:color w:val="000000"/>
                <w:sz w:val="16"/>
                <w:szCs w:val="16"/>
                <w:lang w:eastAsia="en-GB"/>
              </w:rPr>
              <w:t>Tullow Oil Plc</w:t>
            </w:r>
          </w:p>
        </w:tc>
      </w:tr>
    </w:tbl>
    <w:p w14:paraId="5D8C8144" w14:textId="66F4BD45" w:rsidR="00FA3A03" w:rsidRPr="0035568A" w:rsidRDefault="0058642C" w:rsidP="001E36F1">
      <w:pPr>
        <w:pStyle w:val="Caption"/>
        <w:spacing w:before="240"/>
        <w:rPr>
          <w:rFonts w:asciiTheme="minorBidi" w:eastAsia="Calibri" w:hAnsiTheme="minorBidi"/>
          <w:b w:val="0"/>
          <w:bCs w:val="0"/>
          <w:iCs/>
          <w:color w:val="auto"/>
          <w:sz w:val="22"/>
          <w:szCs w:val="22"/>
          <w:lang w:eastAsia="x-none"/>
        </w:rPr>
      </w:pPr>
      <w:bookmarkStart w:id="71" w:name="_Toc177118488"/>
      <w:r w:rsidRPr="0035568A">
        <w:rPr>
          <w:rFonts w:asciiTheme="minorBidi" w:eastAsia="Calibri" w:hAnsiTheme="minorBidi"/>
          <w:iCs/>
          <w:smallCaps w:val="0"/>
          <w:color w:val="auto"/>
          <w:spacing w:val="0"/>
          <w:sz w:val="22"/>
          <w:szCs w:val="22"/>
          <w:lang w:eastAsia="x-none"/>
        </w:rPr>
        <w:t>Table</w:t>
      </w:r>
      <w:r w:rsidRPr="0035568A">
        <w:rPr>
          <w:rFonts w:asciiTheme="minorBidi" w:hAnsiTheme="minorBidi"/>
          <w:color w:val="auto"/>
          <w:sz w:val="22"/>
          <w:szCs w:val="22"/>
        </w:rPr>
        <w:t xml:space="preserve"> </w:t>
      </w:r>
      <w:r w:rsidRPr="0035568A">
        <w:rPr>
          <w:rFonts w:asciiTheme="minorBidi" w:hAnsiTheme="minorBidi"/>
          <w:color w:val="auto"/>
          <w:sz w:val="22"/>
          <w:szCs w:val="22"/>
        </w:rPr>
        <w:fldChar w:fldCharType="begin"/>
      </w:r>
      <w:r w:rsidRPr="0035568A">
        <w:rPr>
          <w:rFonts w:asciiTheme="minorBidi" w:hAnsiTheme="minorBidi"/>
          <w:color w:val="auto"/>
          <w:sz w:val="22"/>
          <w:szCs w:val="22"/>
        </w:rPr>
        <w:instrText xml:space="preserve"> SEQ Table \* ARABIC </w:instrText>
      </w:r>
      <w:r w:rsidRPr="0035568A">
        <w:rPr>
          <w:rFonts w:asciiTheme="minorBidi" w:hAnsiTheme="minorBidi"/>
          <w:color w:val="auto"/>
          <w:sz w:val="22"/>
          <w:szCs w:val="22"/>
        </w:rPr>
        <w:fldChar w:fldCharType="separate"/>
      </w:r>
      <w:r w:rsidR="009A3FF3">
        <w:rPr>
          <w:rFonts w:asciiTheme="minorBidi" w:hAnsiTheme="minorBidi"/>
          <w:noProof/>
          <w:color w:val="auto"/>
          <w:sz w:val="22"/>
          <w:szCs w:val="22"/>
        </w:rPr>
        <w:t>8</w:t>
      </w:r>
      <w:r w:rsidRPr="0035568A">
        <w:rPr>
          <w:rFonts w:asciiTheme="minorBidi" w:hAnsiTheme="minorBidi"/>
          <w:color w:val="auto"/>
          <w:sz w:val="22"/>
          <w:szCs w:val="22"/>
        </w:rPr>
        <w:fldChar w:fldCharType="end"/>
      </w:r>
      <w:r w:rsidR="009E59EE" w:rsidRPr="0035568A">
        <w:rPr>
          <w:rFonts w:asciiTheme="minorBidi" w:hAnsiTheme="minorBidi"/>
          <w:color w:val="auto"/>
          <w:sz w:val="22"/>
          <w:szCs w:val="22"/>
        </w:rPr>
        <w:t xml:space="preserve">: </w:t>
      </w:r>
      <w:r w:rsidR="009E59EE" w:rsidRPr="0035568A">
        <w:rPr>
          <w:rFonts w:asciiTheme="minorBidi" w:eastAsia="Calibri" w:hAnsiTheme="minorBidi"/>
          <w:iCs/>
          <w:smallCaps w:val="0"/>
          <w:color w:val="auto"/>
          <w:spacing w:val="0"/>
          <w:sz w:val="22"/>
          <w:szCs w:val="22"/>
          <w:lang w:eastAsia="x-none"/>
        </w:rPr>
        <w:t>Privately held companies</w:t>
      </w:r>
      <w:bookmarkEnd w:id="71"/>
    </w:p>
    <w:tbl>
      <w:tblPr>
        <w:tblW w:w="9000" w:type="dxa"/>
        <w:tblLayout w:type="fixed"/>
        <w:tblLook w:val="04A0" w:firstRow="1" w:lastRow="0" w:firstColumn="1" w:lastColumn="0" w:noHBand="0" w:noVBand="1"/>
      </w:tblPr>
      <w:tblGrid>
        <w:gridCol w:w="396"/>
        <w:gridCol w:w="714"/>
        <w:gridCol w:w="3030"/>
        <w:gridCol w:w="1800"/>
        <w:gridCol w:w="3060"/>
      </w:tblGrid>
      <w:tr w:rsidR="001F2991" w:rsidRPr="0035568A" w14:paraId="11B0DE47" w14:textId="77777777" w:rsidTr="00A05278">
        <w:trPr>
          <w:trHeight w:val="283"/>
          <w:tblHeader/>
        </w:trPr>
        <w:tc>
          <w:tcPr>
            <w:tcW w:w="396" w:type="dxa"/>
            <w:tcBorders>
              <w:top w:val="nil"/>
              <w:left w:val="nil"/>
              <w:bottom w:val="single" w:sz="12" w:space="0" w:color="4472C4"/>
              <w:right w:val="nil"/>
            </w:tcBorders>
            <w:shd w:val="clear" w:color="000000" w:fill="203764"/>
            <w:noWrap/>
            <w:vAlign w:val="center"/>
            <w:hideMark/>
          </w:tcPr>
          <w:p w14:paraId="0B8F6C9F" w14:textId="77777777" w:rsidR="001F2991" w:rsidRPr="0035568A" w:rsidRDefault="001F2991"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N°</w:t>
            </w:r>
          </w:p>
        </w:tc>
        <w:tc>
          <w:tcPr>
            <w:tcW w:w="714" w:type="dxa"/>
            <w:tcBorders>
              <w:top w:val="nil"/>
              <w:left w:val="nil"/>
              <w:bottom w:val="single" w:sz="12" w:space="0" w:color="4472C4"/>
              <w:right w:val="nil"/>
            </w:tcBorders>
            <w:shd w:val="clear" w:color="000000" w:fill="203764"/>
            <w:noWrap/>
            <w:vAlign w:val="center"/>
            <w:hideMark/>
          </w:tcPr>
          <w:p w14:paraId="1846D021" w14:textId="77777777" w:rsidR="001F2991" w:rsidRPr="0035568A" w:rsidRDefault="001F2991"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Sector</w:t>
            </w:r>
          </w:p>
        </w:tc>
        <w:tc>
          <w:tcPr>
            <w:tcW w:w="3030" w:type="dxa"/>
            <w:tcBorders>
              <w:top w:val="nil"/>
              <w:left w:val="nil"/>
              <w:bottom w:val="single" w:sz="12" w:space="0" w:color="4472C4"/>
              <w:right w:val="nil"/>
            </w:tcBorders>
            <w:shd w:val="clear" w:color="000000" w:fill="203764"/>
            <w:noWrap/>
            <w:vAlign w:val="center"/>
            <w:hideMark/>
          </w:tcPr>
          <w:p w14:paraId="6FAB3696" w14:textId="76A5D8D2" w:rsidR="001F2991" w:rsidRPr="0035568A" w:rsidRDefault="001F2991" w:rsidP="007439A2">
            <w:pPr>
              <w:spacing w:before="40" w:after="40" w:line="240" w:lineRule="auto"/>
              <w:ind w:right="-112"/>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Company (Link to Companies House company page)</w:t>
            </w:r>
          </w:p>
        </w:tc>
        <w:tc>
          <w:tcPr>
            <w:tcW w:w="1800" w:type="dxa"/>
            <w:tcBorders>
              <w:top w:val="nil"/>
              <w:left w:val="nil"/>
              <w:bottom w:val="single" w:sz="12" w:space="0" w:color="4472C4"/>
              <w:right w:val="nil"/>
            </w:tcBorders>
            <w:shd w:val="clear" w:color="000000" w:fill="203764"/>
            <w:vAlign w:val="center"/>
            <w:hideMark/>
          </w:tcPr>
          <w:p w14:paraId="165A05F7" w14:textId="77777777" w:rsidR="001F2991" w:rsidRPr="0035568A" w:rsidRDefault="001F2991" w:rsidP="007439A2">
            <w:pPr>
              <w:spacing w:before="40" w:after="40" w:line="240" w:lineRule="auto"/>
              <w:jc w:val="center"/>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Companies House number</w:t>
            </w:r>
          </w:p>
        </w:tc>
        <w:tc>
          <w:tcPr>
            <w:tcW w:w="3060" w:type="dxa"/>
            <w:tcBorders>
              <w:top w:val="nil"/>
              <w:left w:val="nil"/>
              <w:bottom w:val="single" w:sz="12" w:space="0" w:color="4472C4"/>
              <w:right w:val="nil"/>
            </w:tcBorders>
            <w:shd w:val="clear" w:color="000000" w:fill="203764"/>
            <w:vAlign w:val="center"/>
            <w:hideMark/>
          </w:tcPr>
          <w:p w14:paraId="16A396BF" w14:textId="1F3DB82D" w:rsidR="001F2991" w:rsidRPr="0035568A" w:rsidRDefault="001F2991" w:rsidP="007439A2">
            <w:pPr>
              <w:spacing w:before="40" w:after="40" w:line="240" w:lineRule="auto"/>
              <w:rPr>
                <w:rFonts w:ascii="Arial" w:eastAsia="Times New Roman" w:hAnsi="Arial" w:cs="Arial"/>
                <w:b/>
                <w:bCs/>
                <w:color w:val="FFFFFF"/>
                <w:sz w:val="16"/>
                <w:szCs w:val="16"/>
                <w:lang w:eastAsia="en-GB"/>
              </w:rPr>
            </w:pPr>
            <w:r w:rsidRPr="0035568A">
              <w:rPr>
                <w:rFonts w:ascii="Arial" w:eastAsia="Times New Roman" w:hAnsi="Arial" w:cs="Arial"/>
                <w:b/>
                <w:bCs/>
                <w:color w:val="FFFFFF"/>
                <w:sz w:val="16"/>
                <w:szCs w:val="16"/>
                <w:lang w:eastAsia="en-GB"/>
              </w:rPr>
              <w:t>Parent company</w:t>
            </w:r>
          </w:p>
        </w:tc>
      </w:tr>
      <w:tr w:rsidR="001F2991" w:rsidRPr="0035568A" w14:paraId="506F42C9" w14:textId="77777777" w:rsidTr="00A05278">
        <w:trPr>
          <w:trHeight w:val="283"/>
        </w:trPr>
        <w:tc>
          <w:tcPr>
            <w:tcW w:w="396" w:type="dxa"/>
            <w:tcBorders>
              <w:top w:val="nil"/>
              <w:left w:val="nil"/>
              <w:bottom w:val="nil"/>
              <w:right w:val="nil"/>
            </w:tcBorders>
            <w:shd w:val="clear" w:color="000000" w:fill="B4C6E7"/>
            <w:noWrap/>
            <w:vAlign w:val="center"/>
            <w:hideMark/>
          </w:tcPr>
          <w:p w14:paraId="494C13F9" w14:textId="77777777"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w:t>
            </w:r>
          </w:p>
        </w:tc>
        <w:tc>
          <w:tcPr>
            <w:tcW w:w="714" w:type="dxa"/>
            <w:tcBorders>
              <w:top w:val="nil"/>
              <w:left w:val="nil"/>
              <w:bottom w:val="nil"/>
              <w:right w:val="nil"/>
            </w:tcBorders>
            <w:shd w:val="clear" w:color="000000" w:fill="B4C6E7"/>
            <w:noWrap/>
            <w:vAlign w:val="center"/>
            <w:hideMark/>
          </w:tcPr>
          <w:p w14:paraId="06A70A8E" w14:textId="1E7C1460"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3030" w:type="dxa"/>
            <w:tcBorders>
              <w:top w:val="nil"/>
              <w:left w:val="nil"/>
              <w:bottom w:val="nil"/>
              <w:right w:val="nil"/>
            </w:tcBorders>
            <w:shd w:val="clear" w:color="000000" w:fill="B4C6E7"/>
            <w:noWrap/>
            <w:vAlign w:val="center"/>
          </w:tcPr>
          <w:p w14:paraId="514CADEB" w14:textId="6576E0C7"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54" w:history="1">
              <w:r w:rsidRPr="0035568A">
                <w:rPr>
                  <w:rStyle w:val="Hyperlink"/>
                  <w:rFonts w:ascii="Arial" w:eastAsia="Times New Roman" w:hAnsi="Arial" w:cs="Arial"/>
                  <w:sz w:val="16"/>
                  <w:szCs w:val="16"/>
                  <w:lang w:eastAsia="en-GB"/>
                </w:rPr>
                <w:t>Albion Stone</w:t>
              </w:r>
            </w:hyperlink>
          </w:p>
        </w:tc>
        <w:tc>
          <w:tcPr>
            <w:tcW w:w="1800" w:type="dxa"/>
            <w:tcBorders>
              <w:top w:val="nil"/>
              <w:left w:val="nil"/>
              <w:bottom w:val="nil"/>
              <w:right w:val="nil"/>
            </w:tcBorders>
            <w:shd w:val="clear" w:color="000000" w:fill="B4C6E7"/>
            <w:vAlign w:val="center"/>
          </w:tcPr>
          <w:p w14:paraId="05B90364" w14:textId="383B1915"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01767530</w:t>
            </w:r>
          </w:p>
        </w:tc>
        <w:tc>
          <w:tcPr>
            <w:tcW w:w="3060" w:type="dxa"/>
            <w:tcBorders>
              <w:top w:val="nil"/>
              <w:left w:val="nil"/>
              <w:bottom w:val="nil"/>
              <w:right w:val="nil"/>
            </w:tcBorders>
            <w:shd w:val="clear" w:color="000000" w:fill="B4C6E7"/>
            <w:vAlign w:val="center"/>
          </w:tcPr>
          <w:p w14:paraId="25C3BFD6" w14:textId="1DD9DC63"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Albion Stone</w:t>
            </w:r>
          </w:p>
        </w:tc>
      </w:tr>
      <w:tr w:rsidR="001F2991" w:rsidRPr="0035568A" w14:paraId="6A5150E0" w14:textId="77777777" w:rsidTr="00A05278">
        <w:trPr>
          <w:trHeight w:val="283"/>
        </w:trPr>
        <w:tc>
          <w:tcPr>
            <w:tcW w:w="396" w:type="dxa"/>
            <w:tcBorders>
              <w:top w:val="nil"/>
              <w:left w:val="nil"/>
              <w:bottom w:val="nil"/>
              <w:right w:val="nil"/>
            </w:tcBorders>
            <w:shd w:val="clear" w:color="auto" w:fill="auto"/>
            <w:noWrap/>
            <w:vAlign w:val="center"/>
          </w:tcPr>
          <w:p w14:paraId="76A99B08" w14:textId="5DD14528"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w:t>
            </w:r>
          </w:p>
        </w:tc>
        <w:tc>
          <w:tcPr>
            <w:tcW w:w="714" w:type="dxa"/>
            <w:tcBorders>
              <w:top w:val="nil"/>
              <w:left w:val="nil"/>
              <w:bottom w:val="nil"/>
              <w:right w:val="nil"/>
            </w:tcBorders>
            <w:shd w:val="clear" w:color="auto" w:fill="auto"/>
            <w:noWrap/>
            <w:vAlign w:val="center"/>
          </w:tcPr>
          <w:p w14:paraId="63AD719F" w14:textId="0E8F9DDF"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3030" w:type="dxa"/>
            <w:tcBorders>
              <w:top w:val="nil"/>
              <w:left w:val="nil"/>
              <w:bottom w:val="nil"/>
              <w:right w:val="nil"/>
            </w:tcBorders>
            <w:shd w:val="clear" w:color="auto" w:fill="auto"/>
            <w:noWrap/>
            <w:vAlign w:val="center"/>
          </w:tcPr>
          <w:p w14:paraId="0FECDA60" w14:textId="1F812FB8"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55" w:history="1">
              <w:r w:rsidRPr="0035568A">
                <w:rPr>
                  <w:rStyle w:val="Hyperlink"/>
                  <w:rFonts w:ascii="Arial" w:eastAsia="Times New Roman" w:hAnsi="Arial" w:cs="Arial"/>
                  <w:sz w:val="16"/>
                  <w:szCs w:val="16"/>
                  <w:lang w:eastAsia="en-GB"/>
                </w:rPr>
                <w:t>Britannia Aggregates Ltd</w:t>
              </w:r>
            </w:hyperlink>
          </w:p>
        </w:tc>
        <w:tc>
          <w:tcPr>
            <w:tcW w:w="1800" w:type="dxa"/>
            <w:tcBorders>
              <w:top w:val="nil"/>
              <w:left w:val="nil"/>
              <w:bottom w:val="nil"/>
              <w:right w:val="nil"/>
            </w:tcBorders>
            <w:shd w:val="clear" w:color="auto" w:fill="auto"/>
            <w:vAlign w:val="center"/>
          </w:tcPr>
          <w:p w14:paraId="0C8240C9" w14:textId="6D5008F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02304376</w:t>
            </w:r>
          </w:p>
        </w:tc>
        <w:tc>
          <w:tcPr>
            <w:tcW w:w="3060" w:type="dxa"/>
            <w:tcBorders>
              <w:top w:val="nil"/>
              <w:left w:val="nil"/>
              <w:bottom w:val="nil"/>
              <w:right w:val="nil"/>
            </w:tcBorders>
            <w:shd w:val="clear" w:color="auto" w:fill="auto"/>
            <w:vAlign w:val="center"/>
          </w:tcPr>
          <w:p w14:paraId="7BFC236D" w14:textId="32743C3A"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Britannia Aggregates Ltd</w:t>
            </w:r>
          </w:p>
        </w:tc>
      </w:tr>
      <w:tr w:rsidR="001F2991" w:rsidRPr="0035568A" w14:paraId="67E4E641" w14:textId="77777777" w:rsidTr="00A05278">
        <w:trPr>
          <w:trHeight w:val="283"/>
        </w:trPr>
        <w:tc>
          <w:tcPr>
            <w:tcW w:w="396" w:type="dxa"/>
            <w:tcBorders>
              <w:top w:val="nil"/>
              <w:left w:val="nil"/>
              <w:bottom w:val="nil"/>
              <w:right w:val="nil"/>
            </w:tcBorders>
            <w:shd w:val="clear" w:color="auto" w:fill="B4C6E7"/>
            <w:noWrap/>
            <w:vAlign w:val="center"/>
          </w:tcPr>
          <w:p w14:paraId="6400AB03" w14:textId="440BEB8E"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3</w:t>
            </w:r>
          </w:p>
        </w:tc>
        <w:tc>
          <w:tcPr>
            <w:tcW w:w="714" w:type="dxa"/>
            <w:tcBorders>
              <w:top w:val="nil"/>
              <w:left w:val="nil"/>
              <w:bottom w:val="nil"/>
              <w:right w:val="nil"/>
            </w:tcBorders>
            <w:shd w:val="clear" w:color="auto" w:fill="B4C6E7"/>
            <w:noWrap/>
            <w:vAlign w:val="center"/>
          </w:tcPr>
          <w:p w14:paraId="08AD7201" w14:textId="581AEE47" w:rsidR="001F2991" w:rsidRPr="0035568A" w:rsidRDefault="001F2991" w:rsidP="007439A2">
            <w:pPr>
              <w:spacing w:before="40" w:after="40" w:line="240" w:lineRule="auto"/>
              <w:jc w:val="center"/>
              <w:rPr>
                <w:rFonts w:ascii="Arial" w:eastAsia="Times New Roman" w:hAnsi="Arial" w:cs="Arial"/>
                <w:sz w:val="16"/>
                <w:szCs w:val="16"/>
                <w:lang w:eastAsia="en-GB"/>
              </w:rPr>
            </w:pPr>
            <w:r w:rsidRPr="0035568A">
              <w:rPr>
                <w:rFonts w:ascii="Arial" w:eastAsia="Times New Roman" w:hAnsi="Arial" w:cs="Arial"/>
                <w:sz w:val="16"/>
                <w:szCs w:val="16"/>
                <w:lang w:eastAsia="en-GB"/>
              </w:rPr>
              <w:t>O&amp;G</w:t>
            </w:r>
          </w:p>
        </w:tc>
        <w:tc>
          <w:tcPr>
            <w:tcW w:w="3030" w:type="dxa"/>
            <w:tcBorders>
              <w:top w:val="nil"/>
              <w:left w:val="nil"/>
              <w:bottom w:val="nil"/>
              <w:right w:val="nil"/>
            </w:tcBorders>
            <w:shd w:val="clear" w:color="auto" w:fill="B4C6E7"/>
            <w:noWrap/>
            <w:vAlign w:val="center"/>
          </w:tcPr>
          <w:p w14:paraId="00FB47AA" w14:textId="437B60BA" w:rsidR="001F2991" w:rsidRPr="0035568A" w:rsidRDefault="001F2991" w:rsidP="007439A2">
            <w:pPr>
              <w:spacing w:before="40" w:after="40" w:line="240" w:lineRule="auto"/>
              <w:ind w:right="-112"/>
              <w:rPr>
                <w:rFonts w:ascii="Arial" w:eastAsia="Times New Roman" w:hAnsi="Arial" w:cs="Arial"/>
                <w:sz w:val="16"/>
                <w:szCs w:val="16"/>
                <w:lang w:eastAsia="en-GB"/>
              </w:rPr>
            </w:pPr>
            <w:hyperlink r:id="rId56" w:history="1">
              <w:proofErr w:type="spellStart"/>
              <w:r w:rsidRPr="0035568A">
                <w:rPr>
                  <w:rStyle w:val="Hyperlink"/>
                  <w:rFonts w:ascii="Arial" w:eastAsia="Times New Roman" w:hAnsi="Arial" w:cs="Arial"/>
                  <w:sz w:val="16"/>
                  <w:szCs w:val="16"/>
                  <w:lang w:eastAsia="en-GB"/>
                </w:rPr>
                <w:t>CalEnergy</w:t>
              </w:r>
              <w:proofErr w:type="spellEnd"/>
              <w:r w:rsidRPr="0035568A">
                <w:rPr>
                  <w:rStyle w:val="Hyperlink"/>
                  <w:rFonts w:ascii="Arial" w:eastAsia="Times New Roman" w:hAnsi="Arial" w:cs="Arial"/>
                  <w:sz w:val="16"/>
                  <w:szCs w:val="16"/>
                  <w:lang w:eastAsia="en-GB"/>
                </w:rPr>
                <w:t xml:space="preserve"> Gas Ltd</w:t>
              </w:r>
            </w:hyperlink>
          </w:p>
        </w:tc>
        <w:tc>
          <w:tcPr>
            <w:tcW w:w="1800" w:type="dxa"/>
            <w:tcBorders>
              <w:top w:val="nil"/>
              <w:left w:val="nil"/>
              <w:bottom w:val="nil"/>
              <w:right w:val="nil"/>
            </w:tcBorders>
            <w:shd w:val="clear" w:color="auto" w:fill="B4C6E7"/>
            <w:vAlign w:val="center"/>
          </w:tcPr>
          <w:p w14:paraId="42F8FA2F" w14:textId="69B52DE7"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04370508</w:t>
            </w:r>
          </w:p>
        </w:tc>
        <w:tc>
          <w:tcPr>
            <w:tcW w:w="3060" w:type="dxa"/>
            <w:tcBorders>
              <w:top w:val="nil"/>
              <w:left w:val="nil"/>
              <w:bottom w:val="nil"/>
              <w:right w:val="nil"/>
            </w:tcBorders>
            <w:shd w:val="clear" w:color="auto" w:fill="B4C6E7"/>
            <w:vAlign w:val="center"/>
          </w:tcPr>
          <w:p w14:paraId="64A2A41B" w14:textId="0DF85ABA"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 xml:space="preserve">Northern </w:t>
            </w:r>
            <w:proofErr w:type="spellStart"/>
            <w:r w:rsidRPr="0035568A">
              <w:rPr>
                <w:rFonts w:ascii="Arial" w:eastAsia="Times New Roman" w:hAnsi="Arial" w:cs="Arial"/>
                <w:color w:val="000000"/>
                <w:sz w:val="16"/>
                <w:szCs w:val="16"/>
                <w:lang w:eastAsia="en-GB"/>
              </w:rPr>
              <w:t>Powergrid</w:t>
            </w:r>
            <w:proofErr w:type="spellEnd"/>
            <w:r w:rsidRPr="0035568A">
              <w:rPr>
                <w:rFonts w:ascii="Arial" w:eastAsia="Times New Roman" w:hAnsi="Arial" w:cs="Arial"/>
                <w:color w:val="000000"/>
                <w:sz w:val="16"/>
                <w:szCs w:val="16"/>
                <w:lang w:eastAsia="en-GB"/>
              </w:rPr>
              <w:t xml:space="preserve"> Holding Company</w:t>
            </w:r>
          </w:p>
        </w:tc>
      </w:tr>
      <w:tr w:rsidR="001F2991" w:rsidRPr="0035568A" w14:paraId="7C38F5CE" w14:textId="77777777" w:rsidTr="00A05278">
        <w:trPr>
          <w:trHeight w:val="283"/>
        </w:trPr>
        <w:tc>
          <w:tcPr>
            <w:tcW w:w="396" w:type="dxa"/>
            <w:tcBorders>
              <w:top w:val="nil"/>
              <w:left w:val="nil"/>
              <w:bottom w:val="nil"/>
              <w:right w:val="nil"/>
            </w:tcBorders>
            <w:shd w:val="clear" w:color="auto" w:fill="auto"/>
            <w:noWrap/>
            <w:vAlign w:val="center"/>
          </w:tcPr>
          <w:p w14:paraId="28AD8F09" w14:textId="7C7ABD10"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4</w:t>
            </w:r>
          </w:p>
        </w:tc>
        <w:tc>
          <w:tcPr>
            <w:tcW w:w="714" w:type="dxa"/>
            <w:tcBorders>
              <w:top w:val="nil"/>
              <w:left w:val="nil"/>
              <w:bottom w:val="nil"/>
              <w:right w:val="nil"/>
            </w:tcBorders>
            <w:shd w:val="clear" w:color="auto" w:fill="auto"/>
            <w:noWrap/>
            <w:vAlign w:val="center"/>
          </w:tcPr>
          <w:p w14:paraId="255523DD" w14:textId="20AEF24F"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4E4D95B9" w14:textId="3413C3D0"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57" w:history="1">
              <w:r w:rsidRPr="0035568A">
                <w:rPr>
                  <w:rStyle w:val="Hyperlink"/>
                  <w:rFonts w:ascii="Arial" w:eastAsia="Times New Roman" w:hAnsi="Arial" w:cs="Arial"/>
                  <w:sz w:val="16"/>
                  <w:szCs w:val="16"/>
                  <w:lang w:eastAsia="en-GB"/>
                </w:rPr>
                <w:t>Dana Petroleum Ltd</w:t>
              </w:r>
            </w:hyperlink>
          </w:p>
        </w:tc>
        <w:tc>
          <w:tcPr>
            <w:tcW w:w="1800" w:type="dxa"/>
            <w:tcBorders>
              <w:top w:val="nil"/>
              <w:left w:val="nil"/>
              <w:bottom w:val="nil"/>
              <w:right w:val="nil"/>
            </w:tcBorders>
            <w:shd w:val="clear" w:color="auto" w:fill="auto"/>
            <w:vAlign w:val="center"/>
          </w:tcPr>
          <w:p w14:paraId="1175BC24" w14:textId="7C175F1F"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03456891</w:t>
            </w:r>
          </w:p>
        </w:tc>
        <w:tc>
          <w:tcPr>
            <w:tcW w:w="3060" w:type="dxa"/>
            <w:tcBorders>
              <w:top w:val="nil"/>
              <w:left w:val="nil"/>
              <w:bottom w:val="nil"/>
              <w:right w:val="nil"/>
            </w:tcBorders>
            <w:shd w:val="clear" w:color="auto" w:fill="auto"/>
            <w:vAlign w:val="center"/>
          </w:tcPr>
          <w:p w14:paraId="6CBF7410" w14:textId="27A92A90"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Dana Petroleum Ltd</w:t>
            </w:r>
          </w:p>
        </w:tc>
      </w:tr>
      <w:tr w:rsidR="001F2991" w:rsidRPr="0035568A" w14:paraId="597EC8AC" w14:textId="77777777" w:rsidTr="00A05278">
        <w:trPr>
          <w:trHeight w:val="283"/>
        </w:trPr>
        <w:tc>
          <w:tcPr>
            <w:tcW w:w="396" w:type="dxa"/>
            <w:tcBorders>
              <w:top w:val="nil"/>
              <w:left w:val="nil"/>
              <w:bottom w:val="nil"/>
              <w:right w:val="nil"/>
            </w:tcBorders>
            <w:shd w:val="clear" w:color="auto" w:fill="B4C6E7"/>
            <w:noWrap/>
            <w:vAlign w:val="center"/>
          </w:tcPr>
          <w:p w14:paraId="33CF8021" w14:textId="561ECBD9"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5</w:t>
            </w:r>
          </w:p>
        </w:tc>
        <w:tc>
          <w:tcPr>
            <w:tcW w:w="714" w:type="dxa"/>
            <w:tcBorders>
              <w:top w:val="nil"/>
              <w:left w:val="nil"/>
              <w:bottom w:val="nil"/>
              <w:right w:val="nil"/>
            </w:tcBorders>
            <w:shd w:val="clear" w:color="auto" w:fill="B4C6E7"/>
            <w:noWrap/>
            <w:vAlign w:val="center"/>
          </w:tcPr>
          <w:p w14:paraId="3A733832" w14:textId="16C479A4"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B4C6E7"/>
            <w:noWrap/>
            <w:vAlign w:val="center"/>
          </w:tcPr>
          <w:p w14:paraId="713FB791" w14:textId="57074AFC"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58" w:history="1">
              <w:r w:rsidRPr="0035568A">
                <w:rPr>
                  <w:rStyle w:val="Hyperlink"/>
                  <w:rFonts w:ascii="Arial" w:eastAsia="Times New Roman" w:hAnsi="Arial" w:cs="Arial"/>
                  <w:sz w:val="16"/>
                  <w:szCs w:val="16"/>
                  <w:lang w:eastAsia="en-GB"/>
                </w:rPr>
                <w:t>Everard Energy Ltd</w:t>
              </w:r>
            </w:hyperlink>
          </w:p>
        </w:tc>
        <w:tc>
          <w:tcPr>
            <w:tcW w:w="1800" w:type="dxa"/>
            <w:tcBorders>
              <w:top w:val="nil"/>
              <w:left w:val="nil"/>
              <w:bottom w:val="nil"/>
              <w:right w:val="nil"/>
            </w:tcBorders>
            <w:shd w:val="clear" w:color="auto" w:fill="B4C6E7"/>
            <w:vAlign w:val="center"/>
          </w:tcPr>
          <w:p w14:paraId="34723AF9" w14:textId="0480C9B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08066733</w:t>
            </w:r>
          </w:p>
        </w:tc>
        <w:tc>
          <w:tcPr>
            <w:tcW w:w="3060" w:type="dxa"/>
            <w:tcBorders>
              <w:top w:val="nil"/>
              <w:left w:val="nil"/>
              <w:bottom w:val="nil"/>
              <w:right w:val="nil"/>
            </w:tcBorders>
            <w:shd w:val="clear" w:color="auto" w:fill="B4C6E7"/>
            <w:vAlign w:val="center"/>
          </w:tcPr>
          <w:p w14:paraId="1D4D41B1" w14:textId="46CEBF0B"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Everard Energy Ltd</w:t>
            </w:r>
          </w:p>
        </w:tc>
      </w:tr>
      <w:tr w:rsidR="001F2991" w:rsidRPr="0035568A" w14:paraId="4677911A" w14:textId="77777777" w:rsidTr="00A05278">
        <w:trPr>
          <w:trHeight w:val="283"/>
        </w:trPr>
        <w:tc>
          <w:tcPr>
            <w:tcW w:w="396" w:type="dxa"/>
            <w:tcBorders>
              <w:top w:val="nil"/>
              <w:left w:val="nil"/>
              <w:bottom w:val="nil"/>
              <w:right w:val="nil"/>
            </w:tcBorders>
            <w:shd w:val="clear" w:color="auto" w:fill="auto"/>
            <w:noWrap/>
            <w:vAlign w:val="center"/>
          </w:tcPr>
          <w:p w14:paraId="3622A436" w14:textId="07CA0854"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6</w:t>
            </w:r>
          </w:p>
        </w:tc>
        <w:tc>
          <w:tcPr>
            <w:tcW w:w="714" w:type="dxa"/>
            <w:tcBorders>
              <w:top w:val="nil"/>
              <w:left w:val="nil"/>
              <w:bottom w:val="nil"/>
              <w:right w:val="nil"/>
            </w:tcBorders>
            <w:shd w:val="clear" w:color="auto" w:fill="auto"/>
            <w:noWrap/>
            <w:vAlign w:val="center"/>
          </w:tcPr>
          <w:p w14:paraId="6A0278A4" w14:textId="07C967C8"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sz w:val="16"/>
                <w:szCs w:val="16"/>
                <w:lang w:eastAsia="en-GB"/>
              </w:rPr>
              <w:t>O&amp;G</w:t>
            </w:r>
          </w:p>
        </w:tc>
        <w:tc>
          <w:tcPr>
            <w:tcW w:w="3030" w:type="dxa"/>
            <w:tcBorders>
              <w:top w:val="nil"/>
              <w:left w:val="nil"/>
              <w:bottom w:val="nil"/>
              <w:right w:val="nil"/>
            </w:tcBorders>
            <w:shd w:val="clear" w:color="auto" w:fill="auto"/>
            <w:noWrap/>
            <w:vAlign w:val="center"/>
          </w:tcPr>
          <w:p w14:paraId="7BDB214A" w14:textId="6BDEB1D0"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59" w:history="1">
              <w:r w:rsidRPr="0035568A">
                <w:rPr>
                  <w:rStyle w:val="Hyperlink"/>
                  <w:rFonts w:ascii="Arial" w:eastAsia="Times New Roman" w:hAnsi="Arial" w:cs="Arial"/>
                  <w:sz w:val="16"/>
                  <w:szCs w:val="16"/>
                  <w:lang w:eastAsia="en-GB"/>
                </w:rPr>
                <w:t>Humbly Grove Energy Ltd</w:t>
              </w:r>
            </w:hyperlink>
          </w:p>
        </w:tc>
        <w:tc>
          <w:tcPr>
            <w:tcW w:w="1800" w:type="dxa"/>
            <w:tcBorders>
              <w:top w:val="nil"/>
              <w:left w:val="nil"/>
              <w:bottom w:val="nil"/>
              <w:right w:val="nil"/>
            </w:tcBorders>
            <w:shd w:val="clear" w:color="auto" w:fill="auto"/>
            <w:vAlign w:val="center"/>
          </w:tcPr>
          <w:p w14:paraId="2098FB70" w14:textId="0D9FFD6F"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04689011</w:t>
            </w:r>
          </w:p>
        </w:tc>
        <w:tc>
          <w:tcPr>
            <w:tcW w:w="3060" w:type="dxa"/>
            <w:tcBorders>
              <w:top w:val="nil"/>
              <w:left w:val="nil"/>
              <w:bottom w:val="nil"/>
              <w:right w:val="nil"/>
            </w:tcBorders>
            <w:shd w:val="clear" w:color="auto" w:fill="auto"/>
            <w:vAlign w:val="center"/>
          </w:tcPr>
          <w:p w14:paraId="27F2AC5D" w14:textId="44D8EDEC"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EPUK Investments Ltd</w:t>
            </w:r>
          </w:p>
        </w:tc>
      </w:tr>
      <w:tr w:rsidR="001F2991" w:rsidRPr="0035568A" w14:paraId="5FC2180D" w14:textId="77777777" w:rsidTr="00A05278">
        <w:trPr>
          <w:trHeight w:val="283"/>
        </w:trPr>
        <w:tc>
          <w:tcPr>
            <w:tcW w:w="396" w:type="dxa"/>
            <w:vMerge w:val="restart"/>
            <w:tcBorders>
              <w:top w:val="nil"/>
              <w:left w:val="nil"/>
              <w:right w:val="nil"/>
            </w:tcBorders>
            <w:shd w:val="clear" w:color="auto" w:fill="B8CCE4"/>
            <w:noWrap/>
            <w:vAlign w:val="center"/>
          </w:tcPr>
          <w:p w14:paraId="2B965D3E" w14:textId="0BC8D184"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7</w:t>
            </w:r>
          </w:p>
        </w:tc>
        <w:tc>
          <w:tcPr>
            <w:tcW w:w="714" w:type="dxa"/>
            <w:vMerge w:val="restart"/>
            <w:tcBorders>
              <w:top w:val="nil"/>
              <w:left w:val="nil"/>
              <w:right w:val="nil"/>
            </w:tcBorders>
            <w:shd w:val="clear" w:color="auto" w:fill="B8CCE4"/>
            <w:noWrap/>
            <w:vAlign w:val="center"/>
          </w:tcPr>
          <w:p w14:paraId="4283DA2E" w14:textId="5E897EF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sz w:val="16"/>
                <w:szCs w:val="16"/>
                <w:lang w:eastAsia="en-GB"/>
              </w:rPr>
              <w:t>O&amp;G</w:t>
            </w:r>
          </w:p>
        </w:tc>
        <w:tc>
          <w:tcPr>
            <w:tcW w:w="3030" w:type="dxa"/>
            <w:tcBorders>
              <w:top w:val="nil"/>
              <w:left w:val="nil"/>
              <w:bottom w:val="nil"/>
              <w:right w:val="nil"/>
            </w:tcBorders>
            <w:shd w:val="clear" w:color="auto" w:fill="B8CCE4"/>
            <w:noWrap/>
            <w:vAlign w:val="center"/>
          </w:tcPr>
          <w:p w14:paraId="5755FB90" w14:textId="1FF13C52"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0" w:history="1">
              <w:r w:rsidRPr="0035568A">
                <w:rPr>
                  <w:rStyle w:val="Hyperlink"/>
                  <w:rFonts w:ascii="Arial" w:eastAsia="Times New Roman" w:hAnsi="Arial" w:cs="Arial"/>
                  <w:sz w:val="16"/>
                  <w:szCs w:val="16"/>
                  <w:lang w:eastAsia="en-GB"/>
                </w:rPr>
                <w:t>INEOS UK E&amp;P Holdings Ltd</w:t>
              </w:r>
            </w:hyperlink>
          </w:p>
        </w:tc>
        <w:tc>
          <w:tcPr>
            <w:tcW w:w="1800" w:type="dxa"/>
            <w:tcBorders>
              <w:top w:val="nil"/>
              <w:left w:val="nil"/>
              <w:bottom w:val="nil"/>
              <w:right w:val="nil"/>
            </w:tcBorders>
            <w:shd w:val="clear" w:color="auto" w:fill="B8CCE4"/>
            <w:vAlign w:val="center"/>
          </w:tcPr>
          <w:p w14:paraId="18A0AFE3" w14:textId="7FD7A3E0"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SC200459</w:t>
            </w:r>
          </w:p>
        </w:tc>
        <w:tc>
          <w:tcPr>
            <w:tcW w:w="3060" w:type="dxa"/>
            <w:vMerge w:val="restart"/>
            <w:tcBorders>
              <w:top w:val="nil"/>
              <w:left w:val="nil"/>
              <w:right w:val="nil"/>
            </w:tcBorders>
            <w:shd w:val="clear" w:color="auto" w:fill="B8CCE4"/>
            <w:vAlign w:val="center"/>
          </w:tcPr>
          <w:p w14:paraId="67885282" w14:textId="4AE95EA3"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INEOS Industries</w:t>
            </w:r>
          </w:p>
        </w:tc>
      </w:tr>
      <w:tr w:rsidR="001F2991" w:rsidRPr="0035568A" w14:paraId="095A0A4A" w14:textId="77777777" w:rsidTr="00A05278">
        <w:trPr>
          <w:trHeight w:val="283"/>
        </w:trPr>
        <w:tc>
          <w:tcPr>
            <w:tcW w:w="396" w:type="dxa"/>
            <w:vMerge/>
            <w:tcBorders>
              <w:left w:val="nil"/>
              <w:right w:val="nil"/>
            </w:tcBorders>
            <w:shd w:val="clear" w:color="auto" w:fill="B8CCE4"/>
            <w:noWrap/>
            <w:vAlign w:val="center"/>
          </w:tcPr>
          <w:p w14:paraId="7709CB7D" w14:textId="4071B4A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p>
        </w:tc>
        <w:tc>
          <w:tcPr>
            <w:tcW w:w="714" w:type="dxa"/>
            <w:vMerge/>
            <w:tcBorders>
              <w:left w:val="nil"/>
              <w:right w:val="nil"/>
            </w:tcBorders>
            <w:shd w:val="clear" w:color="auto" w:fill="B8CCE4"/>
            <w:noWrap/>
            <w:vAlign w:val="center"/>
          </w:tcPr>
          <w:p w14:paraId="4DD07A2A" w14:textId="777991A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p>
        </w:tc>
        <w:tc>
          <w:tcPr>
            <w:tcW w:w="3030" w:type="dxa"/>
            <w:tcBorders>
              <w:top w:val="nil"/>
              <w:left w:val="nil"/>
              <w:bottom w:val="nil"/>
              <w:right w:val="nil"/>
            </w:tcBorders>
            <w:shd w:val="clear" w:color="auto" w:fill="B8CCE4"/>
            <w:noWrap/>
            <w:vAlign w:val="center"/>
          </w:tcPr>
          <w:p w14:paraId="51EB6B8F" w14:textId="4D387309"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1" w:history="1">
              <w:r w:rsidRPr="0035568A">
                <w:rPr>
                  <w:rStyle w:val="Hyperlink"/>
                  <w:rFonts w:ascii="Arial" w:eastAsia="Times New Roman" w:hAnsi="Arial" w:cs="Arial"/>
                  <w:sz w:val="16"/>
                  <w:szCs w:val="16"/>
                  <w:lang w:eastAsia="en-GB"/>
                </w:rPr>
                <w:t>INEOS FPS Ltd</w:t>
              </w:r>
            </w:hyperlink>
          </w:p>
        </w:tc>
        <w:tc>
          <w:tcPr>
            <w:tcW w:w="1800" w:type="dxa"/>
            <w:tcBorders>
              <w:top w:val="nil"/>
              <w:left w:val="nil"/>
              <w:bottom w:val="nil"/>
              <w:right w:val="nil"/>
            </w:tcBorders>
            <w:shd w:val="clear" w:color="auto" w:fill="B8CCE4"/>
            <w:vAlign w:val="center"/>
          </w:tcPr>
          <w:p w14:paraId="4F8A1FAB" w14:textId="072F7E5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10660338</w:t>
            </w:r>
          </w:p>
        </w:tc>
        <w:tc>
          <w:tcPr>
            <w:tcW w:w="3060" w:type="dxa"/>
            <w:vMerge/>
            <w:tcBorders>
              <w:left w:val="nil"/>
              <w:right w:val="nil"/>
            </w:tcBorders>
            <w:shd w:val="clear" w:color="auto" w:fill="B8CCE4"/>
            <w:vAlign w:val="center"/>
          </w:tcPr>
          <w:p w14:paraId="00EDD158" w14:textId="77777777" w:rsidR="001F2991" w:rsidRPr="0035568A" w:rsidRDefault="001F2991" w:rsidP="007439A2">
            <w:pPr>
              <w:spacing w:before="40" w:after="40" w:line="240" w:lineRule="auto"/>
              <w:rPr>
                <w:rFonts w:ascii="Arial" w:eastAsia="Times New Roman" w:hAnsi="Arial" w:cs="Arial"/>
                <w:color w:val="000000"/>
                <w:sz w:val="16"/>
                <w:szCs w:val="16"/>
                <w:lang w:eastAsia="en-GB"/>
              </w:rPr>
            </w:pPr>
          </w:p>
        </w:tc>
      </w:tr>
      <w:tr w:rsidR="001F2991" w:rsidRPr="0035568A" w14:paraId="56EEF0BD" w14:textId="77777777" w:rsidTr="00A05278">
        <w:trPr>
          <w:trHeight w:val="283"/>
        </w:trPr>
        <w:tc>
          <w:tcPr>
            <w:tcW w:w="396" w:type="dxa"/>
            <w:vMerge/>
            <w:tcBorders>
              <w:left w:val="nil"/>
              <w:bottom w:val="nil"/>
              <w:right w:val="nil"/>
            </w:tcBorders>
            <w:shd w:val="clear" w:color="auto" w:fill="auto"/>
            <w:noWrap/>
            <w:vAlign w:val="center"/>
          </w:tcPr>
          <w:p w14:paraId="19F6149D" w14:textId="77777777"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p>
        </w:tc>
        <w:tc>
          <w:tcPr>
            <w:tcW w:w="714" w:type="dxa"/>
            <w:vMerge/>
            <w:tcBorders>
              <w:left w:val="nil"/>
              <w:bottom w:val="nil"/>
              <w:right w:val="nil"/>
            </w:tcBorders>
            <w:shd w:val="clear" w:color="auto" w:fill="auto"/>
            <w:noWrap/>
            <w:vAlign w:val="center"/>
          </w:tcPr>
          <w:p w14:paraId="10818628" w14:textId="77777777"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p>
        </w:tc>
        <w:tc>
          <w:tcPr>
            <w:tcW w:w="3030" w:type="dxa"/>
            <w:tcBorders>
              <w:top w:val="nil"/>
              <w:left w:val="nil"/>
              <w:bottom w:val="nil"/>
              <w:right w:val="nil"/>
            </w:tcBorders>
            <w:shd w:val="clear" w:color="auto" w:fill="B8CCE4"/>
            <w:noWrap/>
            <w:vAlign w:val="center"/>
          </w:tcPr>
          <w:p w14:paraId="54046C12" w14:textId="17630239"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2" w:history="1">
              <w:r w:rsidRPr="0035568A">
                <w:rPr>
                  <w:rStyle w:val="Hyperlink"/>
                  <w:rFonts w:ascii="Arial" w:eastAsia="Times New Roman" w:hAnsi="Arial" w:cs="Arial"/>
                  <w:sz w:val="16"/>
                  <w:szCs w:val="16"/>
                  <w:lang w:eastAsia="en-GB"/>
                </w:rPr>
                <w:t>INEOS UPSTREAM Ltd</w:t>
              </w:r>
            </w:hyperlink>
          </w:p>
        </w:tc>
        <w:tc>
          <w:tcPr>
            <w:tcW w:w="1800" w:type="dxa"/>
            <w:tcBorders>
              <w:top w:val="nil"/>
              <w:left w:val="nil"/>
              <w:bottom w:val="nil"/>
              <w:right w:val="nil"/>
            </w:tcBorders>
            <w:shd w:val="clear" w:color="auto" w:fill="B8CCE4"/>
            <w:vAlign w:val="center"/>
          </w:tcPr>
          <w:p w14:paraId="48B2C994" w14:textId="2CBC8760"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09121775</w:t>
            </w:r>
          </w:p>
        </w:tc>
        <w:tc>
          <w:tcPr>
            <w:tcW w:w="3060" w:type="dxa"/>
            <w:vMerge/>
            <w:tcBorders>
              <w:left w:val="nil"/>
              <w:bottom w:val="nil"/>
              <w:right w:val="nil"/>
            </w:tcBorders>
            <w:shd w:val="clear" w:color="auto" w:fill="auto"/>
            <w:vAlign w:val="center"/>
          </w:tcPr>
          <w:p w14:paraId="0DEC00D8" w14:textId="77777777" w:rsidR="001F2991" w:rsidRPr="0035568A" w:rsidRDefault="001F2991" w:rsidP="007439A2">
            <w:pPr>
              <w:spacing w:before="40" w:after="40" w:line="240" w:lineRule="auto"/>
              <w:rPr>
                <w:rFonts w:ascii="Arial" w:eastAsia="Times New Roman" w:hAnsi="Arial" w:cs="Arial"/>
                <w:color w:val="000000"/>
                <w:sz w:val="16"/>
                <w:szCs w:val="16"/>
                <w:lang w:eastAsia="en-GB"/>
              </w:rPr>
            </w:pPr>
          </w:p>
        </w:tc>
      </w:tr>
      <w:tr w:rsidR="001F2991" w:rsidRPr="0035568A" w14:paraId="4E77F05D" w14:textId="77777777" w:rsidTr="00A05278">
        <w:trPr>
          <w:trHeight w:val="283"/>
        </w:trPr>
        <w:tc>
          <w:tcPr>
            <w:tcW w:w="396" w:type="dxa"/>
            <w:tcBorders>
              <w:top w:val="nil"/>
              <w:left w:val="nil"/>
              <w:bottom w:val="nil"/>
              <w:right w:val="nil"/>
            </w:tcBorders>
            <w:shd w:val="clear" w:color="auto" w:fill="auto"/>
            <w:noWrap/>
            <w:vAlign w:val="center"/>
          </w:tcPr>
          <w:p w14:paraId="50525CE0" w14:textId="69F6246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8</w:t>
            </w:r>
          </w:p>
        </w:tc>
        <w:tc>
          <w:tcPr>
            <w:tcW w:w="714" w:type="dxa"/>
            <w:tcBorders>
              <w:top w:val="nil"/>
              <w:left w:val="nil"/>
              <w:bottom w:val="nil"/>
              <w:right w:val="nil"/>
            </w:tcBorders>
            <w:shd w:val="clear" w:color="auto" w:fill="auto"/>
            <w:noWrap/>
            <w:vAlign w:val="center"/>
          </w:tcPr>
          <w:p w14:paraId="02C1D99E" w14:textId="22DEDB1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61C62683" w14:textId="5A887F49"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3" w:history="1">
              <w:r w:rsidRPr="0035568A">
                <w:rPr>
                  <w:rStyle w:val="Hyperlink"/>
                  <w:rFonts w:ascii="Arial" w:eastAsia="Times New Roman" w:hAnsi="Arial" w:cs="Arial"/>
                  <w:sz w:val="16"/>
                  <w:szCs w:val="16"/>
                  <w:lang w:eastAsia="en-GB"/>
                </w:rPr>
                <w:t>Iranian Oil Company (U.K.) Ltd</w:t>
              </w:r>
            </w:hyperlink>
          </w:p>
        </w:tc>
        <w:tc>
          <w:tcPr>
            <w:tcW w:w="1800" w:type="dxa"/>
            <w:tcBorders>
              <w:top w:val="nil"/>
              <w:left w:val="nil"/>
              <w:bottom w:val="nil"/>
              <w:right w:val="nil"/>
            </w:tcBorders>
            <w:shd w:val="clear" w:color="auto" w:fill="auto"/>
            <w:vAlign w:val="center"/>
          </w:tcPr>
          <w:p w14:paraId="09C05E91" w14:textId="4188039D"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01019769</w:t>
            </w:r>
          </w:p>
        </w:tc>
        <w:tc>
          <w:tcPr>
            <w:tcW w:w="3060" w:type="dxa"/>
            <w:tcBorders>
              <w:top w:val="nil"/>
              <w:left w:val="nil"/>
              <w:bottom w:val="nil"/>
              <w:right w:val="nil"/>
            </w:tcBorders>
            <w:shd w:val="clear" w:color="auto" w:fill="auto"/>
            <w:vAlign w:val="center"/>
          </w:tcPr>
          <w:p w14:paraId="33F8852B" w14:textId="19FF6DB0"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Iranian Oil Company (U.K.) Ltd</w:t>
            </w:r>
          </w:p>
        </w:tc>
      </w:tr>
      <w:tr w:rsidR="001F2991" w:rsidRPr="0035568A" w14:paraId="080FD547" w14:textId="77777777" w:rsidTr="00A05278">
        <w:trPr>
          <w:trHeight w:val="283"/>
        </w:trPr>
        <w:tc>
          <w:tcPr>
            <w:tcW w:w="396" w:type="dxa"/>
            <w:tcBorders>
              <w:top w:val="nil"/>
              <w:left w:val="nil"/>
              <w:bottom w:val="nil"/>
              <w:right w:val="nil"/>
            </w:tcBorders>
            <w:shd w:val="clear" w:color="auto" w:fill="B4C6E7"/>
            <w:noWrap/>
            <w:vAlign w:val="center"/>
          </w:tcPr>
          <w:p w14:paraId="5A2630AD" w14:textId="1DA3C6C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9</w:t>
            </w:r>
          </w:p>
        </w:tc>
        <w:tc>
          <w:tcPr>
            <w:tcW w:w="714" w:type="dxa"/>
            <w:tcBorders>
              <w:top w:val="nil"/>
              <w:left w:val="nil"/>
              <w:bottom w:val="nil"/>
              <w:right w:val="nil"/>
            </w:tcBorders>
            <w:shd w:val="clear" w:color="auto" w:fill="B4C6E7"/>
            <w:noWrap/>
            <w:vAlign w:val="center"/>
          </w:tcPr>
          <w:p w14:paraId="0626423B" w14:textId="58B44B8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3030" w:type="dxa"/>
            <w:tcBorders>
              <w:top w:val="nil"/>
              <w:left w:val="nil"/>
              <w:bottom w:val="nil"/>
              <w:right w:val="nil"/>
            </w:tcBorders>
            <w:shd w:val="clear" w:color="auto" w:fill="B4C6E7"/>
            <w:noWrap/>
            <w:vAlign w:val="center"/>
          </w:tcPr>
          <w:p w14:paraId="04C77BB2" w14:textId="08F599F3"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4" w:history="1">
              <w:r w:rsidRPr="0035568A">
                <w:rPr>
                  <w:rStyle w:val="Hyperlink"/>
                  <w:rFonts w:ascii="Arial" w:eastAsia="Times New Roman" w:hAnsi="Arial" w:cs="Arial"/>
                  <w:sz w:val="16"/>
                  <w:szCs w:val="16"/>
                  <w:lang w:eastAsia="en-GB"/>
                </w:rPr>
                <w:t>Irish Salt Mining &amp; Exploration Co. Ltd</w:t>
              </w:r>
            </w:hyperlink>
          </w:p>
        </w:tc>
        <w:tc>
          <w:tcPr>
            <w:tcW w:w="1800" w:type="dxa"/>
            <w:tcBorders>
              <w:top w:val="nil"/>
              <w:left w:val="nil"/>
              <w:bottom w:val="nil"/>
              <w:right w:val="nil"/>
            </w:tcBorders>
            <w:shd w:val="clear" w:color="auto" w:fill="B4C6E7"/>
            <w:vAlign w:val="center"/>
          </w:tcPr>
          <w:p w14:paraId="73E12038" w14:textId="7675C7A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NI006389</w:t>
            </w:r>
          </w:p>
        </w:tc>
        <w:tc>
          <w:tcPr>
            <w:tcW w:w="3060" w:type="dxa"/>
            <w:tcBorders>
              <w:top w:val="nil"/>
              <w:left w:val="nil"/>
              <w:bottom w:val="nil"/>
              <w:right w:val="nil"/>
            </w:tcBorders>
            <w:shd w:val="clear" w:color="auto" w:fill="B4C6E7"/>
            <w:vAlign w:val="center"/>
          </w:tcPr>
          <w:p w14:paraId="1E9E0C44" w14:textId="1F7A1895"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Irish Salt Mining &amp; Exploration Co. Ltd</w:t>
            </w:r>
          </w:p>
        </w:tc>
      </w:tr>
      <w:tr w:rsidR="001F2991" w:rsidRPr="0035568A" w14:paraId="12A70761" w14:textId="77777777" w:rsidTr="00A05278">
        <w:trPr>
          <w:trHeight w:val="283"/>
        </w:trPr>
        <w:tc>
          <w:tcPr>
            <w:tcW w:w="396" w:type="dxa"/>
            <w:tcBorders>
              <w:top w:val="nil"/>
              <w:left w:val="nil"/>
              <w:bottom w:val="nil"/>
              <w:right w:val="nil"/>
            </w:tcBorders>
            <w:shd w:val="clear" w:color="auto" w:fill="auto"/>
            <w:noWrap/>
            <w:vAlign w:val="center"/>
          </w:tcPr>
          <w:p w14:paraId="5926BD99" w14:textId="2F0E3F9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10</w:t>
            </w:r>
          </w:p>
        </w:tc>
        <w:tc>
          <w:tcPr>
            <w:tcW w:w="714" w:type="dxa"/>
            <w:tcBorders>
              <w:top w:val="nil"/>
              <w:left w:val="nil"/>
              <w:bottom w:val="nil"/>
              <w:right w:val="nil"/>
            </w:tcBorders>
            <w:shd w:val="clear" w:color="auto" w:fill="auto"/>
            <w:noWrap/>
            <w:vAlign w:val="center"/>
          </w:tcPr>
          <w:p w14:paraId="3E4474EB" w14:textId="4F1CF0D9"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63462925" w14:textId="2E160E74" w:rsidR="001F2991" w:rsidRPr="0035568A" w:rsidRDefault="00651A9E" w:rsidP="007439A2">
            <w:pPr>
              <w:spacing w:before="40" w:after="40" w:line="240" w:lineRule="auto"/>
              <w:ind w:right="-112"/>
              <w:rPr>
                <w:rFonts w:ascii="Arial" w:eastAsia="Times New Roman" w:hAnsi="Arial" w:cs="Arial"/>
                <w:color w:val="000000"/>
                <w:sz w:val="16"/>
                <w:szCs w:val="16"/>
                <w:lang w:eastAsia="en-GB"/>
              </w:rPr>
            </w:pPr>
            <w:hyperlink r:id="rId65" w:history="1">
              <w:r w:rsidRPr="0035568A">
                <w:rPr>
                  <w:rStyle w:val="Hyperlink"/>
                  <w:rFonts w:ascii="Arial" w:eastAsia="Times New Roman" w:hAnsi="Arial" w:cs="Arial"/>
                  <w:sz w:val="16"/>
                  <w:szCs w:val="16"/>
                  <w:lang w:eastAsia="en-GB"/>
                </w:rPr>
                <w:t>NEO Energy Production UK Ltd</w:t>
              </w:r>
            </w:hyperlink>
          </w:p>
        </w:tc>
        <w:tc>
          <w:tcPr>
            <w:tcW w:w="1800" w:type="dxa"/>
            <w:tcBorders>
              <w:top w:val="nil"/>
              <w:left w:val="nil"/>
              <w:bottom w:val="nil"/>
              <w:right w:val="nil"/>
            </w:tcBorders>
            <w:shd w:val="clear" w:color="auto" w:fill="auto"/>
            <w:vAlign w:val="center"/>
          </w:tcPr>
          <w:p w14:paraId="15A55F1D" w14:textId="6B6FD48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12086835</w:t>
            </w:r>
          </w:p>
        </w:tc>
        <w:tc>
          <w:tcPr>
            <w:tcW w:w="3060" w:type="dxa"/>
            <w:tcBorders>
              <w:top w:val="nil"/>
              <w:left w:val="nil"/>
              <w:bottom w:val="nil"/>
              <w:right w:val="nil"/>
            </w:tcBorders>
            <w:shd w:val="clear" w:color="auto" w:fill="auto"/>
            <w:vAlign w:val="center"/>
          </w:tcPr>
          <w:p w14:paraId="043E99E1" w14:textId="5416C913" w:rsidR="001F2991" w:rsidRPr="0035568A" w:rsidRDefault="00DB5B7E"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HV INVEST ETA L</w:t>
            </w:r>
            <w:r w:rsidR="00924D4F" w:rsidRPr="0035568A">
              <w:rPr>
                <w:rFonts w:ascii="Arial" w:eastAsia="Times New Roman" w:hAnsi="Arial" w:cs="Arial"/>
                <w:color w:val="000000"/>
                <w:sz w:val="16"/>
                <w:szCs w:val="16"/>
                <w:lang w:eastAsia="en-GB"/>
              </w:rPr>
              <w:t>td</w:t>
            </w:r>
          </w:p>
        </w:tc>
      </w:tr>
      <w:tr w:rsidR="001F2991" w:rsidRPr="0035568A" w14:paraId="087BC02F" w14:textId="77777777" w:rsidTr="00A05278">
        <w:trPr>
          <w:trHeight w:val="283"/>
        </w:trPr>
        <w:tc>
          <w:tcPr>
            <w:tcW w:w="396" w:type="dxa"/>
            <w:tcBorders>
              <w:top w:val="nil"/>
              <w:left w:val="nil"/>
              <w:bottom w:val="nil"/>
              <w:right w:val="nil"/>
            </w:tcBorders>
            <w:shd w:val="clear" w:color="auto" w:fill="B4C6E7"/>
            <w:noWrap/>
            <w:vAlign w:val="center"/>
          </w:tcPr>
          <w:p w14:paraId="3D9D4262" w14:textId="50A9BE79"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11</w:t>
            </w:r>
          </w:p>
        </w:tc>
        <w:tc>
          <w:tcPr>
            <w:tcW w:w="714" w:type="dxa"/>
            <w:tcBorders>
              <w:top w:val="nil"/>
              <w:left w:val="nil"/>
              <w:bottom w:val="nil"/>
              <w:right w:val="nil"/>
            </w:tcBorders>
            <w:shd w:val="clear" w:color="auto" w:fill="B4C6E7"/>
            <w:noWrap/>
            <w:vAlign w:val="center"/>
          </w:tcPr>
          <w:p w14:paraId="55088FCE" w14:textId="69DAF25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sz w:val="16"/>
                <w:szCs w:val="16"/>
                <w:lang w:eastAsia="en-GB"/>
              </w:rPr>
              <w:t>O&amp;G</w:t>
            </w:r>
          </w:p>
        </w:tc>
        <w:tc>
          <w:tcPr>
            <w:tcW w:w="3030" w:type="dxa"/>
            <w:tcBorders>
              <w:top w:val="nil"/>
              <w:left w:val="nil"/>
              <w:bottom w:val="nil"/>
              <w:right w:val="nil"/>
            </w:tcBorders>
            <w:shd w:val="clear" w:color="auto" w:fill="B4C6E7"/>
            <w:noWrap/>
            <w:vAlign w:val="center"/>
          </w:tcPr>
          <w:p w14:paraId="4481A262" w14:textId="484C2420"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6" w:history="1">
              <w:r w:rsidRPr="0035568A">
                <w:rPr>
                  <w:rStyle w:val="Hyperlink"/>
                  <w:rFonts w:ascii="Arial" w:eastAsia="Times New Roman" w:hAnsi="Arial" w:cs="Arial"/>
                  <w:sz w:val="16"/>
                  <w:szCs w:val="16"/>
                  <w:lang w:eastAsia="en-GB"/>
                </w:rPr>
                <w:t>Neptune Energy Group Ltd</w:t>
              </w:r>
            </w:hyperlink>
            <w:r w:rsidR="00E66468" w:rsidRPr="0035568A">
              <w:rPr>
                <w:rStyle w:val="FootnoteReference"/>
                <w:rFonts w:ascii="Arial" w:eastAsia="Times New Roman" w:hAnsi="Arial" w:cs="Arial"/>
                <w:color w:val="000000"/>
                <w:sz w:val="16"/>
                <w:szCs w:val="16"/>
                <w:lang w:eastAsia="en-GB"/>
              </w:rPr>
              <w:footnoteReference w:id="16"/>
            </w:r>
          </w:p>
        </w:tc>
        <w:tc>
          <w:tcPr>
            <w:tcW w:w="1800" w:type="dxa"/>
            <w:tcBorders>
              <w:top w:val="nil"/>
              <w:left w:val="nil"/>
              <w:bottom w:val="nil"/>
              <w:right w:val="nil"/>
            </w:tcBorders>
            <w:shd w:val="clear" w:color="auto" w:fill="B4C6E7"/>
            <w:vAlign w:val="center"/>
          </w:tcPr>
          <w:p w14:paraId="3C3F6D8E" w14:textId="2EE87856"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10647707</w:t>
            </w:r>
          </w:p>
        </w:tc>
        <w:tc>
          <w:tcPr>
            <w:tcW w:w="3060" w:type="dxa"/>
            <w:tcBorders>
              <w:top w:val="nil"/>
              <w:left w:val="nil"/>
              <w:bottom w:val="nil"/>
              <w:right w:val="nil"/>
            </w:tcBorders>
            <w:shd w:val="clear" w:color="auto" w:fill="B4C6E7"/>
            <w:vAlign w:val="center"/>
          </w:tcPr>
          <w:p w14:paraId="685AC643" w14:textId="275D4174"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Neptune Energy Group Ltd</w:t>
            </w:r>
          </w:p>
        </w:tc>
      </w:tr>
      <w:tr w:rsidR="001F2991" w:rsidRPr="0035568A" w14:paraId="729D46E0" w14:textId="77777777" w:rsidTr="00A05278">
        <w:trPr>
          <w:trHeight w:val="283"/>
        </w:trPr>
        <w:tc>
          <w:tcPr>
            <w:tcW w:w="396" w:type="dxa"/>
            <w:tcBorders>
              <w:top w:val="nil"/>
              <w:left w:val="nil"/>
              <w:bottom w:val="nil"/>
              <w:right w:val="nil"/>
            </w:tcBorders>
            <w:shd w:val="clear" w:color="auto" w:fill="auto"/>
            <w:noWrap/>
            <w:vAlign w:val="center"/>
          </w:tcPr>
          <w:p w14:paraId="37480752" w14:textId="1AFCFA28"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12</w:t>
            </w:r>
          </w:p>
        </w:tc>
        <w:tc>
          <w:tcPr>
            <w:tcW w:w="714" w:type="dxa"/>
            <w:tcBorders>
              <w:top w:val="nil"/>
              <w:left w:val="nil"/>
              <w:bottom w:val="nil"/>
              <w:right w:val="nil"/>
            </w:tcBorders>
            <w:shd w:val="clear" w:color="auto" w:fill="auto"/>
            <w:noWrap/>
            <w:vAlign w:val="center"/>
          </w:tcPr>
          <w:p w14:paraId="614D9440" w14:textId="09DD9E1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783D55AE" w14:textId="5EB87C7D"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7" w:history="1">
              <w:r w:rsidRPr="0035568A">
                <w:rPr>
                  <w:rStyle w:val="Hyperlink"/>
                  <w:rFonts w:ascii="Arial" w:eastAsia="Times New Roman" w:hAnsi="Arial" w:cs="Arial"/>
                  <w:sz w:val="16"/>
                  <w:szCs w:val="16"/>
                  <w:lang w:eastAsia="en-GB"/>
                </w:rPr>
                <w:t>NSMP Operations Ltd</w:t>
              </w:r>
            </w:hyperlink>
            <w:r w:rsidRPr="0035568A">
              <w:rPr>
                <w:rFonts w:ascii="Arial" w:eastAsia="Times New Roman" w:hAnsi="Arial" w:cs="Arial"/>
                <w:color w:val="000000"/>
                <w:sz w:val="16"/>
                <w:szCs w:val="16"/>
                <w:lang w:eastAsia="en-GB"/>
              </w:rPr>
              <w:t xml:space="preserve"> </w:t>
            </w:r>
          </w:p>
        </w:tc>
        <w:tc>
          <w:tcPr>
            <w:tcW w:w="1800" w:type="dxa"/>
            <w:tcBorders>
              <w:top w:val="nil"/>
              <w:left w:val="nil"/>
              <w:bottom w:val="nil"/>
              <w:right w:val="nil"/>
            </w:tcBorders>
            <w:shd w:val="clear" w:color="auto" w:fill="auto"/>
            <w:vAlign w:val="center"/>
          </w:tcPr>
          <w:p w14:paraId="640CECC5" w14:textId="7C922C05"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09711370</w:t>
            </w:r>
          </w:p>
        </w:tc>
        <w:tc>
          <w:tcPr>
            <w:tcW w:w="3060" w:type="dxa"/>
            <w:tcBorders>
              <w:top w:val="nil"/>
              <w:left w:val="nil"/>
              <w:bottom w:val="nil"/>
              <w:right w:val="nil"/>
            </w:tcBorders>
            <w:shd w:val="clear" w:color="auto" w:fill="auto"/>
            <w:vAlign w:val="center"/>
          </w:tcPr>
          <w:p w14:paraId="5EE42572" w14:textId="0EAFB80D"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Selkie Investments Midstream Midco 2 Ltd</w:t>
            </w:r>
          </w:p>
        </w:tc>
      </w:tr>
      <w:tr w:rsidR="001F2991" w:rsidRPr="0035568A" w14:paraId="20707910" w14:textId="77777777" w:rsidTr="00A05278">
        <w:trPr>
          <w:trHeight w:val="283"/>
        </w:trPr>
        <w:tc>
          <w:tcPr>
            <w:tcW w:w="396" w:type="dxa"/>
            <w:tcBorders>
              <w:top w:val="nil"/>
              <w:left w:val="nil"/>
              <w:bottom w:val="nil"/>
              <w:right w:val="nil"/>
            </w:tcBorders>
            <w:shd w:val="clear" w:color="auto" w:fill="B4C6E7"/>
            <w:noWrap/>
            <w:vAlign w:val="center"/>
          </w:tcPr>
          <w:p w14:paraId="5FC58139" w14:textId="76158DF8"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13</w:t>
            </w:r>
          </w:p>
        </w:tc>
        <w:tc>
          <w:tcPr>
            <w:tcW w:w="714" w:type="dxa"/>
            <w:tcBorders>
              <w:top w:val="nil"/>
              <w:left w:val="nil"/>
              <w:bottom w:val="nil"/>
              <w:right w:val="nil"/>
            </w:tcBorders>
            <w:shd w:val="clear" w:color="auto" w:fill="B4C6E7"/>
            <w:noWrap/>
            <w:vAlign w:val="center"/>
          </w:tcPr>
          <w:p w14:paraId="36FB4465" w14:textId="0C81090E"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B4C6E7"/>
            <w:noWrap/>
            <w:vAlign w:val="center"/>
          </w:tcPr>
          <w:p w14:paraId="607BA49D" w14:textId="6B847E2C"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8" w:history="1">
              <w:r w:rsidRPr="0035568A">
                <w:rPr>
                  <w:rStyle w:val="Hyperlink"/>
                  <w:rFonts w:ascii="Arial" w:eastAsia="Times New Roman" w:hAnsi="Arial" w:cs="Arial"/>
                  <w:sz w:val="16"/>
                  <w:szCs w:val="16"/>
                  <w:lang w:eastAsia="en-GB"/>
                </w:rPr>
                <w:t>ONE-Dyas UK Ltd</w:t>
              </w:r>
            </w:hyperlink>
          </w:p>
        </w:tc>
        <w:tc>
          <w:tcPr>
            <w:tcW w:w="1800" w:type="dxa"/>
            <w:tcBorders>
              <w:top w:val="nil"/>
              <w:left w:val="nil"/>
              <w:bottom w:val="nil"/>
              <w:right w:val="nil"/>
            </w:tcBorders>
            <w:shd w:val="clear" w:color="auto" w:fill="B4C6E7"/>
            <w:vAlign w:val="center"/>
          </w:tcPr>
          <w:p w14:paraId="026717A5" w14:textId="6C808156"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03531783</w:t>
            </w:r>
          </w:p>
        </w:tc>
        <w:tc>
          <w:tcPr>
            <w:tcW w:w="3060" w:type="dxa"/>
            <w:tcBorders>
              <w:top w:val="nil"/>
              <w:left w:val="nil"/>
              <w:bottom w:val="nil"/>
              <w:right w:val="nil"/>
            </w:tcBorders>
            <w:shd w:val="clear" w:color="auto" w:fill="B4C6E7"/>
            <w:vAlign w:val="center"/>
          </w:tcPr>
          <w:p w14:paraId="4802CB0A" w14:textId="18EEBD13"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ONE-Dyas UK Ltd</w:t>
            </w:r>
          </w:p>
        </w:tc>
      </w:tr>
      <w:tr w:rsidR="001F2991" w:rsidRPr="0035568A" w14:paraId="26B24E66" w14:textId="77777777" w:rsidTr="00A05278">
        <w:trPr>
          <w:trHeight w:val="283"/>
        </w:trPr>
        <w:tc>
          <w:tcPr>
            <w:tcW w:w="396" w:type="dxa"/>
            <w:tcBorders>
              <w:top w:val="nil"/>
              <w:left w:val="nil"/>
              <w:bottom w:val="nil"/>
              <w:right w:val="nil"/>
            </w:tcBorders>
            <w:shd w:val="clear" w:color="auto" w:fill="auto"/>
            <w:noWrap/>
            <w:vAlign w:val="center"/>
          </w:tcPr>
          <w:p w14:paraId="292C0CF5" w14:textId="33F4613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14</w:t>
            </w:r>
          </w:p>
        </w:tc>
        <w:tc>
          <w:tcPr>
            <w:tcW w:w="714" w:type="dxa"/>
            <w:tcBorders>
              <w:top w:val="nil"/>
              <w:left w:val="nil"/>
              <w:bottom w:val="nil"/>
              <w:right w:val="nil"/>
            </w:tcBorders>
            <w:shd w:val="clear" w:color="auto" w:fill="auto"/>
            <w:noWrap/>
            <w:vAlign w:val="center"/>
          </w:tcPr>
          <w:p w14:paraId="19F9CEE0" w14:textId="73650039"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1F821FE0" w14:textId="4C81FB21"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69" w:history="1">
              <w:proofErr w:type="spellStart"/>
              <w:r w:rsidRPr="0035568A">
                <w:rPr>
                  <w:rStyle w:val="Hyperlink"/>
                  <w:rFonts w:ascii="Arial" w:eastAsia="Times New Roman" w:hAnsi="Arial" w:cs="Arial"/>
                  <w:sz w:val="16"/>
                  <w:szCs w:val="16"/>
                  <w:lang w:eastAsia="en-GB"/>
                </w:rPr>
                <w:t>Perenco</w:t>
              </w:r>
              <w:proofErr w:type="spellEnd"/>
              <w:r w:rsidRPr="0035568A">
                <w:rPr>
                  <w:rStyle w:val="Hyperlink"/>
                  <w:rFonts w:ascii="Arial" w:eastAsia="Times New Roman" w:hAnsi="Arial" w:cs="Arial"/>
                  <w:sz w:val="16"/>
                  <w:szCs w:val="16"/>
                  <w:lang w:eastAsia="en-GB"/>
                </w:rPr>
                <w:t xml:space="preserve"> UK Ltd</w:t>
              </w:r>
            </w:hyperlink>
          </w:p>
        </w:tc>
        <w:tc>
          <w:tcPr>
            <w:tcW w:w="1800" w:type="dxa"/>
            <w:tcBorders>
              <w:top w:val="nil"/>
              <w:left w:val="nil"/>
              <w:bottom w:val="nil"/>
              <w:right w:val="nil"/>
            </w:tcBorders>
            <w:shd w:val="clear" w:color="auto" w:fill="auto"/>
            <w:vAlign w:val="center"/>
          </w:tcPr>
          <w:p w14:paraId="5E0D8633" w14:textId="4D565AA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04653066</w:t>
            </w:r>
          </w:p>
        </w:tc>
        <w:tc>
          <w:tcPr>
            <w:tcW w:w="3060" w:type="dxa"/>
            <w:tcBorders>
              <w:top w:val="nil"/>
              <w:left w:val="nil"/>
              <w:bottom w:val="nil"/>
              <w:right w:val="nil"/>
            </w:tcBorders>
            <w:shd w:val="clear" w:color="auto" w:fill="auto"/>
            <w:vAlign w:val="center"/>
          </w:tcPr>
          <w:p w14:paraId="47E24AB6" w14:textId="04E00CC4" w:rsidR="001F2991" w:rsidRPr="0035568A" w:rsidRDefault="001F2991" w:rsidP="007439A2">
            <w:pPr>
              <w:spacing w:before="40" w:after="40" w:line="240" w:lineRule="auto"/>
              <w:rPr>
                <w:rFonts w:ascii="Arial" w:eastAsia="Times New Roman" w:hAnsi="Arial" w:cs="Arial"/>
                <w:color w:val="000000"/>
                <w:sz w:val="16"/>
                <w:szCs w:val="16"/>
                <w:lang w:eastAsia="en-GB"/>
              </w:rPr>
            </w:pPr>
            <w:proofErr w:type="spellStart"/>
            <w:r w:rsidRPr="0035568A">
              <w:rPr>
                <w:rFonts w:ascii="Arial" w:eastAsia="Times New Roman" w:hAnsi="Arial" w:cs="Arial"/>
                <w:color w:val="000000"/>
                <w:sz w:val="16"/>
                <w:szCs w:val="16"/>
                <w:lang w:eastAsia="en-GB"/>
              </w:rPr>
              <w:t>Perenco</w:t>
            </w:r>
            <w:proofErr w:type="spellEnd"/>
            <w:r w:rsidRPr="0035568A">
              <w:rPr>
                <w:rFonts w:ascii="Arial" w:eastAsia="Times New Roman" w:hAnsi="Arial" w:cs="Arial"/>
                <w:color w:val="000000"/>
                <w:sz w:val="16"/>
                <w:szCs w:val="16"/>
                <w:lang w:eastAsia="en-GB"/>
              </w:rPr>
              <w:t xml:space="preserve"> UK Ltd</w:t>
            </w:r>
          </w:p>
        </w:tc>
      </w:tr>
      <w:tr w:rsidR="001F2991" w:rsidRPr="0035568A" w14:paraId="05D47017" w14:textId="77777777" w:rsidTr="00A05278">
        <w:trPr>
          <w:trHeight w:val="283"/>
        </w:trPr>
        <w:tc>
          <w:tcPr>
            <w:tcW w:w="396" w:type="dxa"/>
            <w:tcBorders>
              <w:top w:val="nil"/>
              <w:left w:val="nil"/>
              <w:bottom w:val="nil"/>
              <w:right w:val="nil"/>
            </w:tcBorders>
            <w:shd w:val="clear" w:color="auto" w:fill="B4C6E7"/>
            <w:noWrap/>
            <w:vAlign w:val="center"/>
          </w:tcPr>
          <w:p w14:paraId="3261F131" w14:textId="43BFE4B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15</w:t>
            </w:r>
          </w:p>
        </w:tc>
        <w:tc>
          <w:tcPr>
            <w:tcW w:w="714" w:type="dxa"/>
            <w:tcBorders>
              <w:top w:val="nil"/>
              <w:left w:val="nil"/>
              <w:bottom w:val="nil"/>
              <w:right w:val="nil"/>
            </w:tcBorders>
            <w:shd w:val="clear" w:color="auto" w:fill="B4C6E7"/>
            <w:noWrap/>
            <w:vAlign w:val="center"/>
          </w:tcPr>
          <w:p w14:paraId="726EC1DC" w14:textId="7688F2AE"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B4C6E7"/>
            <w:noWrap/>
            <w:vAlign w:val="center"/>
          </w:tcPr>
          <w:p w14:paraId="1E1005B1" w14:textId="78C2F674"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0" w:history="1">
              <w:r w:rsidRPr="0035568A">
                <w:rPr>
                  <w:rStyle w:val="Hyperlink"/>
                  <w:rFonts w:ascii="Arial" w:eastAsia="Times New Roman" w:hAnsi="Arial" w:cs="Arial"/>
                  <w:sz w:val="16"/>
                  <w:szCs w:val="16"/>
                  <w:lang w:eastAsia="en-GB"/>
                </w:rPr>
                <w:t>Prax Upstream Ltd</w:t>
              </w:r>
            </w:hyperlink>
          </w:p>
        </w:tc>
        <w:tc>
          <w:tcPr>
            <w:tcW w:w="1800" w:type="dxa"/>
            <w:tcBorders>
              <w:top w:val="nil"/>
              <w:left w:val="nil"/>
              <w:bottom w:val="nil"/>
              <w:right w:val="nil"/>
            </w:tcBorders>
            <w:shd w:val="clear" w:color="auto" w:fill="B4C6E7"/>
            <w:vAlign w:val="center"/>
          </w:tcPr>
          <w:p w14:paraId="67B71903" w14:textId="45B89E9D"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13920571</w:t>
            </w:r>
          </w:p>
        </w:tc>
        <w:tc>
          <w:tcPr>
            <w:tcW w:w="3060" w:type="dxa"/>
            <w:tcBorders>
              <w:top w:val="nil"/>
              <w:left w:val="nil"/>
              <w:bottom w:val="nil"/>
              <w:right w:val="nil"/>
            </w:tcBorders>
            <w:shd w:val="clear" w:color="auto" w:fill="B4C6E7"/>
            <w:vAlign w:val="center"/>
          </w:tcPr>
          <w:p w14:paraId="76476D64" w14:textId="78CA0E6F"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Prax Group Holdings Ltd</w:t>
            </w:r>
          </w:p>
        </w:tc>
      </w:tr>
      <w:tr w:rsidR="001F2991" w:rsidRPr="0035568A" w14:paraId="6E3C6D07" w14:textId="77777777" w:rsidTr="00A05278">
        <w:trPr>
          <w:trHeight w:val="283"/>
        </w:trPr>
        <w:tc>
          <w:tcPr>
            <w:tcW w:w="396" w:type="dxa"/>
            <w:tcBorders>
              <w:top w:val="nil"/>
              <w:left w:val="nil"/>
              <w:bottom w:val="nil"/>
              <w:right w:val="nil"/>
            </w:tcBorders>
            <w:shd w:val="clear" w:color="auto" w:fill="auto"/>
            <w:noWrap/>
            <w:vAlign w:val="center"/>
          </w:tcPr>
          <w:p w14:paraId="692A4B1D" w14:textId="4141AFF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16</w:t>
            </w:r>
          </w:p>
        </w:tc>
        <w:tc>
          <w:tcPr>
            <w:tcW w:w="714" w:type="dxa"/>
            <w:tcBorders>
              <w:top w:val="nil"/>
              <w:left w:val="nil"/>
              <w:bottom w:val="nil"/>
              <w:right w:val="nil"/>
            </w:tcBorders>
            <w:shd w:val="clear" w:color="auto" w:fill="auto"/>
            <w:noWrap/>
            <w:vAlign w:val="center"/>
          </w:tcPr>
          <w:p w14:paraId="169086E2" w14:textId="7C525468"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41933C6E" w14:textId="770DFB5E"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1" w:history="1">
              <w:proofErr w:type="spellStart"/>
              <w:r w:rsidRPr="0035568A">
                <w:rPr>
                  <w:rStyle w:val="Hyperlink"/>
                  <w:rFonts w:ascii="Arial" w:eastAsia="Times New Roman" w:hAnsi="Arial" w:cs="Arial"/>
                  <w:sz w:val="16"/>
                  <w:szCs w:val="16"/>
                  <w:lang w:eastAsia="en-GB"/>
                </w:rPr>
                <w:t>RockRose</w:t>
              </w:r>
              <w:proofErr w:type="spellEnd"/>
              <w:r w:rsidRPr="0035568A">
                <w:rPr>
                  <w:rStyle w:val="Hyperlink"/>
                  <w:rFonts w:ascii="Arial" w:eastAsia="Times New Roman" w:hAnsi="Arial" w:cs="Arial"/>
                  <w:sz w:val="16"/>
                  <w:szCs w:val="16"/>
                  <w:lang w:eastAsia="en-GB"/>
                </w:rPr>
                <w:t xml:space="preserve"> Energy Ltd</w:t>
              </w:r>
            </w:hyperlink>
          </w:p>
        </w:tc>
        <w:tc>
          <w:tcPr>
            <w:tcW w:w="1800" w:type="dxa"/>
            <w:tcBorders>
              <w:top w:val="nil"/>
              <w:left w:val="nil"/>
              <w:bottom w:val="nil"/>
              <w:right w:val="nil"/>
            </w:tcBorders>
            <w:shd w:val="clear" w:color="auto" w:fill="auto"/>
            <w:vAlign w:val="center"/>
          </w:tcPr>
          <w:p w14:paraId="488227DE" w14:textId="4534F4E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09665181</w:t>
            </w:r>
          </w:p>
        </w:tc>
        <w:tc>
          <w:tcPr>
            <w:tcW w:w="3060" w:type="dxa"/>
            <w:tcBorders>
              <w:top w:val="nil"/>
              <w:left w:val="nil"/>
              <w:bottom w:val="nil"/>
              <w:right w:val="nil"/>
            </w:tcBorders>
            <w:shd w:val="clear" w:color="auto" w:fill="auto"/>
            <w:vAlign w:val="center"/>
          </w:tcPr>
          <w:p w14:paraId="44405CAB" w14:textId="2D8B6F45" w:rsidR="001F2991" w:rsidRPr="0035568A" w:rsidRDefault="001F2991" w:rsidP="007439A2">
            <w:pPr>
              <w:spacing w:before="40" w:after="40" w:line="240" w:lineRule="auto"/>
              <w:rPr>
                <w:rFonts w:ascii="Arial" w:eastAsia="Times New Roman" w:hAnsi="Arial" w:cs="Arial"/>
                <w:color w:val="000000"/>
                <w:sz w:val="16"/>
                <w:szCs w:val="16"/>
                <w:lang w:eastAsia="en-GB"/>
              </w:rPr>
            </w:pPr>
            <w:proofErr w:type="spellStart"/>
            <w:r w:rsidRPr="0035568A">
              <w:rPr>
                <w:rFonts w:ascii="Arial" w:eastAsia="Times New Roman" w:hAnsi="Arial" w:cs="Arial"/>
                <w:color w:val="000000"/>
                <w:sz w:val="16"/>
                <w:szCs w:val="16"/>
                <w:lang w:eastAsia="en-GB"/>
              </w:rPr>
              <w:t>Viaro</w:t>
            </w:r>
            <w:proofErr w:type="spellEnd"/>
            <w:r w:rsidRPr="0035568A">
              <w:rPr>
                <w:rFonts w:ascii="Arial" w:eastAsia="Times New Roman" w:hAnsi="Arial" w:cs="Arial"/>
                <w:color w:val="000000"/>
                <w:sz w:val="16"/>
                <w:szCs w:val="16"/>
                <w:lang w:eastAsia="en-GB"/>
              </w:rPr>
              <w:t xml:space="preserve"> Investment Ltd</w:t>
            </w:r>
          </w:p>
        </w:tc>
      </w:tr>
      <w:tr w:rsidR="001F2991" w:rsidRPr="0035568A" w14:paraId="1CD02F79" w14:textId="77777777" w:rsidTr="00A05278">
        <w:trPr>
          <w:trHeight w:val="283"/>
        </w:trPr>
        <w:tc>
          <w:tcPr>
            <w:tcW w:w="396" w:type="dxa"/>
            <w:tcBorders>
              <w:top w:val="nil"/>
              <w:left w:val="nil"/>
              <w:bottom w:val="nil"/>
              <w:right w:val="nil"/>
            </w:tcBorders>
            <w:shd w:val="clear" w:color="auto" w:fill="B4C6E7"/>
            <w:noWrap/>
            <w:vAlign w:val="center"/>
          </w:tcPr>
          <w:p w14:paraId="678AEB7A" w14:textId="1008EA7B"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17</w:t>
            </w:r>
          </w:p>
        </w:tc>
        <w:tc>
          <w:tcPr>
            <w:tcW w:w="714" w:type="dxa"/>
            <w:tcBorders>
              <w:top w:val="nil"/>
              <w:left w:val="nil"/>
              <w:bottom w:val="nil"/>
              <w:right w:val="nil"/>
            </w:tcBorders>
            <w:shd w:val="clear" w:color="auto" w:fill="B4C6E7"/>
            <w:noWrap/>
            <w:vAlign w:val="center"/>
          </w:tcPr>
          <w:p w14:paraId="577884C1" w14:textId="0384F69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sz w:val="16"/>
                <w:szCs w:val="16"/>
                <w:lang w:eastAsia="en-GB"/>
              </w:rPr>
              <w:t>O&amp;G</w:t>
            </w:r>
          </w:p>
        </w:tc>
        <w:tc>
          <w:tcPr>
            <w:tcW w:w="3030" w:type="dxa"/>
            <w:tcBorders>
              <w:top w:val="nil"/>
              <w:left w:val="nil"/>
              <w:bottom w:val="nil"/>
              <w:right w:val="nil"/>
            </w:tcBorders>
            <w:shd w:val="clear" w:color="auto" w:fill="B4C6E7"/>
            <w:noWrap/>
            <w:vAlign w:val="center"/>
          </w:tcPr>
          <w:p w14:paraId="4589CD5C" w14:textId="6FD3E3CB"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2" w:history="1">
              <w:r w:rsidRPr="0035568A">
                <w:rPr>
                  <w:rStyle w:val="Hyperlink"/>
                  <w:rFonts w:ascii="Arial" w:eastAsia="Times New Roman" w:hAnsi="Arial" w:cs="Arial"/>
                  <w:sz w:val="16"/>
                  <w:szCs w:val="16"/>
                  <w:lang w:eastAsia="en-GB"/>
                </w:rPr>
                <w:t>SAGE North Sea Ltd</w:t>
              </w:r>
            </w:hyperlink>
          </w:p>
        </w:tc>
        <w:tc>
          <w:tcPr>
            <w:tcW w:w="1800" w:type="dxa"/>
            <w:tcBorders>
              <w:top w:val="nil"/>
              <w:left w:val="nil"/>
              <w:bottom w:val="nil"/>
              <w:right w:val="nil"/>
            </w:tcBorders>
            <w:shd w:val="clear" w:color="auto" w:fill="B4C6E7"/>
            <w:vAlign w:val="center"/>
          </w:tcPr>
          <w:p w14:paraId="529815D1" w14:textId="4D9E385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FC033971</w:t>
            </w:r>
          </w:p>
        </w:tc>
        <w:tc>
          <w:tcPr>
            <w:tcW w:w="3060" w:type="dxa"/>
            <w:tcBorders>
              <w:top w:val="nil"/>
              <w:left w:val="nil"/>
              <w:bottom w:val="nil"/>
              <w:right w:val="nil"/>
            </w:tcBorders>
            <w:shd w:val="clear" w:color="auto" w:fill="B4C6E7"/>
            <w:vAlign w:val="center"/>
          </w:tcPr>
          <w:p w14:paraId="2F89D323" w14:textId="29036DD3" w:rsidR="001F2991" w:rsidRPr="0035568A" w:rsidRDefault="001F2991" w:rsidP="007439A2">
            <w:pPr>
              <w:spacing w:before="40" w:after="40" w:line="240" w:lineRule="auto"/>
              <w:rPr>
                <w:rFonts w:ascii="Arial" w:eastAsia="Times New Roman" w:hAnsi="Arial" w:cs="Arial"/>
                <w:color w:val="000000"/>
                <w:sz w:val="16"/>
                <w:szCs w:val="16"/>
                <w:lang w:eastAsia="en-GB"/>
              </w:rPr>
            </w:pPr>
            <w:proofErr w:type="spellStart"/>
            <w:r w:rsidRPr="0035568A">
              <w:rPr>
                <w:rFonts w:ascii="Arial" w:eastAsia="Times New Roman" w:hAnsi="Arial" w:cs="Arial"/>
                <w:color w:val="000000"/>
                <w:sz w:val="16"/>
                <w:szCs w:val="16"/>
                <w:lang w:eastAsia="en-GB"/>
              </w:rPr>
              <w:t>Ancala</w:t>
            </w:r>
            <w:proofErr w:type="spellEnd"/>
            <w:r w:rsidRPr="0035568A">
              <w:rPr>
                <w:rFonts w:ascii="Arial" w:eastAsia="Times New Roman" w:hAnsi="Arial" w:cs="Arial"/>
                <w:color w:val="000000"/>
                <w:sz w:val="16"/>
                <w:szCs w:val="16"/>
                <w:lang w:eastAsia="en-GB"/>
              </w:rPr>
              <w:t xml:space="preserve"> Midstream Acquisitions Ltd</w:t>
            </w:r>
          </w:p>
        </w:tc>
      </w:tr>
      <w:tr w:rsidR="001F2991" w:rsidRPr="0035568A" w14:paraId="0DCF088F" w14:textId="77777777" w:rsidTr="00A05278">
        <w:trPr>
          <w:trHeight w:val="283"/>
        </w:trPr>
        <w:tc>
          <w:tcPr>
            <w:tcW w:w="396" w:type="dxa"/>
            <w:tcBorders>
              <w:top w:val="nil"/>
              <w:left w:val="nil"/>
              <w:bottom w:val="nil"/>
              <w:right w:val="nil"/>
            </w:tcBorders>
            <w:shd w:val="clear" w:color="auto" w:fill="auto"/>
            <w:noWrap/>
            <w:vAlign w:val="center"/>
          </w:tcPr>
          <w:p w14:paraId="52687140" w14:textId="4118304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18</w:t>
            </w:r>
          </w:p>
        </w:tc>
        <w:tc>
          <w:tcPr>
            <w:tcW w:w="714" w:type="dxa"/>
            <w:tcBorders>
              <w:top w:val="nil"/>
              <w:left w:val="nil"/>
              <w:bottom w:val="nil"/>
              <w:right w:val="nil"/>
            </w:tcBorders>
            <w:shd w:val="clear" w:color="auto" w:fill="auto"/>
            <w:noWrap/>
            <w:vAlign w:val="center"/>
          </w:tcPr>
          <w:p w14:paraId="0BCD8117" w14:textId="612FAC3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3030" w:type="dxa"/>
            <w:tcBorders>
              <w:top w:val="nil"/>
              <w:left w:val="nil"/>
              <w:bottom w:val="nil"/>
              <w:right w:val="nil"/>
            </w:tcBorders>
            <w:shd w:val="clear" w:color="auto" w:fill="auto"/>
            <w:noWrap/>
            <w:vAlign w:val="center"/>
          </w:tcPr>
          <w:p w14:paraId="65DE04DA" w14:textId="41FDB25B"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3" w:history="1">
              <w:r w:rsidRPr="0035568A">
                <w:rPr>
                  <w:rStyle w:val="Hyperlink"/>
                  <w:rFonts w:ascii="Arial" w:eastAsia="Times New Roman" w:hAnsi="Arial" w:cs="Arial"/>
                  <w:sz w:val="16"/>
                  <w:szCs w:val="16"/>
                  <w:lang w:eastAsia="en-GB"/>
                </w:rPr>
                <w:t>Van Oord UK Ltd</w:t>
              </w:r>
            </w:hyperlink>
          </w:p>
        </w:tc>
        <w:tc>
          <w:tcPr>
            <w:tcW w:w="1800" w:type="dxa"/>
            <w:tcBorders>
              <w:top w:val="nil"/>
              <w:left w:val="nil"/>
              <w:bottom w:val="nil"/>
              <w:right w:val="nil"/>
            </w:tcBorders>
            <w:shd w:val="clear" w:color="auto" w:fill="auto"/>
            <w:vAlign w:val="center"/>
          </w:tcPr>
          <w:p w14:paraId="116D1390" w14:textId="450B9FAC"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01805156</w:t>
            </w:r>
          </w:p>
        </w:tc>
        <w:tc>
          <w:tcPr>
            <w:tcW w:w="3060" w:type="dxa"/>
            <w:tcBorders>
              <w:top w:val="nil"/>
              <w:left w:val="nil"/>
              <w:bottom w:val="nil"/>
              <w:right w:val="nil"/>
            </w:tcBorders>
            <w:shd w:val="clear" w:color="auto" w:fill="auto"/>
            <w:vAlign w:val="center"/>
          </w:tcPr>
          <w:p w14:paraId="2094322A" w14:textId="69F969EA"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Van Oord UK Ltd</w:t>
            </w:r>
          </w:p>
        </w:tc>
      </w:tr>
      <w:tr w:rsidR="001F2991" w:rsidRPr="0035568A" w14:paraId="728CCBE1" w14:textId="77777777" w:rsidTr="00A05278">
        <w:trPr>
          <w:trHeight w:val="283"/>
        </w:trPr>
        <w:tc>
          <w:tcPr>
            <w:tcW w:w="396" w:type="dxa"/>
            <w:tcBorders>
              <w:top w:val="nil"/>
              <w:left w:val="nil"/>
              <w:bottom w:val="nil"/>
              <w:right w:val="nil"/>
            </w:tcBorders>
            <w:shd w:val="clear" w:color="auto" w:fill="B4C6E7"/>
            <w:noWrap/>
            <w:vAlign w:val="center"/>
          </w:tcPr>
          <w:p w14:paraId="6A3B8F02" w14:textId="5801B59D"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19</w:t>
            </w:r>
          </w:p>
        </w:tc>
        <w:tc>
          <w:tcPr>
            <w:tcW w:w="714" w:type="dxa"/>
            <w:tcBorders>
              <w:top w:val="nil"/>
              <w:left w:val="nil"/>
              <w:bottom w:val="nil"/>
              <w:right w:val="nil"/>
            </w:tcBorders>
            <w:shd w:val="clear" w:color="auto" w:fill="B4C6E7"/>
            <w:noWrap/>
            <w:vAlign w:val="center"/>
          </w:tcPr>
          <w:p w14:paraId="09EA38D0" w14:textId="251AB061"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M&amp;Q</w:t>
            </w:r>
          </w:p>
        </w:tc>
        <w:tc>
          <w:tcPr>
            <w:tcW w:w="3030" w:type="dxa"/>
            <w:tcBorders>
              <w:top w:val="nil"/>
              <w:left w:val="nil"/>
              <w:bottom w:val="nil"/>
              <w:right w:val="nil"/>
            </w:tcBorders>
            <w:shd w:val="clear" w:color="auto" w:fill="B4C6E7"/>
            <w:noWrap/>
            <w:vAlign w:val="center"/>
          </w:tcPr>
          <w:p w14:paraId="79924B6A" w14:textId="48F91377"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4" w:history="1">
              <w:r w:rsidRPr="0035568A">
                <w:rPr>
                  <w:rStyle w:val="Hyperlink"/>
                  <w:rFonts w:ascii="Arial" w:eastAsia="Times New Roman" w:hAnsi="Arial" w:cs="Arial"/>
                  <w:sz w:val="16"/>
                  <w:szCs w:val="16"/>
                  <w:lang w:eastAsia="en-GB"/>
                </w:rPr>
                <w:t>Volker Dredging Ltd</w:t>
              </w:r>
            </w:hyperlink>
          </w:p>
        </w:tc>
        <w:tc>
          <w:tcPr>
            <w:tcW w:w="1800" w:type="dxa"/>
            <w:tcBorders>
              <w:top w:val="nil"/>
              <w:left w:val="nil"/>
              <w:bottom w:val="nil"/>
              <w:right w:val="nil"/>
            </w:tcBorders>
            <w:shd w:val="clear" w:color="auto" w:fill="B4C6E7"/>
            <w:vAlign w:val="center"/>
          </w:tcPr>
          <w:p w14:paraId="7C642920" w14:textId="2848D295"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01179300</w:t>
            </w:r>
          </w:p>
        </w:tc>
        <w:tc>
          <w:tcPr>
            <w:tcW w:w="3060" w:type="dxa"/>
            <w:tcBorders>
              <w:top w:val="nil"/>
              <w:left w:val="nil"/>
              <w:bottom w:val="nil"/>
              <w:right w:val="nil"/>
            </w:tcBorders>
            <w:shd w:val="clear" w:color="auto" w:fill="B4C6E7"/>
            <w:vAlign w:val="center"/>
          </w:tcPr>
          <w:p w14:paraId="298AA823" w14:textId="0CC3561B"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Volker Dredging Ltd</w:t>
            </w:r>
          </w:p>
        </w:tc>
      </w:tr>
      <w:tr w:rsidR="001F2991" w:rsidRPr="0035568A" w14:paraId="599567B8" w14:textId="77777777" w:rsidTr="00A05278">
        <w:trPr>
          <w:trHeight w:val="283"/>
        </w:trPr>
        <w:tc>
          <w:tcPr>
            <w:tcW w:w="396" w:type="dxa"/>
            <w:tcBorders>
              <w:top w:val="nil"/>
              <w:left w:val="nil"/>
              <w:bottom w:val="nil"/>
              <w:right w:val="nil"/>
            </w:tcBorders>
            <w:shd w:val="clear" w:color="auto" w:fill="auto"/>
            <w:noWrap/>
            <w:vAlign w:val="center"/>
          </w:tcPr>
          <w:p w14:paraId="431E8E25" w14:textId="356B7733"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20</w:t>
            </w:r>
          </w:p>
        </w:tc>
        <w:tc>
          <w:tcPr>
            <w:tcW w:w="714" w:type="dxa"/>
            <w:tcBorders>
              <w:top w:val="nil"/>
              <w:left w:val="nil"/>
              <w:bottom w:val="nil"/>
              <w:right w:val="nil"/>
            </w:tcBorders>
            <w:shd w:val="clear" w:color="auto" w:fill="auto"/>
            <w:noWrap/>
            <w:vAlign w:val="center"/>
          </w:tcPr>
          <w:p w14:paraId="06400673" w14:textId="76B0BEF5"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auto"/>
            <w:noWrap/>
            <w:vAlign w:val="center"/>
          </w:tcPr>
          <w:p w14:paraId="6144178F" w14:textId="74410781"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5" w:history="1">
              <w:r w:rsidRPr="0035568A">
                <w:rPr>
                  <w:rStyle w:val="Hyperlink"/>
                  <w:rFonts w:ascii="Arial" w:eastAsia="Times New Roman" w:hAnsi="Arial" w:cs="Arial"/>
                  <w:sz w:val="16"/>
                  <w:szCs w:val="16"/>
                  <w:lang w:eastAsia="en-GB"/>
                </w:rPr>
                <w:t>Waldorf Production UK Ltd</w:t>
              </w:r>
            </w:hyperlink>
          </w:p>
        </w:tc>
        <w:tc>
          <w:tcPr>
            <w:tcW w:w="1800" w:type="dxa"/>
            <w:tcBorders>
              <w:top w:val="nil"/>
              <w:left w:val="nil"/>
              <w:bottom w:val="nil"/>
              <w:right w:val="nil"/>
            </w:tcBorders>
            <w:shd w:val="clear" w:color="auto" w:fill="auto"/>
            <w:vAlign w:val="center"/>
          </w:tcPr>
          <w:p w14:paraId="0C48A21E" w14:textId="610409FB"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11957078</w:t>
            </w:r>
          </w:p>
        </w:tc>
        <w:tc>
          <w:tcPr>
            <w:tcW w:w="3060" w:type="dxa"/>
            <w:tcBorders>
              <w:top w:val="nil"/>
              <w:left w:val="nil"/>
              <w:bottom w:val="nil"/>
              <w:right w:val="nil"/>
            </w:tcBorders>
            <w:shd w:val="clear" w:color="auto" w:fill="auto"/>
            <w:vAlign w:val="center"/>
          </w:tcPr>
          <w:p w14:paraId="59801238" w14:textId="737D8149"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Waldorf Energy Partners Ltd</w:t>
            </w:r>
          </w:p>
        </w:tc>
      </w:tr>
      <w:tr w:rsidR="001F2991" w:rsidRPr="0035568A" w14:paraId="6BB10808" w14:textId="77777777" w:rsidTr="00A05278">
        <w:trPr>
          <w:trHeight w:val="283"/>
        </w:trPr>
        <w:tc>
          <w:tcPr>
            <w:tcW w:w="396" w:type="dxa"/>
            <w:tcBorders>
              <w:top w:val="nil"/>
              <w:left w:val="nil"/>
              <w:bottom w:val="nil"/>
              <w:right w:val="nil"/>
            </w:tcBorders>
            <w:shd w:val="clear" w:color="auto" w:fill="B4C6E7"/>
            <w:noWrap/>
            <w:vAlign w:val="center"/>
          </w:tcPr>
          <w:p w14:paraId="5D1B0DBF" w14:textId="54A1385A"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21</w:t>
            </w:r>
          </w:p>
        </w:tc>
        <w:tc>
          <w:tcPr>
            <w:tcW w:w="714" w:type="dxa"/>
            <w:tcBorders>
              <w:top w:val="nil"/>
              <w:left w:val="nil"/>
              <w:bottom w:val="nil"/>
              <w:right w:val="nil"/>
            </w:tcBorders>
            <w:shd w:val="clear" w:color="auto" w:fill="B4C6E7"/>
            <w:noWrap/>
            <w:vAlign w:val="center"/>
          </w:tcPr>
          <w:p w14:paraId="71EB45B5" w14:textId="1F5669DF"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O&amp;G</w:t>
            </w:r>
          </w:p>
        </w:tc>
        <w:tc>
          <w:tcPr>
            <w:tcW w:w="3030" w:type="dxa"/>
            <w:tcBorders>
              <w:top w:val="nil"/>
              <w:left w:val="nil"/>
              <w:bottom w:val="nil"/>
              <w:right w:val="nil"/>
            </w:tcBorders>
            <w:shd w:val="clear" w:color="auto" w:fill="B4C6E7"/>
            <w:noWrap/>
            <w:vAlign w:val="center"/>
          </w:tcPr>
          <w:p w14:paraId="69DE1694" w14:textId="0D5DFAF3" w:rsidR="001F2991" w:rsidRPr="0035568A" w:rsidRDefault="001F2991" w:rsidP="007439A2">
            <w:pPr>
              <w:spacing w:before="40" w:after="40" w:line="240" w:lineRule="auto"/>
              <w:ind w:right="-112"/>
              <w:rPr>
                <w:rFonts w:ascii="Arial" w:eastAsia="Times New Roman" w:hAnsi="Arial" w:cs="Arial"/>
                <w:color w:val="000000"/>
                <w:sz w:val="16"/>
                <w:szCs w:val="16"/>
                <w:lang w:eastAsia="en-GB"/>
              </w:rPr>
            </w:pPr>
            <w:hyperlink r:id="rId76" w:history="1">
              <w:r w:rsidRPr="0035568A">
                <w:rPr>
                  <w:rStyle w:val="Hyperlink"/>
                  <w:rFonts w:ascii="Arial" w:eastAsia="Times New Roman" w:hAnsi="Arial" w:cs="Arial"/>
                  <w:sz w:val="16"/>
                  <w:szCs w:val="16"/>
                  <w:lang w:eastAsia="en-GB"/>
                </w:rPr>
                <w:t xml:space="preserve">Wintershall </w:t>
              </w:r>
              <w:proofErr w:type="spellStart"/>
              <w:r w:rsidRPr="0035568A">
                <w:rPr>
                  <w:rStyle w:val="Hyperlink"/>
                  <w:rFonts w:ascii="Arial" w:eastAsia="Times New Roman" w:hAnsi="Arial" w:cs="Arial"/>
                  <w:sz w:val="16"/>
                  <w:szCs w:val="16"/>
                  <w:lang w:eastAsia="en-GB"/>
                </w:rPr>
                <w:t>Noordzee</w:t>
              </w:r>
              <w:proofErr w:type="spellEnd"/>
              <w:r w:rsidRPr="0035568A">
                <w:rPr>
                  <w:rStyle w:val="Hyperlink"/>
                  <w:rFonts w:ascii="Arial" w:eastAsia="Times New Roman" w:hAnsi="Arial" w:cs="Arial"/>
                  <w:sz w:val="16"/>
                  <w:szCs w:val="16"/>
                  <w:lang w:eastAsia="en-GB"/>
                </w:rPr>
                <w:t xml:space="preserve"> B.V.</w:t>
              </w:r>
            </w:hyperlink>
          </w:p>
        </w:tc>
        <w:tc>
          <w:tcPr>
            <w:tcW w:w="1800" w:type="dxa"/>
            <w:tcBorders>
              <w:top w:val="nil"/>
              <w:left w:val="nil"/>
              <w:bottom w:val="nil"/>
              <w:right w:val="nil"/>
            </w:tcBorders>
            <w:shd w:val="clear" w:color="auto" w:fill="B4C6E7"/>
            <w:vAlign w:val="center"/>
          </w:tcPr>
          <w:p w14:paraId="08152647" w14:textId="734FADFE" w:rsidR="001F2991" w:rsidRPr="0035568A" w:rsidRDefault="001F2991" w:rsidP="007439A2">
            <w:pPr>
              <w:spacing w:before="40" w:after="40" w:line="240" w:lineRule="auto"/>
              <w:jc w:val="center"/>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BR009394</w:t>
            </w:r>
          </w:p>
        </w:tc>
        <w:tc>
          <w:tcPr>
            <w:tcW w:w="3060" w:type="dxa"/>
            <w:tcBorders>
              <w:top w:val="nil"/>
              <w:left w:val="nil"/>
              <w:bottom w:val="nil"/>
              <w:right w:val="nil"/>
            </w:tcBorders>
            <w:shd w:val="clear" w:color="auto" w:fill="B4C6E7"/>
            <w:vAlign w:val="center"/>
          </w:tcPr>
          <w:p w14:paraId="2E6A2499" w14:textId="4A0803DB" w:rsidR="001F2991" w:rsidRPr="0035568A" w:rsidRDefault="001F2991" w:rsidP="007439A2">
            <w:pPr>
              <w:spacing w:before="40" w:after="40" w:line="240" w:lineRule="auto"/>
              <w:rPr>
                <w:rFonts w:ascii="Arial" w:eastAsia="Times New Roman" w:hAnsi="Arial" w:cs="Arial"/>
                <w:color w:val="000000"/>
                <w:sz w:val="16"/>
                <w:szCs w:val="16"/>
                <w:lang w:eastAsia="en-GB"/>
              </w:rPr>
            </w:pPr>
            <w:r w:rsidRPr="0035568A">
              <w:rPr>
                <w:rFonts w:ascii="Arial" w:eastAsia="Times New Roman" w:hAnsi="Arial" w:cs="Arial"/>
                <w:color w:val="000000"/>
                <w:sz w:val="16"/>
                <w:szCs w:val="16"/>
                <w:lang w:eastAsia="en-GB"/>
              </w:rPr>
              <w:t xml:space="preserve">Wintershall </w:t>
            </w:r>
            <w:proofErr w:type="spellStart"/>
            <w:r w:rsidRPr="0035568A">
              <w:rPr>
                <w:rFonts w:ascii="Arial" w:eastAsia="Times New Roman" w:hAnsi="Arial" w:cs="Arial"/>
                <w:color w:val="000000"/>
                <w:sz w:val="16"/>
                <w:szCs w:val="16"/>
                <w:lang w:eastAsia="en-GB"/>
              </w:rPr>
              <w:t>Noordzee</w:t>
            </w:r>
            <w:proofErr w:type="spellEnd"/>
            <w:r w:rsidRPr="0035568A">
              <w:rPr>
                <w:rFonts w:ascii="Arial" w:eastAsia="Times New Roman" w:hAnsi="Arial" w:cs="Arial"/>
                <w:color w:val="000000"/>
                <w:sz w:val="16"/>
                <w:szCs w:val="16"/>
                <w:lang w:eastAsia="en-GB"/>
              </w:rPr>
              <w:t xml:space="preserve"> B.V.</w:t>
            </w:r>
          </w:p>
        </w:tc>
      </w:tr>
    </w:tbl>
    <w:p w14:paraId="4E813BFC" w14:textId="799458CD" w:rsidR="00022E0E" w:rsidRPr="0035568A" w:rsidRDefault="00022E0E" w:rsidP="001E36F1">
      <w:pPr>
        <w:spacing w:before="240" w:after="180" w:line="240" w:lineRule="auto"/>
        <w:jc w:val="both"/>
        <w:rPr>
          <w:rFonts w:ascii="Arial" w:eastAsia="Calibri" w:hAnsi="Arial" w:cs="Arial"/>
          <w:sz w:val="23"/>
          <w:szCs w:val="23"/>
        </w:rPr>
      </w:pPr>
      <w:r w:rsidRPr="0035568A">
        <w:rPr>
          <w:rFonts w:ascii="Arial" w:eastAsia="Calibri" w:hAnsi="Arial" w:cs="Arial"/>
          <w:sz w:val="23"/>
          <w:szCs w:val="23"/>
        </w:rPr>
        <w:t xml:space="preserve">Information on the beneficial owners of these </w:t>
      </w:r>
      <w:r w:rsidR="00822F09" w:rsidRPr="0035568A">
        <w:rPr>
          <w:rFonts w:ascii="Arial" w:eastAsia="Calibri" w:hAnsi="Arial" w:cs="Arial"/>
          <w:sz w:val="23"/>
          <w:szCs w:val="23"/>
        </w:rPr>
        <w:t xml:space="preserve">21 </w:t>
      </w:r>
      <w:r w:rsidRPr="0035568A">
        <w:rPr>
          <w:rFonts w:ascii="Arial" w:eastAsia="Calibri" w:hAnsi="Arial" w:cs="Arial"/>
          <w:sz w:val="23"/>
          <w:szCs w:val="23"/>
        </w:rPr>
        <w:t xml:space="preserve">privately held companies </w:t>
      </w:r>
      <w:r w:rsidR="00D75EE5" w:rsidRPr="0035568A">
        <w:rPr>
          <w:rFonts w:ascii="Arial" w:eastAsia="Calibri" w:hAnsi="Arial" w:cs="Arial"/>
          <w:sz w:val="23"/>
          <w:szCs w:val="23"/>
        </w:rPr>
        <w:t xml:space="preserve">can be found </w:t>
      </w:r>
      <w:r w:rsidR="00CF60AE" w:rsidRPr="0035568A">
        <w:rPr>
          <w:rFonts w:ascii="Arial" w:eastAsia="Calibri" w:hAnsi="Arial" w:cs="Arial"/>
          <w:sz w:val="23"/>
          <w:szCs w:val="23"/>
        </w:rPr>
        <w:t xml:space="preserve">on </w:t>
      </w:r>
      <w:r w:rsidRPr="0035568A">
        <w:rPr>
          <w:rFonts w:ascii="Arial" w:eastAsia="Calibri" w:hAnsi="Arial" w:cs="Arial"/>
          <w:sz w:val="23"/>
          <w:szCs w:val="23"/>
        </w:rPr>
        <w:t xml:space="preserve">the </w:t>
      </w:r>
      <w:hyperlink r:id="rId77" w:history="1">
        <w:r w:rsidRPr="0035568A">
          <w:rPr>
            <w:rFonts w:ascii="Arial" w:eastAsia="Calibri" w:hAnsi="Arial" w:cs="Arial"/>
            <w:color w:val="0563C1"/>
            <w:sz w:val="23"/>
            <w:szCs w:val="23"/>
            <w:u w:val="single"/>
          </w:rPr>
          <w:t>Companies House website</w:t>
        </w:r>
      </w:hyperlink>
      <w:r w:rsidRPr="0035568A">
        <w:rPr>
          <w:rFonts w:ascii="Arial" w:eastAsia="Calibri" w:hAnsi="Arial" w:cs="Arial"/>
          <w:sz w:val="23"/>
          <w:szCs w:val="23"/>
          <w:vertAlign w:val="superscript"/>
        </w:rPr>
        <w:footnoteReference w:id="17"/>
      </w:r>
      <w:r w:rsidRPr="0035568A">
        <w:rPr>
          <w:rFonts w:ascii="Arial" w:eastAsia="Calibri" w:hAnsi="Arial" w:cs="Arial"/>
          <w:sz w:val="23"/>
          <w:szCs w:val="23"/>
        </w:rPr>
        <w:t xml:space="preserve"> </w:t>
      </w:r>
      <w:r w:rsidR="00C47B84" w:rsidRPr="0035568A">
        <w:rPr>
          <w:rFonts w:ascii="Arial" w:eastAsia="Calibri" w:hAnsi="Arial" w:cs="Arial"/>
          <w:sz w:val="23"/>
          <w:szCs w:val="23"/>
        </w:rPr>
        <w:t>b</w:t>
      </w:r>
      <w:r w:rsidRPr="0035568A">
        <w:rPr>
          <w:rFonts w:ascii="Arial" w:eastAsia="Calibri" w:hAnsi="Arial" w:cs="Arial"/>
          <w:sz w:val="23"/>
          <w:szCs w:val="23"/>
        </w:rPr>
        <w:t>y search</w:t>
      </w:r>
      <w:r w:rsidR="00C47B84" w:rsidRPr="0035568A">
        <w:rPr>
          <w:rFonts w:ascii="Arial" w:eastAsia="Calibri" w:hAnsi="Arial" w:cs="Arial"/>
          <w:sz w:val="23"/>
          <w:szCs w:val="23"/>
        </w:rPr>
        <w:t>ing</w:t>
      </w:r>
      <w:r w:rsidRPr="0035568A">
        <w:rPr>
          <w:rFonts w:ascii="Arial" w:eastAsia="Calibri" w:hAnsi="Arial" w:cs="Arial"/>
          <w:sz w:val="23"/>
          <w:szCs w:val="23"/>
        </w:rPr>
        <w:t xml:space="preserve"> for the company </w:t>
      </w:r>
      <w:r w:rsidR="008A5CF3" w:rsidRPr="0035568A">
        <w:rPr>
          <w:rFonts w:ascii="Arial" w:eastAsia="Calibri" w:hAnsi="Arial" w:cs="Arial"/>
          <w:sz w:val="23"/>
          <w:szCs w:val="23"/>
        </w:rPr>
        <w:t xml:space="preserve">of </w:t>
      </w:r>
      <w:r w:rsidRPr="0035568A">
        <w:rPr>
          <w:rFonts w:ascii="Arial" w:eastAsia="Calibri" w:hAnsi="Arial" w:cs="Arial"/>
          <w:sz w:val="23"/>
          <w:szCs w:val="23"/>
        </w:rPr>
        <w:t>interest and us</w:t>
      </w:r>
      <w:r w:rsidR="00061AE4" w:rsidRPr="0035568A">
        <w:rPr>
          <w:rFonts w:ascii="Arial" w:eastAsia="Calibri" w:hAnsi="Arial" w:cs="Arial"/>
          <w:sz w:val="23"/>
          <w:szCs w:val="23"/>
        </w:rPr>
        <w:t>ing</w:t>
      </w:r>
      <w:r w:rsidRPr="0035568A">
        <w:rPr>
          <w:rFonts w:ascii="Arial" w:eastAsia="Calibri" w:hAnsi="Arial" w:cs="Arial"/>
          <w:sz w:val="23"/>
          <w:szCs w:val="23"/>
        </w:rPr>
        <w:t xml:space="preserve"> the 'people' tab to access information about PSCs.</w:t>
      </w:r>
      <w:r w:rsidR="00D75EE5" w:rsidRPr="0035568A">
        <w:rPr>
          <w:rFonts w:ascii="Arial" w:eastAsia="Calibri" w:hAnsi="Arial" w:cs="Arial"/>
          <w:sz w:val="23"/>
          <w:szCs w:val="23"/>
        </w:rPr>
        <w:t xml:space="preserve"> For ease of reference, all this information </w:t>
      </w:r>
      <w:r w:rsidR="000456FF" w:rsidRPr="0035568A">
        <w:rPr>
          <w:rFonts w:ascii="Arial" w:eastAsia="Calibri" w:hAnsi="Arial" w:cs="Arial"/>
          <w:sz w:val="23"/>
          <w:szCs w:val="23"/>
        </w:rPr>
        <w:t xml:space="preserve">is </w:t>
      </w:r>
      <w:r w:rsidR="00D75EE5" w:rsidRPr="0035568A">
        <w:rPr>
          <w:rFonts w:ascii="Arial" w:eastAsia="Calibri" w:hAnsi="Arial" w:cs="Arial"/>
          <w:sz w:val="23"/>
          <w:szCs w:val="23"/>
        </w:rPr>
        <w:t xml:space="preserve">available by following the links in the </w:t>
      </w:r>
      <w:r w:rsidR="00E4141D" w:rsidRPr="0035568A">
        <w:rPr>
          <w:rFonts w:ascii="Arial" w:eastAsia="Calibri" w:hAnsi="Arial" w:cs="Arial"/>
          <w:sz w:val="23"/>
          <w:szCs w:val="23"/>
        </w:rPr>
        <w:t xml:space="preserve">third </w:t>
      </w:r>
      <w:r w:rsidR="00D75EE5" w:rsidRPr="0035568A">
        <w:rPr>
          <w:rFonts w:ascii="Arial" w:eastAsia="Calibri" w:hAnsi="Arial" w:cs="Arial"/>
          <w:sz w:val="23"/>
          <w:szCs w:val="23"/>
        </w:rPr>
        <w:t xml:space="preserve">column of the </w:t>
      </w:r>
      <w:r w:rsidR="00EE1BAD" w:rsidRPr="0035568A">
        <w:rPr>
          <w:rFonts w:ascii="Arial" w:eastAsia="Calibri" w:hAnsi="Arial" w:cs="Arial"/>
          <w:sz w:val="23"/>
          <w:szCs w:val="23"/>
        </w:rPr>
        <w:t xml:space="preserve">above </w:t>
      </w:r>
      <w:r w:rsidR="00D75EE5" w:rsidRPr="0035568A">
        <w:rPr>
          <w:rFonts w:ascii="Arial" w:eastAsia="Calibri" w:hAnsi="Arial" w:cs="Arial"/>
          <w:sz w:val="23"/>
          <w:szCs w:val="23"/>
        </w:rPr>
        <w:t>table.</w:t>
      </w:r>
    </w:p>
    <w:p w14:paraId="4EE71BE5" w14:textId="62D7209D" w:rsidR="00022E0E" w:rsidRPr="0035568A" w:rsidRDefault="00022E0E" w:rsidP="001E36F1">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 xml:space="preserve">Private companies are also asked to disclose information on </w:t>
      </w:r>
      <w:r w:rsidR="0066723E" w:rsidRPr="0035568A">
        <w:rPr>
          <w:rFonts w:ascii="Arial" w:eastAsia="Calibri" w:hAnsi="Arial" w:cs="Arial"/>
          <w:sz w:val="23"/>
          <w:szCs w:val="23"/>
        </w:rPr>
        <w:t xml:space="preserve">all </w:t>
      </w:r>
      <w:r w:rsidRPr="0035568A">
        <w:rPr>
          <w:rFonts w:ascii="Arial" w:eastAsia="Calibri" w:hAnsi="Arial" w:cs="Arial"/>
          <w:sz w:val="23"/>
          <w:szCs w:val="23"/>
        </w:rPr>
        <w:t xml:space="preserve">owners who are identified as </w:t>
      </w:r>
      <w:r w:rsidR="00BD6347" w:rsidRPr="0035568A">
        <w:rPr>
          <w:rFonts w:ascii="Arial" w:eastAsia="Calibri" w:hAnsi="Arial" w:cs="Arial"/>
          <w:sz w:val="23"/>
          <w:szCs w:val="23"/>
        </w:rPr>
        <w:t>politically exposed people (PEP)</w:t>
      </w:r>
      <w:r w:rsidRPr="0035568A">
        <w:rPr>
          <w:rFonts w:ascii="Arial" w:eastAsia="Calibri" w:hAnsi="Arial" w:cs="Arial"/>
          <w:sz w:val="23"/>
          <w:szCs w:val="23"/>
        </w:rPr>
        <w:t xml:space="preserve">, i.e. </w:t>
      </w:r>
      <w:r w:rsidR="007B0E35" w:rsidRPr="0035568A">
        <w:rPr>
          <w:rFonts w:ascii="Arial" w:eastAsia="Calibri" w:hAnsi="Arial" w:cs="Arial"/>
          <w:sz w:val="23"/>
          <w:szCs w:val="23"/>
        </w:rPr>
        <w:t xml:space="preserve">those who </w:t>
      </w:r>
      <w:r w:rsidRPr="0035568A">
        <w:rPr>
          <w:rFonts w:ascii="Arial" w:eastAsia="Calibri" w:hAnsi="Arial" w:cs="Arial"/>
          <w:sz w:val="23"/>
          <w:szCs w:val="23"/>
        </w:rPr>
        <w:t>have political influence or who, as family members or close associates, have links to senior political figures or government officials in the UK or abroad and who have a share</w:t>
      </w:r>
      <w:r w:rsidR="00505C08" w:rsidRPr="0035568A">
        <w:rPr>
          <w:rFonts w:ascii="Arial" w:eastAsia="Calibri" w:hAnsi="Arial" w:cs="Arial"/>
          <w:sz w:val="23"/>
          <w:szCs w:val="23"/>
        </w:rPr>
        <w:t>holding</w:t>
      </w:r>
      <w:r w:rsidRPr="0035568A">
        <w:rPr>
          <w:rFonts w:ascii="Arial" w:eastAsia="Calibri" w:hAnsi="Arial" w:cs="Arial"/>
          <w:sz w:val="23"/>
          <w:szCs w:val="23"/>
        </w:rPr>
        <w:t xml:space="preserve"> </w:t>
      </w:r>
      <w:r w:rsidR="00FA4A6A" w:rsidRPr="0035568A">
        <w:rPr>
          <w:rFonts w:ascii="Arial" w:eastAsia="Calibri" w:hAnsi="Arial" w:cs="Arial"/>
          <w:sz w:val="23"/>
          <w:szCs w:val="23"/>
        </w:rPr>
        <w:t>regardless of their ownership level (the 2022 threshold was 5%)</w:t>
      </w:r>
      <w:r w:rsidRPr="0035568A">
        <w:rPr>
          <w:rFonts w:ascii="Arial" w:eastAsia="Calibri" w:hAnsi="Arial" w:cs="Arial"/>
          <w:sz w:val="23"/>
          <w:szCs w:val="23"/>
        </w:rPr>
        <w:t xml:space="preserve"> in the company. In </w:t>
      </w:r>
      <w:r w:rsidR="00176C68" w:rsidRPr="0035568A">
        <w:rPr>
          <w:rFonts w:ascii="Arial" w:eastAsia="Calibri" w:hAnsi="Arial" w:cs="Arial"/>
          <w:sz w:val="23"/>
          <w:szCs w:val="23"/>
        </w:rPr>
        <w:t>2023</w:t>
      </w:r>
      <w:r w:rsidRPr="0035568A">
        <w:rPr>
          <w:rFonts w:ascii="Arial" w:eastAsia="Calibri" w:hAnsi="Arial" w:cs="Arial"/>
          <w:sz w:val="23"/>
          <w:szCs w:val="23"/>
        </w:rPr>
        <w:t xml:space="preserve">, no privately owned companies making material payments under the EITI Standard disclosed </w:t>
      </w:r>
      <w:r w:rsidR="00E4141D" w:rsidRPr="0035568A">
        <w:rPr>
          <w:rFonts w:ascii="Arial" w:eastAsia="Calibri" w:hAnsi="Arial" w:cs="Arial"/>
          <w:sz w:val="23"/>
          <w:szCs w:val="23"/>
        </w:rPr>
        <w:t xml:space="preserve">any </w:t>
      </w:r>
      <w:r w:rsidR="00C50529" w:rsidRPr="0035568A">
        <w:rPr>
          <w:rFonts w:ascii="Arial" w:eastAsia="Calibri" w:hAnsi="Arial" w:cs="Arial"/>
          <w:sz w:val="23"/>
          <w:szCs w:val="23"/>
        </w:rPr>
        <w:t>PEP</w:t>
      </w:r>
      <w:r w:rsidR="00E4141D" w:rsidRPr="0035568A">
        <w:rPr>
          <w:rFonts w:ascii="Arial" w:eastAsia="Calibri" w:hAnsi="Arial" w:cs="Arial"/>
          <w:sz w:val="23"/>
          <w:szCs w:val="23"/>
        </w:rPr>
        <w:t>s</w:t>
      </w:r>
      <w:r w:rsidRPr="0035568A">
        <w:rPr>
          <w:rFonts w:ascii="Arial" w:eastAsia="Calibri" w:hAnsi="Arial" w:cs="Arial"/>
          <w:sz w:val="23"/>
          <w:szCs w:val="23"/>
        </w:rPr>
        <w:t xml:space="preserve">. We cannot comment on whether companies </w:t>
      </w:r>
      <w:r w:rsidR="009F12C7" w:rsidRPr="0035568A">
        <w:rPr>
          <w:rFonts w:ascii="Arial" w:eastAsia="Calibri" w:hAnsi="Arial" w:cs="Arial"/>
          <w:sz w:val="23"/>
          <w:szCs w:val="23"/>
        </w:rPr>
        <w:t xml:space="preserve">which </w:t>
      </w:r>
      <w:r w:rsidRPr="0035568A">
        <w:rPr>
          <w:rFonts w:ascii="Arial" w:eastAsia="Calibri" w:hAnsi="Arial" w:cs="Arial"/>
          <w:sz w:val="23"/>
          <w:szCs w:val="23"/>
        </w:rPr>
        <w:t xml:space="preserve">did not participate in this year’s reporting process </w:t>
      </w:r>
      <w:r w:rsidR="00D74513" w:rsidRPr="0035568A">
        <w:rPr>
          <w:rFonts w:ascii="Arial" w:eastAsia="Calibri" w:hAnsi="Arial" w:cs="Arial"/>
          <w:sz w:val="23"/>
          <w:szCs w:val="23"/>
        </w:rPr>
        <w:t xml:space="preserve">are owned by </w:t>
      </w:r>
      <w:r w:rsidRPr="0035568A">
        <w:rPr>
          <w:rFonts w:ascii="Arial" w:eastAsia="Calibri" w:hAnsi="Arial" w:cs="Arial"/>
          <w:sz w:val="23"/>
          <w:szCs w:val="23"/>
        </w:rPr>
        <w:t xml:space="preserve">any </w:t>
      </w:r>
      <w:r w:rsidR="006F5569" w:rsidRPr="0035568A">
        <w:rPr>
          <w:rFonts w:ascii="Arial" w:eastAsia="Calibri" w:hAnsi="Arial" w:cs="Arial"/>
          <w:sz w:val="23"/>
          <w:szCs w:val="23"/>
        </w:rPr>
        <w:t>PEP</w:t>
      </w:r>
      <w:r w:rsidRPr="0035568A">
        <w:rPr>
          <w:rFonts w:ascii="Arial" w:eastAsia="Calibri" w:hAnsi="Arial" w:cs="Arial"/>
          <w:sz w:val="23"/>
          <w:szCs w:val="23"/>
        </w:rPr>
        <w:t>.</w:t>
      </w:r>
    </w:p>
    <w:p w14:paraId="6102CF9F" w14:textId="2BC549E3" w:rsidR="0032339C" w:rsidRPr="0035568A" w:rsidRDefault="00BF2828" w:rsidP="001E36F1">
      <w:pPr>
        <w:spacing w:before="180" w:after="180" w:line="240" w:lineRule="auto"/>
        <w:jc w:val="both"/>
        <w:rPr>
          <w:rFonts w:ascii="Arial" w:eastAsia="Calibri" w:hAnsi="Arial" w:cs="Arial"/>
          <w:sz w:val="23"/>
          <w:szCs w:val="23"/>
        </w:rPr>
      </w:pPr>
      <w:r w:rsidRPr="0035568A">
        <w:rPr>
          <w:rFonts w:ascii="Arial" w:eastAsia="Calibri" w:hAnsi="Arial" w:cs="Arial"/>
          <w:sz w:val="23"/>
          <w:szCs w:val="23"/>
        </w:rPr>
        <w:t>Several</w:t>
      </w:r>
      <w:r w:rsidR="0032339C" w:rsidRPr="0035568A">
        <w:rPr>
          <w:rFonts w:ascii="Arial" w:eastAsia="Calibri" w:hAnsi="Arial" w:cs="Arial"/>
          <w:sz w:val="23"/>
          <w:szCs w:val="23"/>
        </w:rPr>
        <w:t xml:space="preserve"> extractive companies making material payments to the UK government are ultimately controlled by foreign government entities. It is </w:t>
      </w:r>
      <w:r w:rsidR="00FF16E6" w:rsidRPr="0035568A">
        <w:rPr>
          <w:rFonts w:ascii="Arial" w:eastAsia="Calibri" w:hAnsi="Arial" w:cs="Arial"/>
          <w:sz w:val="23"/>
          <w:szCs w:val="23"/>
        </w:rPr>
        <w:t xml:space="preserve">considered </w:t>
      </w:r>
      <w:r w:rsidR="0032339C" w:rsidRPr="0035568A">
        <w:rPr>
          <w:rFonts w:ascii="Arial" w:eastAsia="Calibri" w:hAnsi="Arial" w:cs="Arial"/>
          <w:sz w:val="23"/>
          <w:szCs w:val="23"/>
        </w:rPr>
        <w:t xml:space="preserve">important that the UK’s </w:t>
      </w:r>
      <w:r w:rsidR="00161CBF" w:rsidRPr="0035568A">
        <w:rPr>
          <w:rFonts w:ascii="Arial" w:eastAsia="Calibri" w:hAnsi="Arial" w:cs="Arial"/>
          <w:sz w:val="23"/>
          <w:szCs w:val="23"/>
        </w:rPr>
        <w:t>BO</w:t>
      </w:r>
      <w:r w:rsidR="0032339C" w:rsidRPr="0035568A">
        <w:rPr>
          <w:rFonts w:ascii="Arial" w:eastAsia="Calibri" w:hAnsi="Arial" w:cs="Arial"/>
          <w:sz w:val="23"/>
          <w:szCs w:val="23"/>
        </w:rPr>
        <w:t xml:space="preserve"> system </w:t>
      </w:r>
      <w:r w:rsidR="008A29C2" w:rsidRPr="0035568A">
        <w:rPr>
          <w:rFonts w:ascii="Arial" w:eastAsia="Calibri" w:hAnsi="Arial" w:cs="Arial"/>
          <w:sz w:val="23"/>
          <w:szCs w:val="23"/>
        </w:rPr>
        <w:t>can</w:t>
      </w:r>
      <w:r w:rsidR="0032339C" w:rsidRPr="0035568A">
        <w:rPr>
          <w:rFonts w:ascii="Arial" w:eastAsia="Calibri" w:hAnsi="Arial" w:cs="Arial"/>
          <w:sz w:val="23"/>
          <w:szCs w:val="23"/>
        </w:rPr>
        <w:t xml:space="preserve"> accurately capture details of foreign government ownership of companies operating in the UK’s extractive sector.</w:t>
      </w:r>
    </w:p>
    <w:p w14:paraId="2DD0AE1B" w14:textId="23E2E32C" w:rsidR="003D2C15" w:rsidRPr="0035568A" w:rsidRDefault="00C70AF1" w:rsidP="001E36F1">
      <w:pPr>
        <w:spacing w:after="160" w:line="240" w:lineRule="auto"/>
        <w:jc w:val="both"/>
        <w:rPr>
          <w:rFonts w:ascii="Arial" w:eastAsia="Calibri" w:hAnsi="Arial" w:cs="Arial"/>
          <w:sz w:val="23"/>
          <w:szCs w:val="23"/>
        </w:rPr>
      </w:pPr>
      <w:r w:rsidRPr="0035568A">
        <w:rPr>
          <w:rFonts w:ascii="Arial" w:eastAsia="Calibri" w:hAnsi="Arial" w:cs="Arial"/>
          <w:sz w:val="23"/>
          <w:szCs w:val="23"/>
        </w:rPr>
        <w:t xml:space="preserve">More information on the UK’s </w:t>
      </w:r>
      <w:r w:rsidR="00BC68F0" w:rsidRPr="0035568A">
        <w:rPr>
          <w:rFonts w:ascii="Arial" w:eastAsia="Calibri" w:hAnsi="Arial" w:cs="Arial"/>
          <w:sz w:val="23"/>
          <w:szCs w:val="23"/>
        </w:rPr>
        <w:t>BO</w:t>
      </w:r>
      <w:r w:rsidRPr="0035568A">
        <w:rPr>
          <w:rFonts w:ascii="Arial" w:eastAsia="Calibri" w:hAnsi="Arial" w:cs="Arial"/>
          <w:sz w:val="23"/>
          <w:szCs w:val="23"/>
        </w:rPr>
        <w:t xml:space="preserve"> regime can be found on the </w:t>
      </w:r>
      <w:hyperlink r:id="rId78" w:history="1">
        <w:r w:rsidRPr="0035568A">
          <w:rPr>
            <w:rStyle w:val="Hyperlink"/>
            <w:rFonts w:ascii="Arial" w:eastAsia="Calibri" w:hAnsi="Arial" w:cs="Arial"/>
            <w:sz w:val="23"/>
            <w:szCs w:val="23"/>
          </w:rPr>
          <w:t>beneficial ownership page</w:t>
        </w:r>
      </w:hyperlink>
      <w:r w:rsidRPr="0035568A">
        <w:rPr>
          <w:rFonts w:ascii="Arial" w:eastAsia="Calibri" w:hAnsi="Arial" w:cs="Arial"/>
          <w:sz w:val="23"/>
          <w:szCs w:val="23"/>
        </w:rPr>
        <w:t xml:space="preserve"> of the UK EITI website.</w:t>
      </w:r>
    </w:p>
    <w:bookmarkEnd w:id="69"/>
    <w:p w14:paraId="3B624363" w14:textId="50885B95" w:rsidR="009F69A5" w:rsidRPr="0035568A" w:rsidRDefault="003D2C15" w:rsidP="001E36F1">
      <w:pPr>
        <w:pStyle w:val="Default"/>
        <w:keepNext/>
        <w:spacing w:after="180"/>
        <w:jc w:val="both"/>
        <w:rPr>
          <w:rFonts w:asciiTheme="minorBidi" w:hAnsiTheme="minorBidi" w:cstheme="minorBidi"/>
          <w:color w:val="auto"/>
          <w:sz w:val="23"/>
          <w:szCs w:val="23"/>
        </w:rPr>
      </w:pPr>
      <w:r w:rsidRPr="0035568A">
        <w:rPr>
          <w:rFonts w:asciiTheme="minorBidi" w:hAnsiTheme="minorBidi" w:cstheme="minorBidi"/>
          <w:color w:val="auto"/>
          <w:sz w:val="23"/>
          <w:szCs w:val="23"/>
        </w:rPr>
        <w:t xml:space="preserve">The MSG agreed that it would be </w:t>
      </w:r>
      <w:r w:rsidR="00172A0B" w:rsidRPr="0035568A">
        <w:rPr>
          <w:rFonts w:asciiTheme="minorBidi" w:hAnsiTheme="minorBidi" w:cstheme="minorBidi"/>
          <w:color w:val="auto"/>
          <w:sz w:val="23"/>
          <w:szCs w:val="23"/>
        </w:rPr>
        <w:t xml:space="preserve">appropriate </w:t>
      </w:r>
      <w:r w:rsidRPr="0035568A">
        <w:rPr>
          <w:rFonts w:asciiTheme="minorBidi" w:hAnsiTheme="minorBidi" w:cstheme="minorBidi"/>
          <w:color w:val="auto"/>
          <w:sz w:val="23"/>
          <w:szCs w:val="23"/>
        </w:rPr>
        <w:t xml:space="preserve">to use a separate template and request </w:t>
      </w:r>
      <w:r w:rsidR="00BC68F0" w:rsidRPr="0035568A">
        <w:rPr>
          <w:rFonts w:asciiTheme="minorBidi" w:hAnsiTheme="minorBidi" w:cstheme="minorBidi"/>
          <w:color w:val="auto"/>
          <w:sz w:val="23"/>
          <w:szCs w:val="23"/>
        </w:rPr>
        <w:t>BO</w:t>
      </w:r>
      <w:r w:rsidRPr="0035568A">
        <w:rPr>
          <w:rFonts w:asciiTheme="minorBidi" w:hAnsiTheme="minorBidi" w:cstheme="minorBidi"/>
          <w:color w:val="auto"/>
          <w:sz w:val="23"/>
          <w:szCs w:val="23"/>
        </w:rPr>
        <w:t xml:space="preserve"> information from the non-material and the NSTA licensee companies. The template was uploaded on the </w:t>
      </w:r>
      <w:hyperlink r:id="rId79" w:history="1">
        <w:r w:rsidRPr="0035568A">
          <w:rPr>
            <w:rStyle w:val="Hyperlink"/>
            <w:rFonts w:asciiTheme="minorBidi" w:hAnsiTheme="minorBidi" w:cstheme="minorBidi"/>
            <w:sz w:val="23"/>
            <w:szCs w:val="23"/>
          </w:rPr>
          <w:t>UK EITI</w:t>
        </w:r>
      </w:hyperlink>
      <w:r w:rsidRPr="0035568A">
        <w:rPr>
          <w:rFonts w:asciiTheme="minorBidi" w:hAnsiTheme="minorBidi" w:cstheme="minorBidi"/>
          <w:color w:val="auto"/>
          <w:sz w:val="23"/>
          <w:szCs w:val="23"/>
        </w:rPr>
        <w:t xml:space="preserve"> website. </w:t>
      </w:r>
    </w:p>
    <w:p w14:paraId="268C2488" w14:textId="66163347" w:rsidR="003D2C15" w:rsidRPr="0035568A" w:rsidRDefault="003D2C15" w:rsidP="001E36F1">
      <w:pPr>
        <w:pStyle w:val="Default"/>
        <w:keepNext/>
        <w:spacing w:after="180"/>
        <w:jc w:val="both"/>
        <w:rPr>
          <w:rFonts w:asciiTheme="minorBidi" w:hAnsiTheme="minorBidi" w:cstheme="minorBidi"/>
          <w:color w:val="auto"/>
          <w:sz w:val="23"/>
          <w:szCs w:val="23"/>
        </w:rPr>
      </w:pPr>
      <w:r w:rsidRPr="0035568A">
        <w:rPr>
          <w:rFonts w:asciiTheme="minorBidi" w:hAnsiTheme="minorBidi" w:cstheme="minorBidi"/>
          <w:color w:val="auto"/>
          <w:sz w:val="23"/>
          <w:szCs w:val="23"/>
        </w:rPr>
        <w:t>All</w:t>
      </w:r>
      <w:r w:rsidR="00BC68F0" w:rsidRPr="0035568A">
        <w:rPr>
          <w:rFonts w:asciiTheme="minorBidi" w:hAnsiTheme="minorBidi" w:cstheme="minorBidi"/>
          <w:color w:val="auto"/>
          <w:sz w:val="23"/>
          <w:szCs w:val="23"/>
        </w:rPr>
        <w:t xml:space="preserve"> </w:t>
      </w:r>
      <w:r w:rsidRPr="0035568A">
        <w:rPr>
          <w:rFonts w:asciiTheme="minorBidi" w:hAnsiTheme="minorBidi" w:cstheme="minorBidi"/>
          <w:color w:val="auto"/>
          <w:sz w:val="23"/>
          <w:szCs w:val="23"/>
        </w:rPr>
        <w:t xml:space="preserve">licensees </w:t>
      </w:r>
      <w:r w:rsidR="009A4AB1" w:rsidRPr="0035568A">
        <w:rPr>
          <w:rFonts w:asciiTheme="minorBidi" w:hAnsiTheme="minorBidi" w:cstheme="minorBidi"/>
          <w:color w:val="auto"/>
          <w:sz w:val="23"/>
          <w:szCs w:val="23"/>
        </w:rPr>
        <w:t>were</w:t>
      </w:r>
      <w:r w:rsidRPr="0035568A">
        <w:rPr>
          <w:rFonts w:asciiTheme="minorBidi" w:hAnsiTheme="minorBidi" w:cstheme="minorBidi"/>
          <w:color w:val="auto"/>
          <w:sz w:val="23"/>
          <w:szCs w:val="23"/>
        </w:rPr>
        <w:t xml:space="preserve"> requested to download the </w:t>
      </w:r>
      <w:r w:rsidR="007E5DC9" w:rsidRPr="0035568A">
        <w:rPr>
          <w:rFonts w:asciiTheme="minorBidi" w:hAnsiTheme="minorBidi" w:cstheme="minorBidi"/>
          <w:color w:val="auto"/>
          <w:sz w:val="23"/>
          <w:szCs w:val="23"/>
        </w:rPr>
        <w:t>BO</w:t>
      </w:r>
      <w:r w:rsidR="00652C7D" w:rsidRPr="0035568A">
        <w:rPr>
          <w:rFonts w:asciiTheme="minorBidi" w:hAnsiTheme="minorBidi" w:cstheme="minorBidi"/>
          <w:color w:val="auto"/>
          <w:sz w:val="23"/>
          <w:szCs w:val="23"/>
        </w:rPr>
        <w:t xml:space="preserve"> </w:t>
      </w:r>
      <w:r w:rsidRPr="0035568A">
        <w:rPr>
          <w:rFonts w:asciiTheme="minorBidi" w:hAnsiTheme="minorBidi" w:cstheme="minorBidi"/>
          <w:color w:val="auto"/>
          <w:sz w:val="23"/>
          <w:szCs w:val="23"/>
        </w:rPr>
        <w:t>declaration form</w:t>
      </w:r>
      <w:r w:rsidR="007E5DC9" w:rsidRPr="0035568A">
        <w:rPr>
          <w:rFonts w:asciiTheme="minorBidi" w:hAnsiTheme="minorBidi" w:cstheme="minorBidi"/>
          <w:color w:val="auto"/>
          <w:sz w:val="23"/>
          <w:szCs w:val="23"/>
        </w:rPr>
        <w:t xml:space="preserve"> </w:t>
      </w:r>
      <w:r w:rsidRPr="0035568A">
        <w:rPr>
          <w:rFonts w:asciiTheme="minorBidi" w:hAnsiTheme="minorBidi" w:cstheme="minorBidi"/>
          <w:color w:val="auto"/>
          <w:sz w:val="23"/>
          <w:szCs w:val="23"/>
        </w:rPr>
        <w:t>and return the</w:t>
      </w:r>
      <w:r w:rsidR="007E5DC9" w:rsidRPr="0035568A">
        <w:rPr>
          <w:rFonts w:asciiTheme="minorBidi" w:hAnsiTheme="minorBidi" w:cstheme="minorBidi"/>
          <w:color w:val="auto"/>
          <w:sz w:val="23"/>
          <w:szCs w:val="23"/>
        </w:rPr>
        <w:t xml:space="preserve"> </w:t>
      </w:r>
      <w:r w:rsidRPr="0035568A">
        <w:rPr>
          <w:rFonts w:asciiTheme="minorBidi" w:hAnsiTheme="minorBidi" w:cstheme="minorBidi"/>
          <w:color w:val="auto"/>
          <w:sz w:val="23"/>
          <w:szCs w:val="23"/>
        </w:rPr>
        <w:t xml:space="preserve">completed version to the IA by </w:t>
      </w:r>
      <w:r w:rsidR="00292959" w:rsidRPr="0035568A">
        <w:rPr>
          <w:rFonts w:asciiTheme="minorBidi" w:hAnsiTheme="minorBidi" w:cstheme="minorBidi"/>
          <w:color w:val="auto"/>
          <w:sz w:val="23"/>
          <w:szCs w:val="23"/>
        </w:rPr>
        <w:t xml:space="preserve">26 </w:t>
      </w:r>
      <w:r w:rsidRPr="0035568A">
        <w:rPr>
          <w:rFonts w:asciiTheme="minorBidi" w:hAnsiTheme="minorBidi" w:cstheme="minorBidi"/>
          <w:color w:val="auto"/>
          <w:sz w:val="23"/>
          <w:szCs w:val="23"/>
        </w:rPr>
        <w:t xml:space="preserve">April </w:t>
      </w:r>
      <w:r w:rsidR="00292959" w:rsidRPr="0035568A">
        <w:rPr>
          <w:rFonts w:asciiTheme="minorBidi" w:hAnsiTheme="minorBidi" w:cstheme="minorBidi"/>
          <w:color w:val="auto"/>
          <w:sz w:val="23"/>
          <w:szCs w:val="23"/>
        </w:rPr>
        <w:t xml:space="preserve">2024 </w:t>
      </w:r>
      <w:r w:rsidRPr="0035568A">
        <w:rPr>
          <w:rFonts w:asciiTheme="minorBidi" w:hAnsiTheme="minorBidi" w:cstheme="minorBidi"/>
          <w:color w:val="auto"/>
          <w:sz w:val="23"/>
          <w:szCs w:val="23"/>
        </w:rPr>
        <w:t>at </w:t>
      </w:r>
      <w:hyperlink r:id="rId80" w:history="1">
        <w:r w:rsidRPr="0035568A">
          <w:rPr>
            <w:rStyle w:val="Hyperlink"/>
            <w:rFonts w:asciiTheme="minorBidi" w:hAnsiTheme="minorBidi" w:cstheme="minorBidi"/>
            <w:sz w:val="23"/>
            <w:szCs w:val="23"/>
          </w:rPr>
          <w:t>ukeiti@bdo-ifi.com</w:t>
        </w:r>
      </w:hyperlink>
      <w:r w:rsidRPr="0035568A">
        <w:rPr>
          <w:rStyle w:val="Hyperlink"/>
          <w:rFonts w:asciiTheme="minorBidi" w:hAnsiTheme="minorBidi" w:cstheme="minorBidi"/>
          <w:sz w:val="23"/>
          <w:szCs w:val="23"/>
        </w:rPr>
        <w:t>.</w:t>
      </w:r>
    </w:p>
    <w:p w14:paraId="4461F24F" w14:textId="12D4AB2D" w:rsidR="001713A5" w:rsidRPr="009E013C" w:rsidRDefault="009F69A5" w:rsidP="009E013C">
      <w:pPr>
        <w:jc w:val="both"/>
        <w:rPr>
          <w:rFonts w:asciiTheme="minorBidi" w:eastAsia="Calibri" w:hAnsiTheme="minorBidi"/>
          <w:sz w:val="24"/>
          <w:szCs w:val="16"/>
        </w:rPr>
      </w:pPr>
      <w:r w:rsidRPr="0035568A">
        <w:rPr>
          <w:rFonts w:asciiTheme="minorBidi" w:eastAsia="Calibri" w:hAnsiTheme="minorBidi"/>
          <w:sz w:val="23"/>
          <w:szCs w:val="23"/>
        </w:rPr>
        <w:t xml:space="preserve">However, no </w:t>
      </w:r>
      <w:r w:rsidR="00884DF7" w:rsidRPr="0035568A">
        <w:rPr>
          <w:rFonts w:asciiTheme="minorBidi" w:eastAsia="Calibri" w:hAnsiTheme="minorBidi"/>
          <w:sz w:val="23"/>
          <w:szCs w:val="23"/>
        </w:rPr>
        <w:t xml:space="preserve">additional </w:t>
      </w:r>
      <w:r w:rsidRPr="0035568A">
        <w:rPr>
          <w:rFonts w:asciiTheme="minorBidi" w:eastAsia="Calibri" w:hAnsiTheme="minorBidi"/>
          <w:sz w:val="23"/>
          <w:szCs w:val="23"/>
        </w:rPr>
        <w:t>response</w:t>
      </w:r>
      <w:r w:rsidR="00884DF7" w:rsidRPr="0035568A">
        <w:rPr>
          <w:rFonts w:asciiTheme="minorBidi" w:eastAsia="Calibri" w:hAnsiTheme="minorBidi"/>
          <w:sz w:val="23"/>
          <w:szCs w:val="23"/>
        </w:rPr>
        <w:t xml:space="preserve">s from companies </w:t>
      </w:r>
      <w:r w:rsidR="00957F80" w:rsidRPr="0035568A">
        <w:rPr>
          <w:rFonts w:asciiTheme="minorBidi" w:eastAsia="Calibri" w:hAnsiTheme="minorBidi"/>
          <w:sz w:val="23"/>
          <w:szCs w:val="23"/>
        </w:rPr>
        <w:t>not involved in the reconciliation exercise had been</w:t>
      </w:r>
      <w:r w:rsidRPr="0035568A">
        <w:rPr>
          <w:rFonts w:asciiTheme="minorBidi" w:eastAsia="Calibri" w:hAnsiTheme="minorBidi"/>
          <w:sz w:val="23"/>
          <w:szCs w:val="23"/>
        </w:rPr>
        <w:t xml:space="preserve"> received as of the date of this report.</w:t>
      </w:r>
    </w:p>
    <w:sectPr w:rsidR="001713A5" w:rsidRPr="009E013C" w:rsidSect="00A255F5">
      <w:footnotePr>
        <w:numRestart w:val="eachPage"/>
      </w:foot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103A7" w14:textId="77777777" w:rsidR="000C48CE" w:rsidRDefault="000C48CE" w:rsidP="00E2041C">
      <w:pPr>
        <w:spacing w:after="0" w:line="240" w:lineRule="auto"/>
      </w:pPr>
      <w:r>
        <w:separator/>
      </w:r>
    </w:p>
  </w:endnote>
  <w:endnote w:type="continuationSeparator" w:id="0">
    <w:p w14:paraId="62DC9E32" w14:textId="77777777" w:rsidR="000C48CE" w:rsidRDefault="000C48CE" w:rsidP="00E2041C">
      <w:pPr>
        <w:spacing w:after="0" w:line="240" w:lineRule="auto"/>
      </w:pPr>
      <w:r>
        <w:continuationSeparator/>
      </w:r>
    </w:p>
  </w:endnote>
  <w:endnote w:type="continuationNotice" w:id="1">
    <w:p w14:paraId="5DBA2058" w14:textId="77777777" w:rsidR="000C48CE" w:rsidRDefault="000C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nst777 Lt BT">
    <w:altName w:val="Calibri"/>
    <w:charset w:val="00"/>
    <w:family w:val="swiss"/>
    <w:pitch w:val="variable"/>
    <w:sig w:usb0="800000AF" w:usb1="1000204A" w:usb2="00000000" w:usb3="00000000" w:csb0="00000011" w:csb1="00000000"/>
  </w:font>
  <w:font w:name="Humnst777 BT">
    <w:charset w:val="00"/>
    <w:family w:val="swiss"/>
    <w:pitch w:val="variable"/>
    <w:sig w:usb0="800000AF" w:usb1="1000204A" w:usb2="00000000" w:usb3="00000000" w:csb0="0000001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Calibri Bold">
    <w:panose1 w:val="020F0702030404030204"/>
    <w:charset w:val="00"/>
    <w:family w:val="auto"/>
    <w:pitch w:val="variable"/>
    <w:sig w:usb0="00000003" w:usb1="00000000" w:usb2="00000000" w:usb3="00000000" w:csb0="00000001" w:csb1="00000000"/>
  </w:font>
  <w:font w:name="ヒラギノ角ゴ Pro W3">
    <w:altName w:val="MS Mincho"/>
    <w:charset w:val="80"/>
    <w:family w:val="swiss"/>
    <w:pitch w:val="variable"/>
    <w:sig w:usb0="E00002FF" w:usb1="7AC7FFFF" w:usb2="00000012" w:usb3="00000000" w:csb0="0002000D" w:csb1="00000000"/>
  </w:font>
  <w:font w:name="Myriad Pro SemiCond">
    <w:altName w:val="Segoe UI"/>
    <w:panose1 w:val="00000000000000000000"/>
    <w:charset w:val="00"/>
    <w:family w:val="swiss"/>
    <w:notTrueType/>
    <w:pitch w:val="variable"/>
    <w:sig w:usb0="20000287" w:usb1="00000001" w:usb2="00000000" w:usb3="00000000" w:csb0="0000019F" w:csb1="00000000"/>
  </w:font>
  <w:font w:name="ITC Charter Com">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D4B2" w14:textId="16B059FE" w:rsidR="008106EB" w:rsidRPr="0079673F" w:rsidRDefault="008106EB" w:rsidP="0079673F">
    <w:pPr>
      <w:pStyle w:val="Footer"/>
      <w:jc w:val="center"/>
      <w:rPr>
        <w:color w:val="4F81BD" w:themeColor="accent1"/>
        <w:sz w:val="20"/>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032FA" w14:textId="13F4A303" w:rsidR="008106EB" w:rsidRPr="0079673F" w:rsidRDefault="008106EB" w:rsidP="0079673F">
    <w:pPr>
      <w:pStyle w:val="Footer"/>
      <w:jc w:val="center"/>
      <w:rPr>
        <w:color w:val="4F81BD" w:themeColor="accent1"/>
        <w:sz w:val="20"/>
        <w:szCs w:val="12"/>
      </w:rPr>
    </w:pPr>
    <w:r w:rsidRPr="0043276B">
      <w:rPr>
        <w:color w:val="4F81BD" w:themeColor="accent1"/>
        <w:sz w:val="20"/>
        <w:szCs w:val="12"/>
      </w:rPr>
      <w:t xml:space="preserve">Page </w:t>
    </w:r>
    <w:r w:rsidRPr="0043276B">
      <w:rPr>
        <w:color w:val="4F81BD" w:themeColor="accent1"/>
        <w:sz w:val="20"/>
        <w:szCs w:val="12"/>
      </w:rPr>
      <w:fldChar w:fldCharType="begin"/>
    </w:r>
    <w:r w:rsidRPr="0043276B">
      <w:rPr>
        <w:color w:val="4F81BD" w:themeColor="accent1"/>
        <w:sz w:val="20"/>
        <w:szCs w:val="12"/>
      </w:rPr>
      <w:instrText xml:space="preserve"> PAGE  \* Arabic  \* MERGEFORMAT </w:instrText>
    </w:r>
    <w:r w:rsidRPr="0043276B">
      <w:rPr>
        <w:color w:val="4F81BD" w:themeColor="accent1"/>
        <w:sz w:val="20"/>
        <w:szCs w:val="12"/>
      </w:rPr>
      <w:fldChar w:fldCharType="separate"/>
    </w:r>
    <w:r w:rsidR="008B23ED">
      <w:rPr>
        <w:noProof/>
        <w:color w:val="4F81BD" w:themeColor="accent1"/>
        <w:sz w:val="20"/>
        <w:szCs w:val="12"/>
      </w:rPr>
      <w:t>9</w:t>
    </w:r>
    <w:r w:rsidRPr="0043276B">
      <w:rPr>
        <w:color w:val="4F81BD" w:themeColor="accent1"/>
        <w:sz w:val="20"/>
        <w:szCs w:val="12"/>
      </w:rPr>
      <w:fldChar w:fldCharType="end"/>
    </w:r>
    <w:r w:rsidRPr="0043276B">
      <w:rPr>
        <w:color w:val="4F81BD" w:themeColor="accent1"/>
        <w:sz w:val="20"/>
        <w:szCs w:val="12"/>
      </w:rPr>
      <w:t xml:space="preserve"> of </w:t>
    </w:r>
    <w:r w:rsidRPr="0043276B">
      <w:rPr>
        <w:color w:val="4F81BD" w:themeColor="accent1"/>
        <w:sz w:val="20"/>
        <w:szCs w:val="12"/>
      </w:rPr>
      <w:fldChar w:fldCharType="begin"/>
    </w:r>
    <w:r w:rsidRPr="0043276B">
      <w:rPr>
        <w:color w:val="4F81BD" w:themeColor="accent1"/>
        <w:sz w:val="20"/>
        <w:szCs w:val="12"/>
      </w:rPr>
      <w:instrText xml:space="preserve"> NUMPAGES  \* Arabic  \* MERGEFORMAT </w:instrText>
    </w:r>
    <w:r w:rsidRPr="0043276B">
      <w:rPr>
        <w:color w:val="4F81BD" w:themeColor="accent1"/>
        <w:sz w:val="20"/>
        <w:szCs w:val="12"/>
      </w:rPr>
      <w:fldChar w:fldCharType="separate"/>
    </w:r>
    <w:r w:rsidR="008B23ED">
      <w:rPr>
        <w:noProof/>
        <w:color w:val="4F81BD" w:themeColor="accent1"/>
        <w:sz w:val="20"/>
        <w:szCs w:val="12"/>
      </w:rPr>
      <w:t>15</w:t>
    </w:r>
    <w:r w:rsidRPr="0043276B">
      <w:rPr>
        <w:color w:val="4F81BD" w:themeColor="accent1"/>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DCF9F" w14:textId="77777777" w:rsidR="000C48CE" w:rsidRDefault="000C48CE" w:rsidP="00E2041C">
      <w:pPr>
        <w:spacing w:after="0" w:line="240" w:lineRule="auto"/>
      </w:pPr>
      <w:r>
        <w:separator/>
      </w:r>
    </w:p>
  </w:footnote>
  <w:footnote w:type="continuationSeparator" w:id="0">
    <w:p w14:paraId="338F85EF" w14:textId="77777777" w:rsidR="000C48CE" w:rsidRDefault="000C48CE" w:rsidP="00E2041C">
      <w:pPr>
        <w:spacing w:after="0" w:line="240" w:lineRule="auto"/>
      </w:pPr>
      <w:r>
        <w:continuationSeparator/>
      </w:r>
    </w:p>
  </w:footnote>
  <w:footnote w:type="continuationNotice" w:id="1">
    <w:p w14:paraId="5F0AB049" w14:textId="77777777" w:rsidR="000C48CE" w:rsidRDefault="000C48CE">
      <w:pPr>
        <w:spacing w:after="0" w:line="240" w:lineRule="auto"/>
      </w:pPr>
    </w:p>
  </w:footnote>
  <w:footnote w:id="2">
    <w:p w14:paraId="44DE48FA" w14:textId="4375A120" w:rsidR="007B0E20" w:rsidRPr="009406BF" w:rsidRDefault="007B0E20" w:rsidP="004306B9">
      <w:pPr>
        <w:keepLines/>
        <w:spacing w:after="0" w:line="240" w:lineRule="auto"/>
        <w:jc w:val="both"/>
        <w:rPr>
          <w:rFonts w:ascii="Arial" w:hAnsi="Arial" w:cs="Arial"/>
          <w:sz w:val="16"/>
          <w:szCs w:val="16"/>
        </w:rPr>
      </w:pPr>
      <w:r w:rsidRPr="001D71A7">
        <w:rPr>
          <w:rStyle w:val="FootnoteReference"/>
          <w:rFonts w:ascii="Arial" w:hAnsi="Arial" w:cs="Arial"/>
          <w:sz w:val="16"/>
          <w:szCs w:val="16"/>
        </w:rPr>
        <w:footnoteRef/>
      </w:r>
      <w:r w:rsidRPr="001D71A7">
        <w:rPr>
          <w:rFonts w:ascii="Arial" w:hAnsi="Arial" w:cs="Arial"/>
          <w:sz w:val="16"/>
          <w:szCs w:val="16"/>
        </w:rPr>
        <w:t xml:space="preserve"> Payments for petroleum licence </w:t>
      </w:r>
      <w:r w:rsidRPr="001E36F1">
        <w:rPr>
          <w:rFonts w:ascii="Arial" w:hAnsi="Arial" w:cs="Arial"/>
          <w:sz w:val="16"/>
          <w:szCs w:val="16"/>
        </w:rPr>
        <w:t>fees</w:t>
      </w:r>
      <w:r w:rsidR="00F26F91" w:rsidRPr="001E36F1">
        <w:rPr>
          <w:rFonts w:ascii="Arial" w:hAnsi="Arial" w:cs="Arial"/>
          <w:sz w:val="16"/>
          <w:szCs w:val="16"/>
        </w:rPr>
        <w:t>, the OGA Levy</w:t>
      </w:r>
      <w:r w:rsidRPr="001E36F1">
        <w:rPr>
          <w:rFonts w:ascii="Arial" w:hAnsi="Arial" w:cs="Arial"/>
          <w:sz w:val="16"/>
          <w:szCs w:val="16"/>
        </w:rPr>
        <w:t>, field-level</w:t>
      </w:r>
      <w:r w:rsidRPr="001D71A7">
        <w:rPr>
          <w:rFonts w:ascii="Arial" w:hAnsi="Arial" w:cs="Arial"/>
          <w:sz w:val="16"/>
          <w:szCs w:val="16"/>
        </w:rPr>
        <w:t xml:space="preserve"> petroleum revenue tax payments and payments to TCE and CES are included in the online disclosure of project level payments and repayments at </w:t>
      </w:r>
      <w:hyperlink r:id="rId1" w:history="1">
        <w:r w:rsidRPr="001D71A7">
          <w:rPr>
            <w:rStyle w:val="Hyperlink"/>
            <w:rFonts w:ascii="Arial" w:hAnsi="Arial" w:cs="Arial"/>
            <w:sz w:val="16"/>
            <w:szCs w:val="16"/>
          </w:rPr>
          <w:t>https://www.ukeiti.org/publications-reports</w:t>
        </w:r>
      </w:hyperlink>
      <w:r w:rsidR="00384018">
        <w:rPr>
          <w:rFonts w:ascii="Arial" w:hAnsi="Arial" w:cs="Arial"/>
          <w:sz w:val="16"/>
          <w:szCs w:val="16"/>
        </w:rPr>
        <w:t>.</w:t>
      </w:r>
    </w:p>
  </w:footnote>
  <w:footnote w:id="3">
    <w:p w14:paraId="74AC8734" w14:textId="3B846E88" w:rsidR="00020AC4" w:rsidRPr="006E5095" w:rsidRDefault="00020AC4" w:rsidP="00502A82">
      <w:pPr>
        <w:pStyle w:val="FootnoteText"/>
        <w:jc w:val="both"/>
        <w:rPr>
          <w:rFonts w:asciiTheme="minorBidi" w:hAnsiTheme="minorBidi" w:cstheme="minorBidi"/>
          <w:szCs w:val="16"/>
          <w:lang w:val="en-GB"/>
        </w:rPr>
      </w:pPr>
      <w:r w:rsidRPr="006E5095">
        <w:rPr>
          <w:rStyle w:val="FootnoteReference"/>
          <w:rFonts w:asciiTheme="minorBidi" w:hAnsiTheme="minorBidi" w:cstheme="minorBidi"/>
          <w:szCs w:val="16"/>
        </w:rPr>
        <w:footnoteRef/>
      </w:r>
      <w:r w:rsidRPr="006E5095">
        <w:rPr>
          <w:rFonts w:asciiTheme="minorBidi" w:hAnsiTheme="minorBidi" w:cstheme="minorBidi"/>
          <w:szCs w:val="16"/>
        </w:rPr>
        <w:t xml:space="preserve"> </w:t>
      </w:r>
      <w:r w:rsidRPr="00571A38">
        <w:rPr>
          <w:rFonts w:asciiTheme="minorBidi" w:hAnsiTheme="minorBidi" w:cstheme="minorBidi"/>
          <w:szCs w:val="16"/>
          <w:lang w:val="en-GB"/>
        </w:rPr>
        <w:t xml:space="preserve">The figures in Tables </w:t>
      </w:r>
      <w:r w:rsidR="000A44E5">
        <w:rPr>
          <w:rFonts w:asciiTheme="minorBidi" w:hAnsiTheme="minorBidi" w:cstheme="minorBidi"/>
          <w:szCs w:val="16"/>
        </w:rPr>
        <w:t>2</w:t>
      </w:r>
      <w:r w:rsidR="000A44E5" w:rsidRPr="00571A38">
        <w:rPr>
          <w:rFonts w:asciiTheme="minorBidi" w:hAnsiTheme="minorBidi" w:cstheme="minorBidi"/>
          <w:szCs w:val="16"/>
          <w:lang w:val="en-GB"/>
        </w:rPr>
        <w:t xml:space="preserve"> </w:t>
      </w:r>
      <w:r w:rsidRPr="00571A38">
        <w:rPr>
          <w:rFonts w:asciiTheme="minorBidi" w:hAnsiTheme="minorBidi" w:cstheme="minorBidi"/>
          <w:szCs w:val="16"/>
          <w:lang w:val="en-GB"/>
        </w:rPr>
        <w:t xml:space="preserve">and </w:t>
      </w:r>
      <w:r w:rsidR="000A44E5">
        <w:rPr>
          <w:rFonts w:asciiTheme="minorBidi" w:hAnsiTheme="minorBidi" w:cstheme="minorBidi"/>
          <w:szCs w:val="16"/>
        </w:rPr>
        <w:t>3</w:t>
      </w:r>
      <w:r w:rsidR="000A44E5" w:rsidRPr="00571A38">
        <w:rPr>
          <w:rFonts w:asciiTheme="minorBidi" w:hAnsiTheme="minorBidi" w:cstheme="minorBidi"/>
          <w:szCs w:val="16"/>
          <w:lang w:val="en-GB"/>
        </w:rPr>
        <w:t xml:space="preserve"> </w:t>
      </w:r>
      <w:r w:rsidRPr="00571A38">
        <w:rPr>
          <w:rFonts w:asciiTheme="minorBidi" w:hAnsiTheme="minorBidi" w:cstheme="minorBidi"/>
          <w:szCs w:val="16"/>
          <w:lang w:val="en-GB"/>
        </w:rPr>
        <w:t>below are rounded to the nearest thousand pounds. The full details in pounds are included in the CSV/Excel files, which can be found at the following link:</w:t>
      </w:r>
      <w:r w:rsidRPr="006E5095">
        <w:rPr>
          <w:rFonts w:asciiTheme="minorBidi" w:hAnsiTheme="minorBidi" w:cstheme="minorBidi"/>
          <w:color w:val="FF0000"/>
          <w:szCs w:val="16"/>
          <w:lang w:val="en-GB"/>
        </w:rPr>
        <w:t xml:space="preserve"> </w:t>
      </w:r>
      <w:hyperlink r:id="rId2" w:history="1">
        <w:r w:rsidRPr="006E5095">
          <w:rPr>
            <w:rStyle w:val="Hyperlink"/>
            <w:rFonts w:asciiTheme="minorBidi" w:hAnsiTheme="minorBidi" w:cstheme="minorBidi"/>
            <w:szCs w:val="16"/>
          </w:rPr>
          <w:t>https://www.ukeiti.org/publications-reports</w:t>
        </w:r>
      </w:hyperlink>
      <w:r w:rsidRPr="006E5095">
        <w:rPr>
          <w:rFonts w:asciiTheme="minorBidi" w:hAnsiTheme="minorBidi" w:cstheme="minorBidi"/>
          <w:szCs w:val="16"/>
          <w:lang w:val="en-GB"/>
        </w:rPr>
        <w:t>.</w:t>
      </w:r>
    </w:p>
  </w:footnote>
  <w:footnote w:id="4">
    <w:p w14:paraId="00D4BE03" w14:textId="77777777" w:rsidR="00963096" w:rsidRPr="00033A47" w:rsidRDefault="00963096" w:rsidP="00ED0CDF">
      <w:pPr>
        <w:pStyle w:val="FootnoteText"/>
        <w:rPr>
          <w:rFonts w:asciiTheme="minorBidi" w:hAnsiTheme="minorBidi" w:cstheme="minorBidi"/>
          <w:lang w:val="en-US"/>
        </w:rPr>
      </w:pPr>
      <w:r w:rsidRPr="00033A47">
        <w:rPr>
          <w:rStyle w:val="FootnoteReference"/>
          <w:rFonts w:asciiTheme="minorBidi" w:hAnsiTheme="minorBidi" w:cstheme="minorBidi"/>
          <w:szCs w:val="16"/>
        </w:rPr>
        <w:footnoteRef/>
      </w:r>
      <w:r w:rsidRPr="4FAFC775">
        <w:rPr>
          <w:rFonts w:asciiTheme="minorBidi" w:hAnsiTheme="minorBidi" w:cstheme="minorBidi"/>
          <w:lang w:val="en-US"/>
        </w:rPr>
        <w:t xml:space="preserve"> Petroleum licence fees and the OGA Levy were disclosed unilaterally by the NSTA.</w:t>
      </w:r>
    </w:p>
  </w:footnote>
  <w:footnote w:id="5">
    <w:p w14:paraId="44D1F899" w14:textId="7BFAFC2A" w:rsidR="00963096" w:rsidRPr="00DA4CC8" w:rsidRDefault="00963096">
      <w:pPr>
        <w:pStyle w:val="FootnoteText"/>
        <w:rPr>
          <w:rFonts w:asciiTheme="minorBidi" w:hAnsiTheme="minorBidi" w:cstheme="minorBidi"/>
          <w:szCs w:val="16"/>
        </w:rPr>
      </w:pPr>
      <w:r w:rsidRPr="00DA4CC8">
        <w:rPr>
          <w:rStyle w:val="FootnoteReference"/>
          <w:rFonts w:asciiTheme="minorBidi" w:hAnsiTheme="minorBidi" w:cstheme="minorBidi"/>
          <w:szCs w:val="16"/>
        </w:rPr>
        <w:footnoteRef/>
      </w:r>
      <w:r w:rsidRPr="00DA4CC8">
        <w:rPr>
          <w:rFonts w:asciiTheme="minorBidi" w:hAnsiTheme="minorBidi" w:cstheme="minorBidi"/>
          <w:szCs w:val="16"/>
        </w:rPr>
        <w:t xml:space="preserve"> </w:t>
      </w:r>
      <w:r w:rsidR="00733A33">
        <w:rPr>
          <w:rFonts w:asciiTheme="minorBidi" w:eastAsia="Times New Roman" w:hAnsiTheme="minorBidi" w:cstheme="minorBidi"/>
          <w:szCs w:val="16"/>
          <w:lang w:eastAsia="en-GB"/>
        </w:rPr>
        <w:t>F</w:t>
      </w:r>
      <w:r w:rsidRPr="00DA4CC8">
        <w:rPr>
          <w:rFonts w:asciiTheme="minorBidi" w:eastAsia="Times New Roman" w:hAnsiTheme="minorBidi" w:cstheme="minorBidi"/>
          <w:szCs w:val="16"/>
          <w:lang w:eastAsia="en-GB"/>
        </w:rPr>
        <w:t>ormerly HH LAPS L</w:t>
      </w:r>
      <w:r w:rsidRPr="00F253CB">
        <w:rPr>
          <w:rFonts w:asciiTheme="minorBidi" w:eastAsia="Times New Roman" w:hAnsiTheme="minorBidi" w:cstheme="minorBidi"/>
          <w:szCs w:val="16"/>
          <w:lang w:eastAsia="en-GB"/>
        </w:rPr>
        <w:t>t</w:t>
      </w:r>
      <w:r>
        <w:rPr>
          <w:rFonts w:asciiTheme="minorBidi" w:eastAsia="Times New Roman" w:hAnsiTheme="minorBidi" w:cstheme="minorBidi"/>
          <w:szCs w:val="16"/>
          <w:lang w:eastAsia="en-GB"/>
        </w:rPr>
        <w:t>d</w:t>
      </w:r>
    </w:p>
  </w:footnote>
  <w:footnote w:id="6">
    <w:p w14:paraId="50DCBF2B" w14:textId="1AE0C8B6" w:rsidR="00963096" w:rsidRPr="00DA4CC8" w:rsidRDefault="00963096">
      <w:pPr>
        <w:pStyle w:val="FootnoteText"/>
        <w:rPr>
          <w:rFonts w:asciiTheme="minorBidi" w:hAnsiTheme="minorBidi" w:cstheme="minorBidi"/>
          <w:szCs w:val="16"/>
        </w:rPr>
      </w:pPr>
      <w:r w:rsidRPr="00DA4CC8">
        <w:rPr>
          <w:rStyle w:val="FootnoteReference"/>
          <w:rFonts w:asciiTheme="minorBidi" w:hAnsiTheme="minorBidi" w:cstheme="minorBidi"/>
          <w:szCs w:val="16"/>
        </w:rPr>
        <w:footnoteRef/>
      </w:r>
      <w:r w:rsidRPr="00DA4CC8">
        <w:rPr>
          <w:rFonts w:asciiTheme="minorBidi" w:hAnsiTheme="minorBidi" w:cstheme="minorBidi"/>
          <w:szCs w:val="16"/>
        </w:rPr>
        <w:t xml:space="preserve"> </w:t>
      </w:r>
      <w:r w:rsidRPr="00F253CB">
        <w:rPr>
          <w:rFonts w:asciiTheme="minorBidi" w:eastAsia="Times New Roman" w:hAnsiTheme="minorBidi" w:cstheme="minorBidi"/>
          <w:szCs w:val="16"/>
          <w:lang w:eastAsia="en-GB"/>
        </w:rPr>
        <w:t>Formerly Hurricane Energy Plc</w:t>
      </w:r>
    </w:p>
  </w:footnote>
  <w:footnote w:id="7">
    <w:p w14:paraId="71866507" w14:textId="54243B7C" w:rsidR="00963096" w:rsidRPr="00DA4CC8" w:rsidRDefault="00963096" w:rsidP="00944FD5">
      <w:pPr>
        <w:pStyle w:val="FootnoteText"/>
        <w:rPr>
          <w:rFonts w:asciiTheme="minorBidi" w:hAnsiTheme="minorBidi" w:cstheme="minorBidi"/>
        </w:rPr>
      </w:pPr>
      <w:r w:rsidRPr="00DA4CC8">
        <w:rPr>
          <w:rStyle w:val="FootnoteReference"/>
          <w:rFonts w:asciiTheme="minorBidi" w:hAnsiTheme="minorBidi" w:cstheme="minorBidi"/>
        </w:rPr>
        <w:footnoteRef/>
      </w:r>
      <w:r w:rsidRPr="00DA4CC8">
        <w:rPr>
          <w:rFonts w:asciiTheme="minorBidi" w:hAnsiTheme="minorBidi" w:cstheme="minorBidi"/>
        </w:rPr>
        <w:t xml:space="preserve"> </w:t>
      </w:r>
      <w:r w:rsidR="00E74A4F" w:rsidRPr="00E74A4F">
        <w:rPr>
          <w:rFonts w:asciiTheme="minorBidi" w:hAnsiTheme="minorBidi" w:cstheme="minorBidi"/>
          <w:szCs w:val="16"/>
        </w:rPr>
        <w:t xml:space="preserve">Suncor Energy UK Ltd </w:t>
      </w:r>
      <w:r w:rsidR="00E74A4F" w:rsidRPr="00274652">
        <w:rPr>
          <w:rFonts w:asciiTheme="minorBidi" w:hAnsiTheme="minorBidi" w:cstheme="minorBidi"/>
          <w:szCs w:val="16"/>
        </w:rPr>
        <w:t xml:space="preserve">was acquired by </w:t>
      </w:r>
      <w:hyperlink r:id="rId3" w:history="1">
        <w:r w:rsidR="00775B1A" w:rsidRPr="00396F49">
          <w:rPr>
            <w:rStyle w:val="Hyperlink"/>
            <w:rFonts w:asciiTheme="minorBidi" w:hAnsiTheme="minorBidi" w:cstheme="minorBidi"/>
            <w:szCs w:val="16"/>
          </w:rPr>
          <w:t>Equinor UK Limited</w:t>
        </w:r>
      </w:hyperlink>
      <w:r w:rsidR="00E74A4F" w:rsidRPr="00274652">
        <w:rPr>
          <w:rFonts w:asciiTheme="minorBidi" w:hAnsiTheme="minorBidi" w:cstheme="minorBidi"/>
          <w:szCs w:val="16"/>
        </w:rPr>
        <w:t xml:space="preserve"> in June 2023.</w:t>
      </w:r>
    </w:p>
  </w:footnote>
  <w:footnote w:id="8">
    <w:p w14:paraId="19844A02" w14:textId="46D62FBC" w:rsidR="00963096" w:rsidRPr="00DA4CC8" w:rsidRDefault="00963096" w:rsidP="00511D9B">
      <w:pPr>
        <w:pStyle w:val="FootnoteText"/>
        <w:rPr>
          <w:rFonts w:asciiTheme="minorBidi" w:hAnsiTheme="minorBidi" w:cstheme="minorBidi"/>
          <w:lang w:val="en-US"/>
        </w:rPr>
      </w:pPr>
      <w:r w:rsidRPr="00DA4CC8">
        <w:rPr>
          <w:rStyle w:val="FootnoteReference"/>
          <w:rFonts w:asciiTheme="minorBidi" w:hAnsiTheme="minorBidi" w:cstheme="minorBidi"/>
          <w:szCs w:val="16"/>
        </w:rPr>
        <w:footnoteRef/>
      </w:r>
      <w:r w:rsidRPr="00DA4CC8">
        <w:rPr>
          <w:rFonts w:asciiTheme="minorBidi" w:hAnsiTheme="minorBidi" w:cstheme="minorBidi"/>
          <w:lang w:val="en-US"/>
        </w:rPr>
        <w:t xml:space="preserve"> Includes 1) extractive companies out of the reconciliation scope because their payments / refunds were below the agreed materiality thresholds, 2) those with material payments that declined to participate in the reconciliation process and 3) non-material payment / refunds for companies that were in scope.</w:t>
      </w:r>
    </w:p>
  </w:footnote>
  <w:footnote w:id="9">
    <w:p w14:paraId="00C89918" w14:textId="2689F284" w:rsidR="00757879" w:rsidRPr="00DA4CC8" w:rsidRDefault="00757879">
      <w:pPr>
        <w:pStyle w:val="FootnoteText"/>
        <w:rPr>
          <w:rFonts w:asciiTheme="minorBidi" w:hAnsiTheme="minorBidi" w:cstheme="minorBidi"/>
          <w:szCs w:val="16"/>
        </w:rPr>
      </w:pPr>
      <w:r w:rsidRPr="00DA4CC8">
        <w:rPr>
          <w:rStyle w:val="FootnoteReference"/>
          <w:rFonts w:asciiTheme="minorBidi" w:hAnsiTheme="minorBidi" w:cstheme="minorBidi"/>
          <w:szCs w:val="16"/>
        </w:rPr>
        <w:footnoteRef/>
      </w:r>
      <w:r w:rsidRPr="00DA4CC8">
        <w:rPr>
          <w:rFonts w:asciiTheme="minorBidi" w:hAnsiTheme="minorBidi" w:cstheme="minorBidi"/>
          <w:szCs w:val="16"/>
        </w:rPr>
        <w:t xml:space="preserve"> Rebranded from Hanson UK to Heidelberg Materials UK in 2023.</w:t>
      </w:r>
    </w:p>
  </w:footnote>
  <w:footnote w:id="10">
    <w:p w14:paraId="1E42E6A7" w14:textId="49AC06E2" w:rsidR="003757A1" w:rsidRPr="00DA4CC8" w:rsidRDefault="003757A1">
      <w:pPr>
        <w:pStyle w:val="FootnoteText"/>
        <w:rPr>
          <w:rFonts w:asciiTheme="minorBidi" w:hAnsiTheme="minorBidi" w:cstheme="minorBidi"/>
          <w:lang w:val="en-US"/>
        </w:rPr>
      </w:pPr>
      <w:r w:rsidRPr="00DA4CC8">
        <w:rPr>
          <w:rStyle w:val="FootnoteReference"/>
          <w:rFonts w:asciiTheme="minorBidi" w:hAnsiTheme="minorBidi" w:cstheme="minorBidi"/>
        </w:rPr>
        <w:footnoteRef/>
      </w:r>
      <w:r w:rsidR="004638A7" w:rsidRPr="4FAFC775">
        <w:rPr>
          <w:rFonts w:asciiTheme="minorBidi" w:hAnsiTheme="minorBidi" w:cstheme="minorBidi"/>
          <w:lang w:val="en-US"/>
        </w:rPr>
        <w:t xml:space="preserve"> Includes 1) extractive companies out of the reconciliation scope because their payments / refunds were below the agreed materiality thresholds, 2) those with material payments that declined to participate in the reconciliation process and 3) non-material payment / refunds for companies that were in scope.</w:t>
      </w:r>
    </w:p>
  </w:footnote>
  <w:footnote w:id="11">
    <w:p w14:paraId="7B68BD62" w14:textId="475CA766" w:rsidR="000F7136" w:rsidRPr="008243B1" w:rsidRDefault="000F7136" w:rsidP="007129A3">
      <w:pPr>
        <w:pStyle w:val="FootnoteText"/>
        <w:rPr>
          <w:rFonts w:asciiTheme="minorBidi" w:hAnsiTheme="minorBidi" w:cstheme="minorBidi"/>
          <w:szCs w:val="16"/>
        </w:rPr>
      </w:pPr>
      <w:r w:rsidRPr="00DA4CC8">
        <w:rPr>
          <w:rStyle w:val="FootnoteReference"/>
          <w:rFonts w:asciiTheme="minorBidi" w:hAnsiTheme="minorBidi" w:cstheme="minorBidi"/>
        </w:rPr>
        <w:t>3</w:t>
      </w:r>
      <w:r w:rsidRPr="008243B1">
        <w:rPr>
          <w:rFonts w:asciiTheme="minorBidi" w:hAnsiTheme="minorBidi" w:cstheme="minorBidi"/>
          <w:szCs w:val="16"/>
        </w:rPr>
        <w:t xml:space="preserve"> </w:t>
      </w:r>
      <w:hyperlink r:id="rId4" w:history="1">
        <w:r w:rsidRPr="008243B1">
          <w:rPr>
            <w:rStyle w:val="Hyperlink"/>
            <w:rFonts w:asciiTheme="minorBidi" w:hAnsiTheme="minorBidi" w:cstheme="minorBidi"/>
            <w:szCs w:val="16"/>
          </w:rPr>
          <w:t>www.resourceprojects.org</w:t>
        </w:r>
      </w:hyperlink>
      <w:r w:rsidRPr="008243B1">
        <w:rPr>
          <w:rFonts w:asciiTheme="minorBidi" w:hAnsiTheme="minorBidi" w:cstheme="minorBidi"/>
          <w:szCs w:val="16"/>
        </w:rPr>
        <w:t>.</w:t>
      </w:r>
    </w:p>
    <w:p w14:paraId="7C3657E7" w14:textId="77777777" w:rsidR="000F7136" w:rsidRPr="008243B1" w:rsidRDefault="000F7136" w:rsidP="007129A3">
      <w:pPr>
        <w:pStyle w:val="FootnoteText"/>
        <w:rPr>
          <w:rFonts w:asciiTheme="minorBidi" w:hAnsiTheme="minorBidi" w:cstheme="minorBidi"/>
          <w:szCs w:val="16"/>
          <w:lang w:val="en-GB"/>
        </w:rPr>
      </w:pPr>
      <w:r w:rsidRPr="008243B1">
        <w:rPr>
          <w:rFonts w:asciiTheme="minorBidi" w:hAnsiTheme="minorBidi" w:cstheme="minorBidi"/>
          <w:szCs w:val="16"/>
          <w:lang w:val="en-GB"/>
        </w:rPr>
        <w:t xml:space="preserve">UK-incorporated companies, where a parent company is not reporting in a non-UK jurisdiction, file payments report online with the Companies House Extractives Service: </w:t>
      </w:r>
      <w:hyperlink r:id="rId5" w:history="1">
        <w:r w:rsidRPr="008243B1">
          <w:rPr>
            <w:rStyle w:val="Hyperlink"/>
            <w:rFonts w:asciiTheme="minorBidi" w:hAnsiTheme="minorBidi" w:cstheme="minorBidi"/>
            <w:szCs w:val="16"/>
            <w:lang w:val="en-GB"/>
          </w:rPr>
          <w:t>https://extractives.companieshouse.gov.uk</w:t>
        </w:r>
      </w:hyperlink>
      <w:r w:rsidRPr="008243B1">
        <w:rPr>
          <w:rFonts w:asciiTheme="minorBidi" w:hAnsiTheme="minorBidi" w:cstheme="minorBidi"/>
          <w:szCs w:val="16"/>
          <w:lang w:val="en-GB"/>
        </w:rPr>
        <w:t xml:space="preserve"> </w:t>
      </w:r>
    </w:p>
    <w:p w14:paraId="4BD72A22" w14:textId="77777777" w:rsidR="000F7136" w:rsidRPr="008243B1" w:rsidRDefault="000F7136" w:rsidP="007129A3">
      <w:pPr>
        <w:pStyle w:val="FootnoteText"/>
        <w:rPr>
          <w:rFonts w:asciiTheme="minorBidi" w:hAnsiTheme="minorBidi" w:cstheme="minorBidi"/>
          <w:szCs w:val="16"/>
        </w:rPr>
      </w:pPr>
      <w:r w:rsidRPr="008243B1">
        <w:rPr>
          <w:rFonts w:asciiTheme="minorBidi" w:hAnsiTheme="minorBidi" w:cstheme="minorBidi"/>
          <w:szCs w:val="16"/>
          <w:lang w:val="en-GB"/>
        </w:rPr>
        <w:t xml:space="preserve">London Stock Exchange Main Market-listed companies (including those that are both UK and non-UK incorporated) file payment reports online with the Financial Conduct Authority’s National Storage Mechanism: </w:t>
      </w:r>
      <w:hyperlink r:id="rId6" w:anchor="/nsm/nationalstoragemechanism" w:history="1">
        <w:r w:rsidRPr="008243B1">
          <w:rPr>
            <w:rStyle w:val="Hyperlink"/>
            <w:rFonts w:asciiTheme="minorBidi" w:hAnsiTheme="minorBidi" w:cstheme="minorBidi"/>
            <w:szCs w:val="16"/>
            <w:lang w:val="en-GB"/>
          </w:rPr>
          <w:t>https://data.fca.org.uk/#/nsm/nationalstoragemechanism</w:t>
        </w:r>
      </w:hyperlink>
    </w:p>
  </w:footnote>
  <w:footnote w:id="12">
    <w:p w14:paraId="38615AD9" w14:textId="032C0A69" w:rsidR="00BD4A3E" w:rsidRPr="00B51F2E" w:rsidRDefault="00BD4A3E" w:rsidP="002341FF">
      <w:pPr>
        <w:pStyle w:val="FootnoteText"/>
      </w:pPr>
      <w:r>
        <w:rPr>
          <w:rStyle w:val="FootnoteReference"/>
        </w:rPr>
        <w:footnoteRef/>
      </w:r>
      <w:r>
        <w:t xml:space="preserve"> </w:t>
      </w:r>
      <w:r w:rsidRPr="002275D4">
        <w:rPr>
          <w:rFonts w:ascii="Arial" w:eastAsia="Times New Roman" w:hAnsi="Arial" w:cs="Arial"/>
          <w:szCs w:val="16"/>
          <w:lang w:eastAsia="en-GB"/>
        </w:rPr>
        <w:t>Llanelli Sand Dredging Ltd</w:t>
      </w:r>
      <w:r>
        <w:rPr>
          <w:rFonts w:ascii="Arial" w:eastAsia="Times New Roman" w:hAnsi="Arial" w:cs="Arial"/>
          <w:szCs w:val="16"/>
          <w:lang w:eastAsia="en-GB"/>
        </w:rPr>
        <w:t>.</w:t>
      </w:r>
    </w:p>
  </w:footnote>
  <w:footnote w:id="13">
    <w:p w14:paraId="09E6F8FF" w14:textId="4B98221B" w:rsidR="00BD4A3E" w:rsidRPr="00B51F2E" w:rsidRDefault="00BD4A3E" w:rsidP="002341FF">
      <w:pPr>
        <w:pStyle w:val="FootnoteText"/>
      </w:pPr>
      <w:r>
        <w:rPr>
          <w:rStyle w:val="FootnoteReference"/>
        </w:rPr>
        <w:footnoteRef/>
      </w:r>
      <w:r>
        <w:t xml:space="preserve"> </w:t>
      </w:r>
      <w:r w:rsidRPr="002275D4">
        <w:rPr>
          <w:rFonts w:ascii="Arial" w:eastAsia="Times New Roman" w:hAnsi="Arial" w:cs="Arial"/>
          <w:szCs w:val="16"/>
          <w:lang w:eastAsia="en-GB"/>
        </w:rPr>
        <w:t>Westminster Gravels Ltd</w:t>
      </w:r>
      <w:r>
        <w:rPr>
          <w:rFonts w:ascii="Arial" w:eastAsia="Times New Roman" w:hAnsi="Arial" w:cs="Arial"/>
          <w:szCs w:val="16"/>
          <w:lang w:eastAsia="en-GB"/>
        </w:rPr>
        <w:t>.</w:t>
      </w:r>
    </w:p>
  </w:footnote>
  <w:footnote w:id="14">
    <w:p w14:paraId="42327107" w14:textId="4AEF3A18" w:rsidR="00BD4A3E" w:rsidRPr="001C6083" w:rsidRDefault="00BD4A3E" w:rsidP="002341FF">
      <w:pPr>
        <w:pStyle w:val="FootnoteText"/>
        <w:rPr>
          <w:rFonts w:asciiTheme="minorBidi" w:hAnsiTheme="minorBidi" w:cstheme="minorBidi"/>
          <w:szCs w:val="16"/>
          <w:lang w:val="en-GB"/>
        </w:rPr>
      </w:pPr>
      <w:r w:rsidRPr="001C6083">
        <w:rPr>
          <w:rStyle w:val="FootnoteReference"/>
          <w:rFonts w:asciiTheme="minorBidi" w:hAnsiTheme="minorBidi" w:cstheme="minorBidi"/>
          <w:szCs w:val="16"/>
        </w:rPr>
        <w:footnoteRef/>
      </w:r>
      <w:r w:rsidRPr="001C6083">
        <w:rPr>
          <w:rFonts w:asciiTheme="minorBidi" w:hAnsiTheme="minorBidi" w:cstheme="minorBidi"/>
          <w:szCs w:val="16"/>
        </w:rPr>
        <w:t xml:space="preserve"> XTO UK Ltd</w:t>
      </w:r>
      <w:r w:rsidRPr="001C6083">
        <w:rPr>
          <w:rFonts w:asciiTheme="minorBidi" w:hAnsiTheme="minorBidi" w:cstheme="minorBidi"/>
          <w:szCs w:val="16"/>
          <w:lang w:val="en-GB"/>
        </w:rPr>
        <w:t>.</w:t>
      </w:r>
    </w:p>
  </w:footnote>
  <w:footnote w:id="15">
    <w:p w14:paraId="24270238" w14:textId="3BF1A5EF" w:rsidR="00BD4A3E" w:rsidRPr="001C6083" w:rsidRDefault="00BD4A3E" w:rsidP="002341FF">
      <w:pPr>
        <w:pStyle w:val="FootnoteText"/>
        <w:rPr>
          <w:rFonts w:asciiTheme="minorBidi" w:hAnsiTheme="minorBidi" w:cstheme="minorBidi"/>
          <w:lang w:val="en-GB"/>
        </w:rPr>
      </w:pPr>
      <w:r w:rsidRPr="001C6083">
        <w:rPr>
          <w:rStyle w:val="FootnoteReference"/>
          <w:rFonts w:asciiTheme="minorBidi" w:hAnsiTheme="minorBidi" w:cstheme="minorBidi"/>
          <w:szCs w:val="16"/>
        </w:rPr>
        <w:footnoteRef/>
      </w:r>
      <w:r w:rsidRPr="001C6083">
        <w:rPr>
          <w:rFonts w:asciiTheme="minorBidi" w:hAnsiTheme="minorBidi" w:cstheme="minorBidi"/>
          <w:szCs w:val="16"/>
        </w:rPr>
        <w:t xml:space="preserve"> Esso Exploration and Production UK Ltd</w:t>
      </w:r>
      <w:r w:rsidRPr="001C6083">
        <w:rPr>
          <w:rFonts w:asciiTheme="minorBidi" w:hAnsiTheme="minorBidi" w:cstheme="minorBidi"/>
          <w:szCs w:val="16"/>
          <w:lang w:val="en-GB"/>
        </w:rPr>
        <w:t>.</w:t>
      </w:r>
    </w:p>
  </w:footnote>
  <w:footnote w:id="16">
    <w:p w14:paraId="2C12B44C" w14:textId="5FE473E2" w:rsidR="00E66468" w:rsidRPr="00274652" w:rsidRDefault="00E66468">
      <w:pPr>
        <w:pStyle w:val="FootnoteText"/>
        <w:rPr>
          <w:rFonts w:asciiTheme="minorBidi" w:hAnsiTheme="minorBidi" w:cstheme="minorBidi"/>
          <w:szCs w:val="16"/>
          <w:lang w:val="en-GB"/>
        </w:rPr>
      </w:pPr>
      <w:r w:rsidRPr="00274652">
        <w:rPr>
          <w:rStyle w:val="FootnoteReference"/>
          <w:rFonts w:asciiTheme="minorBidi" w:hAnsiTheme="minorBidi" w:cstheme="minorBidi"/>
          <w:szCs w:val="16"/>
        </w:rPr>
        <w:footnoteRef/>
      </w:r>
      <w:r w:rsidRPr="00274652">
        <w:rPr>
          <w:rFonts w:asciiTheme="minorBidi" w:hAnsiTheme="minorBidi" w:cstheme="minorBidi"/>
          <w:szCs w:val="16"/>
        </w:rPr>
        <w:t xml:space="preserve"> </w:t>
      </w:r>
      <w:r w:rsidR="006209DD" w:rsidRPr="006209DD">
        <w:rPr>
          <w:rFonts w:asciiTheme="minorBidi" w:hAnsiTheme="minorBidi" w:cstheme="minorBidi"/>
          <w:szCs w:val="16"/>
        </w:rPr>
        <w:t>Neptune Energy Group Limited</w:t>
      </w:r>
      <w:r w:rsidR="00D6631E" w:rsidRPr="00274652">
        <w:rPr>
          <w:rFonts w:asciiTheme="minorBidi" w:hAnsiTheme="minorBidi" w:cstheme="minorBidi"/>
          <w:szCs w:val="16"/>
        </w:rPr>
        <w:t xml:space="preserve"> was acquired by </w:t>
      </w:r>
      <w:hyperlink r:id="rId7" w:history="1">
        <w:r w:rsidR="00D6631E" w:rsidRPr="006209DD">
          <w:rPr>
            <w:rStyle w:val="Hyperlink"/>
            <w:rFonts w:asciiTheme="minorBidi" w:hAnsiTheme="minorBidi" w:cstheme="minorBidi"/>
            <w:szCs w:val="16"/>
          </w:rPr>
          <w:t>ENI</w:t>
        </w:r>
      </w:hyperlink>
      <w:r w:rsidR="00D6631E" w:rsidRPr="00274652">
        <w:rPr>
          <w:rFonts w:asciiTheme="minorBidi" w:hAnsiTheme="minorBidi" w:cstheme="minorBidi"/>
          <w:szCs w:val="16"/>
        </w:rPr>
        <w:t xml:space="preserve"> in June 2023</w:t>
      </w:r>
      <w:r w:rsidR="00274652" w:rsidRPr="00274652">
        <w:rPr>
          <w:rFonts w:asciiTheme="minorBidi" w:hAnsiTheme="minorBidi" w:cstheme="minorBidi"/>
          <w:szCs w:val="16"/>
        </w:rPr>
        <w:t>.</w:t>
      </w:r>
    </w:p>
  </w:footnote>
  <w:footnote w:id="17">
    <w:p w14:paraId="4E6B8F86" w14:textId="10690783" w:rsidR="008106EB" w:rsidRPr="00274652" w:rsidRDefault="008106EB" w:rsidP="00B075BB">
      <w:pPr>
        <w:spacing w:after="0"/>
        <w:rPr>
          <w:rFonts w:ascii="Arial" w:hAnsi="Arial" w:cs="Arial"/>
          <w:sz w:val="16"/>
          <w:szCs w:val="16"/>
        </w:rPr>
      </w:pPr>
      <w:r w:rsidRPr="00274652">
        <w:rPr>
          <w:rStyle w:val="FootnoteReference"/>
          <w:rFonts w:asciiTheme="minorBidi" w:hAnsiTheme="minorBidi"/>
          <w:sz w:val="16"/>
          <w:szCs w:val="16"/>
        </w:rPr>
        <w:footnoteRef/>
      </w:r>
      <w:r w:rsidRPr="00274652">
        <w:rPr>
          <w:rFonts w:asciiTheme="minorBidi" w:hAnsiTheme="minorBidi"/>
          <w:sz w:val="16"/>
          <w:szCs w:val="16"/>
        </w:rPr>
        <w:t xml:space="preserve"> </w:t>
      </w:r>
      <w:hyperlink r:id="rId8" w:history="1">
        <w:r w:rsidRPr="00274652">
          <w:rPr>
            <w:rStyle w:val="Hyperlink"/>
            <w:rFonts w:asciiTheme="minorBidi" w:hAnsiTheme="minorBidi"/>
            <w:sz w:val="16"/>
            <w:szCs w:val="16"/>
          </w:rPr>
          <w:t>https://www.gov.uk/government/organisations/companies-house</w:t>
        </w:r>
      </w:hyperlink>
      <w:r w:rsidRPr="00274652">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1A5B" w14:textId="7EFF54EC" w:rsidR="00DC4004" w:rsidRPr="00DC4004" w:rsidRDefault="00DC4004" w:rsidP="00DC4004">
    <w:pPr>
      <w:pStyle w:val="Header"/>
      <w:jc w:val="right"/>
      <w:rPr>
        <w:color w:val="4F81BD" w:themeColor="accent1"/>
        <w:sz w:val="20"/>
        <w:szCs w:val="12"/>
      </w:rPr>
    </w:pPr>
    <w:r w:rsidRPr="001E36F1">
      <w:rPr>
        <w:color w:val="4F81BD" w:themeColor="accent1"/>
        <w:sz w:val="20"/>
        <w:szCs w:val="12"/>
      </w:rPr>
      <w:t>Payments Report for 202</w:t>
    </w:r>
    <w:r w:rsidR="00F31420">
      <w:rPr>
        <w:color w:val="4F81BD" w:themeColor="accent1"/>
        <w:sz w:val="20"/>
        <w:szCs w:val="1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3B89006"/>
    <w:styleLink w:val="Style11"/>
    <w:lvl w:ilvl="0">
      <w:start w:val="1"/>
      <w:numFmt w:val="decimal"/>
      <w:pStyle w:val="ListNumber2"/>
      <w:lvlText w:val="%1."/>
      <w:lvlJc w:val="left"/>
      <w:pPr>
        <w:tabs>
          <w:tab w:val="num" w:pos="643"/>
        </w:tabs>
        <w:ind w:left="643" w:hanging="360"/>
      </w:pPr>
    </w:lvl>
  </w:abstractNum>
  <w:abstractNum w:abstractNumId="1" w15:restartNumberingAfterBreak="0">
    <w:nsid w:val="05E95FEE"/>
    <w:multiLevelType w:val="hybridMultilevel"/>
    <w:tmpl w:val="DDCE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837A4"/>
    <w:multiLevelType w:val="multilevel"/>
    <w:tmpl w:val="6978B480"/>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D76D8F"/>
    <w:multiLevelType w:val="multilevel"/>
    <w:tmpl w:val="91B8D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1741B"/>
    <w:multiLevelType w:val="hybridMultilevel"/>
    <w:tmpl w:val="378EA766"/>
    <w:lvl w:ilvl="0" w:tplc="7826E3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C63F04"/>
    <w:multiLevelType w:val="multilevel"/>
    <w:tmpl w:val="28082A52"/>
    <w:lvl w:ilvl="0">
      <w:start w:val="1"/>
      <w:numFmt w:val="upperRoman"/>
      <w:pStyle w:val="MSHouseLevel1"/>
      <w:lvlText w:val="%1."/>
      <w:lvlJc w:val="left"/>
      <w:pPr>
        <w:tabs>
          <w:tab w:val="num" w:pos="851"/>
        </w:tabs>
        <w:ind w:left="851" w:hanging="851"/>
      </w:pPr>
    </w:lvl>
    <w:lvl w:ilvl="1">
      <w:start w:val="1"/>
      <w:numFmt w:val="decimal"/>
      <w:lvlRestart w:val="0"/>
      <w:pStyle w:val="MSHouseLevel2"/>
      <w:lvlText w:val="%2."/>
      <w:lvlJc w:val="left"/>
      <w:pPr>
        <w:tabs>
          <w:tab w:val="num" w:pos="851"/>
        </w:tabs>
        <w:ind w:left="851" w:hanging="851"/>
      </w:pPr>
    </w:lvl>
    <w:lvl w:ilvl="2">
      <w:start w:val="1"/>
      <w:numFmt w:val="decimal"/>
      <w:lvlText w:val="%2.%3."/>
      <w:lvlJc w:val="left"/>
      <w:pPr>
        <w:tabs>
          <w:tab w:val="num" w:pos="851"/>
        </w:tabs>
        <w:ind w:left="851" w:hanging="851"/>
      </w:pPr>
    </w:lvl>
    <w:lvl w:ilvl="3">
      <w:start w:val="1"/>
      <w:numFmt w:val="lowerRoman"/>
      <w:lvlText w:val="%4."/>
      <w:lvlJc w:val="left"/>
      <w:pPr>
        <w:tabs>
          <w:tab w:val="num" w:pos="851"/>
        </w:tabs>
        <w:ind w:left="851" w:hanging="851"/>
      </w:pPr>
    </w:lvl>
    <w:lvl w:ilvl="4">
      <w:start w:val="1"/>
      <w:numFmt w:val="bullet"/>
      <w:lvlText w:val=""/>
      <w:lvlJc w:val="left"/>
      <w:pPr>
        <w:tabs>
          <w:tab w:val="num" w:pos="851"/>
        </w:tabs>
        <w:ind w:left="851" w:hanging="851"/>
      </w:pPr>
      <w:rPr>
        <w:rFonts w:ascii="Symbol" w:hAnsi="Symbol" w:hint="default"/>
      </w:rPr>
    </w:lvl>
    <w:lvl w:ilvl="5">
      <w:start w:val="1"/>
      <w:numFmt w:val="bullet"/>
      <w:lvlText w:val="♦"/>
      <w:lvlJc w:val="left"/>
      <w:pPr>
        <w:tabs>
          <w:tab w:val="num" w:pos="1418"/>
        </w:tabs>
        <w:ind w:left="1418" w:hanging="567"/>
      </w:pPr>
      <w:rPr>
        <w:rFonts w:ascii="Times New Roman" w:hAnsi="Times New Roman" w:cs="Times New Roman" w:hint="default"/>
      </w:rPr>
    </w:lvl>
    <w:lvl w:ilvl="6">
      <w:start w:val="1"/>
      <w:numFmt w:val="bullet"/>
      <w:lvlText w:val="-"/>
      <w:lvlJc w:val="left"/>
      <w:pPr>
        <w:tabs>
          <w:tab w:val="num" w:pos="1985"/>
        </w:tabs>
        <w:ind w:left="1985" w:hanging="567"/>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53B39AC"/>
    <w:multiLevelType w:val="hybridMultilevel"/>
    <w:tmpl w:val="96FE04BA"/>
    <w:lvl w:ilvl="0" w:tplc="68D29F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53794"/>
    <w:multiLevelType w:val="multilevel"/>
    <w:tmpl w:val="B40E2328"/>
    <w:styleLink w:val="Style2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0A0A9B"/>
    <w:multiLevelType w:val="hybridMultilevel"/>
    <w:tmpl w:val="05943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95F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174C8C"/>
    <w:multiLevelType w:val="multilevel"/>
    <w:tmpl w:val="BB809E9E"/>
    <w:lvl w:ilvl="0">
      <w:start w:val="1"/>
      <w:numFmt w:val="bullet"/>
      <w:lvlText w:val=""/>
      <w:lvlJc w:val="left"/>
      <w:pPr>
        <w:tabs>
          <w:tab w:val="num" w:pos="567"/>
        </w:tabs>
        <w:ind w:left="567" w:hanging="567"/>
      </w:pPr>
      <w:rPr>
        <w:rFonts w:ascii="Symbol" w:hAnsi="Symbol" w:hint="default"/>
      </w:rPr>
    </w:lvl>
    <w:lvl w:ilvl="1">
      <w:start w:val="1"/>
      <w:numFmt w:val="bullet"/>
      <w:pStyle w:val="MSBulletLevel2"/>
      <w:lvlText w:val="♦"/>
      <w:lvlJc w:val="left"/>
      <w:pPr>
        <w:tabs>
          <w:tab w:val="num" w:pos="1134"/>
        </w:tabs>
        <w:ind w:left="1134" w:hanging="567"/>
      </w:pPr>
      <w:rPr>
        <w:rFonts w:ascii="Times New Roman" w:hAnsi="Times New Roman" w:cs="Times New Roman" w:hint="default"/>
      </w:rPr>
    </w:lvl>
    <w:lvl w:ilvl="2">
      <w:start w:val="1"/>
      <w:numFmt w:val="bullet"/>
      <w:pStyle w:val="MSBulletLevel3"/>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1" w15:restartNumberingAfterBreak="0">
    <w:nsid w:val="29456D4B"/>
    <w:multiLevelType w:val="hybridMultilevel"/>
    <w:tmpl w:val="49A6FB70"/>
    <w:lvl w:ilvl="0" w:tplc="A77A97F6">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CAB4527"/>
    <w:multiLevelType w:val="multilevel"/>
    <w:tmpl w:val="26C24C12"/>
    <w:lvl w:ilvl="0">
      <w:start w:val="1"/>
      <w:numFmt w:val="decimal"/>
      <w:pStyle w:val="ListNumber3"/>
      <w:lvlText w:val="(%1)"/>
      <w:lvlJc w:val="left"/>
      <w:pPr>
        <w:tabs>
          <w:tab w:val="num" w:pos="709"/>
        </w:tabs>
        <w:ind w:left="709" w:hanging="709"/>
      </w:pPr>
    </w:lvl>
    <w:lvl w:ilvl="1">
      <w:start w:val="1"/>
      <w:numFmt w:val="lowerLetter"/>
      <w:pStyle w:val="ListNumber3Level2"/>
      <w:lvlText w:val="(%2)"/>
      <w:lvlJc w:val="left"/>
      <w:pPr>
        <w:tabs>
          <w:tab w:val="num" w:pos="1417"/>
        </w:tabs>
        <w:ind w:left="1417" w:hanging="708"/>
      </w:pPr>
    </w:lvl>
    <w:lvl w:ilvl="2">
      <w:start w:val="1"/>
      <w:numFmt w:val="bullet"/>
      <w:pStyle w:val="ListNumber3Level3"/>
      <w:lvlText w:val="–"/>
      <w:lvlJc w:val="left"/>
      <w:pPr>
        <w:tabs>
          <w:tab w:val="num" w:pos="2126"/>
        </w:tabs>
        <w:ind w:left="2126" w:hanging="709"/>
      </w:pPr>
      <w:rPr>
        <w:rFonts w:ascii="Times New Roman" w:hAnsi="Times New Roman"/>
      </w:rPr>
    </w:lvl>
    <w:lvl w:ilvl="3">
      <w:start w:val="1"/>
      <w:numFmt w:val="bullet"/>
      <w:pStyle w:val="ListNumber3Level4"/>
      <w:lvlText w:val=""/>
      <w:lvlJc w:val="left"/>
      <w:pPr>
        <w:tabs>
          <w:tab w:val="num" w:pos="2835"/>
        </w:tabs>
        <w:ind w:left="2835" w:hanging="709"/>
      </w:pPr>
      <w:rPr>
        <w:rFonts w:ascii="Symbol" w:hAnsi="Symbol"/>
      </w:rPr>
    </w:lvl>
    <w:lvl w:ilvl="4">
      <w:start w:val="1"/>
      <w:numFmt w:val="lowerLetter"/>
      <w:lvlText w:val="(%5)"/>
      <w:lvlJc w:val="left"/>
      <w:pPr>
        <w:tabs>
          <w:tab w:val="num" w:pos="598"/>
        </w:tabs>
        <w:ind w:left="598" w:hanging="360"/>
      </w:pPr>
    </w:lvl>
    <w:lvl w:ilvl="5">
      <w:start w:val="1"/>
      <w:numFmt w:val="lowerRoman"/>
      <w:lvlText w:val="(%6)"/>
      <w:lvlJc w:val="left"/>
      <w:pPr>
        <w:tabs>
          <w:tab w:val="num" w:pos="958"/>
        </w:tabs>
        <w:ind w:left="958" w:hanging="360"/>
      </w:pPr>
    </w:lvl>
    <w:lvl w:ilvl="6">
      <w:start w:val="1"/>
      <w:numFmt w:val="decimal"/>
      <w:lvlText w:val="%7."/>
      <w:lvlJc w:val="left"/>
      <w:pPr>
        <w:tabs>
          <w:tab w:val="num" w:pos="1318"/>
        </w:tabs>
        <w:ind w:left="1318" w:hanging="360"/>
      </w:pPr>
    </w:lvl>
    <w:lvl w:ilvl="7">
      <w:start w:val="1"/>
      <w:numFmt w:val="lowerLetter"/>
      <w:lvlText w:val="%8."/>
      <w:lvlJc w:val="left"/>
      <w:pPr>
        <w:tabs>
          <w:tab w:val="num" w:pos="1678"/>
        </w:tabs>
        <w:ind w:left="1678" w:hanging="360"/>
      </w:pPr>
    </w:lvl>
    <w:lvl w:ilvl="8">
      <w:start w:val="1"/>
      <w:numFmt w:val="lowerRoman"/>
      <w:lvlText w:val="%9."/>
      <w:lvlJc w:val="left"/>
      <w:pPr>
        <w:tabs>
          <w:tab w:val="num" w:pos="2038"/>
        </w:tabs>
        <w:ind w:left="2038" w:hanging="360"/>
      </w:pPr>
    </w:lvl>
  </w:abstractNum>
  <w:abstractNum w:abstractNumId="14" w15:restartNumberingAfterBreak="0">
    <w:nsid w:val="32017A82"/>
    <w:multiLevelType w:val="multilevel"/>
    <w:tmpl w:val="490CE56E"/>
    <w:styleLink w:val="Style2"/>
    <w:lvl w:ilvl="0">
      <w:start w:val="1"/>
      <w:numFmt w:val="decimal"/>
      <w:lvlText w:val="%1"/>
      <w:lvlJc w:val="left"/>
      <w:pPr>
        <w:ind w:left="432" w:hanging="432"/>
      </w:pPr>
    </w:lvl>
    <w:lvl w:ilvl="1">
      <w:start w:val="1"/>
      <w:numFmt w:val="decimal"/>
      <w:lvlText w:val="2.%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B46874"/>
    <w:multiLevelType w:val="multilevel"/>
    <w:tmpl w:val="81A2B286"/>
    <w:lvl w:ilvl="0">
      <w:start w:val="1"/>
      <w:numFmt w:val="bullet"/>
      <w:pStyle w:val="MSBulletLevel1"/>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6" w15:restartNumberingAfterBreak="0">
    <w:nsid w:val="365C2788"/>
    <w:multiLevelType w:val="multilevel"/>
    <w:tmpl w:val="040C001F"/>
    <w:styleLink w:val="IFIAlgeriastyle1"/>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16F70B9"/>
    <w:multiLevelType w:val="hybridMultilevel"/>
    <w:tmpl w:val="7808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13E0D"/>
    <w:multiLevelType w:val="multilevel"/>
    <w:tmpl w:val="7BD8A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702FB5"/>
    <w:multiLevelType w:val="hybridMultilevel"/>
    <w:tmpl w:val="7D744A32"/>
    <w:lvl w:ilvl="0" w:tplc="35B258B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9C17C6"/>
    <w:multiLevelType w:val="hybridMultilevel"/>
    <w:tmpl w:val="9C8E8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0D5165"/>
    <w:multiLevelType w:val="hybridMultilevel"/>
    <w:tmpl w:val="C11AA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0D4505"/>
    <w:multiLevelType w:val="multilevel"/>
    <w:tmpl w:val="194499BE"/>
    <w:lvl w:ilvl="0">
      <w:start w:val="1"/>
      <w:numFmt w:val="decimal"/>
      <w:lvlText w:val="%1."/>
      <w:lvlJc w:val="left"/>
      <w:pPr>
        <w:tabs>
          <w:tab w:val="num" w:pos="850"/>
        </w:tabs>
        <w:ind w:left="850" w:hanging="850"/>
      </w:pPr>
    </w:lvl>
    <w:lvl w:ilvl="1">
      <w:start w:val="1"/>
      <w:numFmt w:val="decimal"/>
      <w:pStyle w:val="ReportHead2"/>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4" w15:restartNumberingAfterBreak="0">
    <w:nsid w:val="5D5B30C2"/>
    <w:multiLevelType w:val="hybridMultilevel"/>
    <w:tmpl w:val="F3023F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2CD1954"/>
    <w:multiLevelType w:val="hybridMultilevel"/>
    <w:tmpl w:val="C04A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26BB3"/>
    <w:multiLevelType w:val="multilevel"/>
    <w:tmpl w:val="351CF70E"/>
    <w:lvl w:ilvl="0">
      <w:start w:val="1"/>
      <w:numFmt w:val="decimal"/>
      <w:pStyle w:val="ReportHead1"/>
      <w:lvlText w:val="%1."/>
      <w:lvlJc w:val="left"/>
      <w:pPr>
        <w:tabs>
          <w:tab w:val="num" w:pos="850"/>
        </w:tabs>
        <w:ind w:left="850" w:hanging="850"/>
      </w:pPr>
    </w:lvl>
    <w:lvl w:ilvl="1">
      <w:start w:val="1"/>
      <w:numFmt w:val="decimal"/>
      <w:pStyle w:val="ReportHead3"/>
      <w:lvlText w:val="%1.%2."/>
      <w:lvlJc w:val="left"/>
      <w:pPr>
        <w:tabs>
          <w:tab w:val="num" w:pos="850"/>
        </w:tabs>
        <w:ind w:left="850" w:hanging="850"/>
      </w:pPr>
    </w:lvl>
    <w:lvl w:ilvl="2">
      <w:start w:val="1"/>
      <w:numFmt w:val="decimal"/>
      <w:pStyle w:val="ReportHead4"/>
      <w:lvlText w:val="%1.%2.%3."/>
      <w:lvlJc w:val="left"/>
      <w:pPr>
        <w:tabs>
          <w:tab w:val="num" w:pos="850"/>
        </w:tabs>
        <w:ind w:left="850" w:hanging="850"/>
      </w:pPr>
    </w:lvl>
    <w:lvl w:ilvl="3">
      <w:start w:val="1"/>
      <w:numFmt w:val="lowerRoman"/>
      <w:lvlText w:val="%4."/>
      <w:lvlJc w:val="left"/>
      <w:pPr>
        <w:tabs>
          <w:tab w:val="num" w:pos="851"/>
        </w:tabs>
        <w:ind w:left="851" w:hanging="851"/>
      </w:pPr>
    </w:lvl>
    <w:lvl w:ilvl="4">
      <w:start w:val="1"/>
      <w:numFmt w:val="bullet"/>
      <w:lvlText w:val=""/>
      <w:lvlJc w:val="left"/>
      <w:pPr>
        <w:tabs>
          <w:tab w:val="num" w:pos="850"/>
        </w:tabs>
        <w:ind w:left="850" w:hanging="850"/>
      </w:pPr>
      <w:rPr>
        <w:rFonts w:ascii="Symbol" w:hAnsi="Symbol" w:hint="default"/>
      </w:rPr>
    </w:lvl>
    <w:lvl w:ilvl="5">
      <w:start w:val="1"/>
      <w:numFmt w:val="bullet"/>
      <w:lvlText w:val=""/>
      <w:lvlJc w:val="left"/>
      <w:pPr>
        <w:tabs>
          <w:tab w:val="num" w:pos="1417"/>
        </w:tabs>
        <w:ind w:left="1417" w:hanging="567"/>
      </w:pPr>
      <w:rPr>
        <w:rFonts w:ascii="Symbol" w:hAnsi="Symbol" w:hint="default"/>
        <w:sz w:val="22"/>
      </w:rPr>
    </w:lvl>
    <w:lvl w:ilvl="6">
      <w:start w:val="1"/>
      <w:numFmt w:val="bullet"/>
      <w:lvlText w:val=""/>
      <w:lvlJc w:val="left"/>
      <w:pPr>
        <w:tabs>
          <w:tab w:val="num" w:pos="1984"/>
        </w:tabs>
        <w:ind w:left="1984" w:hanging="567"/>
      </w:pPr>
      <w:rPr>
        <w:rFonts w:ascii="Symbol" w:hAnsi="Symbol" w:hint="default"/>
        <w:sz w:val="12"/>
      </w:rPr>
    </w:lvl>
    <w:lvl w:ilvl="7">
      <w:start w:val="1"/>
      <w:numFmt w:val="none"/>
      <w:lvlText w:val=""/>
      <w:lvlJc w:val="left"/>
      <w:pPr>
        <w:tabs>
          <w:tab w:val="num" w:pos="1984"/>
        </w:tabs>
        <w:ind w:left="1984" w:hanging="567"/>
      </w:pPr>
    </w:lvl>
    <w:lvl w:ilvl="8">
      <w:start w:val="1"/>
      <w:numFmt w:val="none"/>
      <w:lvlText w:val=""/>
      <w:lvlJc w:val="left"/>
      <w:pPr>
        <w:tabs>
          <w:tab w:val="num" w:pos="2551"/>
        </w:tabs>
        <w:ind w:left="2551" w:hanging="567"/>
      </w:pPr>
    </w:lvl>
  </w:abstractNum>
  <w:abstractNum w:abstractNumId="27" w15:restartNumberingAfterBreak="0">
    <w:nsid w:val="697333BB"/>
    <w:multiLevelType w:val="multilevel"/>
    <w:tmpl w:val="B8D09C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2970DD"/>
    <w:multiLevelType w:val="hybridMultilevel"/>
    <w:tmpl w:val="3B102D9A"/>
    <w:lvl w:ilvl="0" w:tplc="287805A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C12BFA"/>
    <w:multiLevelType w:val="hybridMultilevel"/>
    <w:tmpl w:val="B03EE52C"/>
    <w:lvl w:ilvl="0" w:tplc="EB6ADB4E">
      <w:start w:val="1"/>
      <w:numFmt w:val="decimal"/>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A350A4"/>
    <w:multiLevelType w:val="hybridMultilevel"/>
    <w:tmpl w:val="7D0CC718"/>
    <w:lvl w:ilvl="0" w:tplc="EAB4B418">
      <w:start w:val="1"/>
      <w:numFmt w:val="decimal"/>
      <w:lvlText w:val="%1."/>
      <w:lvlJc w:val="left"/>
      <w:pPr>
        <w:ind w:left="360" w:hanging="360"/>
      </w:pPr>
      <w:rPr>
        <w:rFonts w:eastAsia="Calibr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AA4369D"/>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615DAF"/>
    <w:multiLevelType w:val="multilevel"/>
    <w:tmpl w:val="34E6B93C"/>
    <w:name w:val="ChapNum"/>
    <w:lvl w:ilvl="0">
      <w:start w:val="1"/>
      <w:numFmt w:val="decimal"/>
      <w:pStyle w:val="BodyText2"/>
      <w:suff w:val="nothing"/>
      <w:lvlText w:val="%1"/>
      <w:lvlJc w:val="left"/>
      <w:pPr>
        <w:ind w:left="5580" w:hanging="5580"/>
      </w:pPr>
    </w:lvl>
    <w:lvl w:ilvl="1">
      <w:start w:val="1"/>
      <w:numFmt w:val="decimal"/>
      <w:pStyle w:val="BodyText"/>
      <w:suff w:val="space"/>
      <w:lvlText w:val="%1.%2"/>
      <w:lvlJc w:val="left"/>
      <w:pPr>
        <w:ind w:left="0" w:firstLine="0"/>
      </w:pPr>
      <w:rPr>
        <w:rFonts w:ascii="Humnst777 Lt BT" w:hAnsi="Humnst777 Lt BT" w:hint="default"/>
        <w:b/>
        <w:i w:val="0"/>
        <w:color w:val="C40012"/>
        <w:sz w:val="22"/>
      </w:rPr>
    </w:lvl>
    <w:lvl w:ilvl="2">
      <w:start w:val="1"/>
      <w:numFmt w:val="decimal"/>
      <w:pStyle w:val="BodyText2"/>
      <w:suff w:val="space"/>
      <w:lvlText w:val="%1.%2.%3"/>
      <w:lvlJc w:val="left"/>
      <w:pPr>
        <w:ind w:left="0" w:firstLine="0"/>
      </w:pPr>
      <w:rPr>
        <w:rFonts w:ascii="Humnst777 Lt BT" w:hAnsi="Humnst777 Lt BT" w:hint="default"/>
        <w:b/>
        <w:i w:val="0"/>
        <w:color w:val="C40012"/>
        <w:sz w:val="22"/>
      </w:rPr>
    </w:lvl>
    <w:lvl w:ilvl="3">
      <w:start w:val="1"/>
      <w:numFmt w:val="upperLetter"/>
      <w:lvlRestart w:val="1"/>
      <w:pStyle w:val="BoxHeading"/>
      <w:suff w:val="space"/>
      <w:lvlText w:val="Box %1.%4:"/>
      <w:lvlJc w:val="left"/>
      <w:pPr>
        <w:ind w:left="0" w:firstLine="0"/>
      </w:pPr>
      <w:rPr>
        <w:rFonts w:ascii="Humnst777 BT" w:hAnsi="Humnst777 BT" w:hint="default"/>
        <w:b/>
        <w:color w:val="C40012"/>
        <w:sz w:val="20"/>
      </w:rPr>
    </w:lvl>
    <w:lvl w:ilvl="4">
      <w:start w:val="1"/>
      <w:numFmt w:val="upperLetter"/>
      <w:lvlRestart w:val="1"/>
      <w:pStyle w:val="FigureHeading"/>
      <w:suff w:val="space"/>
      <w:lvlText w:val="Figure %1.%5:"/>
      <w:lvlJc w:val="left"/>
      <w:pPr>
        <w:ind w:left="0" w:firstLine="0"/>
      </w:pPr>
      <w:rPr>
        <w:rFonts w:ascii="Humnst777 BT" w:hAnsi="Humnst777 BT" w:hint="default"/>
        <w:b/>
        <w:color w:val="C40012"/>
        <w:sz w:val="20"/>
      </w:rPr>
    </w:lvl>
    <w:lvl w:ilvl="5">
      <w:start w:val="1"/>
      <w:numFmt w:val="upperLetter"/>
      <w:lvlRestart w:val="1"/>
      <w:pStyle w:val="TableHeading"/>
      <w:suff w:val="space"/>
      <w:lvlText w:val="Table %1.%6:"/>
      <w:lvlJc w:val="left"/>
      <w:pPr>
        <w:ind w:left="0" w:firstLine="0"/>
      </w:pPr>
      <w:rPr>
        <w:rFonts w:ascii="Humnst777 BT" w:hAnsi="Humnst777 BT" w:hint="default"/>
        <w:b/>
        <w:color w:val="C40012"/>
        <w:sz w:val="20"/>
      </w:rPr>
    </w:lvl>
    <w:lvl w:ilvl="6">
      <w:start w:val="1"/>
      <w:numFmt w:val="upperLetter"/>
      <w:lvlRestart w:val="1"/>
      <w:pStyle w:val="ChartHeading"/>
      <w:suff w:val="space"/>
      <w:lvlText w:val="Chart %1.%7:"/>
      <w:lvlJc w:val="left"/>
      <w:pPr>
        <w:ind w:left="0" w:firstLine="0"/>
      </w:pPr>
      <w:rPr>
        <w:rFonts w:ascii="Humnst777 BT" w:hAnsi="Humnst777 BT" w:hint="default"/>
        <w:b/>
        <w:color w:val="C40012"/>
        <w:sz w:val="20"/>
      </w:rPr>
    </w:lvl>
    <w:lvl w:ilvl="7">
      <w:start w:val="1"/>
      <w:numFmt w:val="lowerLetter"/>
      <w:lvlText w:val="%8."/>
      <w:lvlJc w:val="left"/>
      <w:pPr>
        <w:tabs>
          <w:tab w:val="num" w:pos="8100"/>
        </w:tabs>
        <w:ind w:left="8100" w:hanging="360"/>
      </w:pPr>
    </w:lvl>
    <w:lvl w:ilvl="8">
      <w:start w:val="1"/>
      <w:numFmt w:val="lowerRoman"/>
      <w:lvlText w:val="%9."/>
      <w:lvlJc w:val="left"/>
      <w:pPr>
        <w:tabs>
          <w:tab w:val="num" w:pos="8460"/>
        </w:tabs>
        <w:ind w:left="8460" w:hanging="360"/>
      </w:pPr>
    </w:lvl>
  </w:abstractNum>
  <w:num w:numId="1" w16cid:durableId="1020936948">
    <w:abstractNumId w:val="12"/>
  </w:num>
  <w:num w:numId="2" w16cid:durableId="2029600863">
    <w:abstractNumId w:val="0"/>
    <w:lvlOverride w:ilvl="0">
      <w:startOverride w:val="1"/>
    </w:lvlOverride>
  </w:num>
  <w:num w:numId="3" w16cid:durableId="7133833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4623283">
    <w:abstractNumId w:val="11"/>
  </w:num>
  <w:num w:numId="5" w16cid:durableId="1131939104">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6" w16cid:durableId="285703741">
    <w:abstractNumId w:val="2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7" w16cid:durableId="2014911968">
    <w:abstractNumId w:val="17"/>
  </w:num>
  <w:num w:numId="8" w16cid:durableId="100147352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9" w16cid:durableId="2092390448">
    <w:abstractNumId w:val="15"/>
  </w:num>
  <w:num w:numId="10" w16cid:durableId="551503471">
    <w:abstractNumId w:val="10"/>
  </w:num>
  <w:num w:numId="11" w16cid:durableId="1433624688">
    <w:abstractNumId w:val="1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806188">
    <w:abstractNumId w:val="22"/>
  </w:num>
  <w:num w:numId="13" w16cid:durableId="7025765">
    <w:abstractNumId w:val="14"/>
  </w:num>
  <w:num w:numId="14" w16cid:durableId="1573613324">
    <w:abstractNumId w:val="16"/>
  </w:num>
  <w:num w:numId="15" w16cid:durableId="1002776785">
    <w:abstractNumId w:val="31"/>
  </w:num>
  <w:num w:numId="16" w16cid:durableId="1236818544">
    <w:abstractNumId w:val="7"/>
  </w:num>
  <w:num w:numId="17" w16cid:durableId="1126238380">
    <w:abstractNumId w:val="1"/>
  </w:num>
  <w:num w:numId="18" w16cid:durableId="2037273699">
    <w:abstractNumId w:val="2"/>
    <w:lvlOverride w:ilvl="0">
      <w:lvl w:ilvl="0">
        <w:start w:val="1"/>
        <w:numFmt w:val="decimal"/>
        <w:lvlText w:val="%1."/>
        <w:lvlJc w:val="left"/>
        <w:pPr>
          <w:ind w:left="360" w:hanging="360"/>
        </w:pPr>
        <w:rPr>
          <w:rFonts w:ascii="Arial" w:hAnsi="Arial"/>
          <w:color w:val="000000" w:themeColor="text1"/>
          <w:sz w:val="24"/>
        </w:rPr>
      </w:lvl>
    </w:lvlOverride>
  </w:num>
  <w:num w:numId="19" w16cid:durableId="756629987">
    <w:abstractNumId w:val="0"/>
  </w:num>
  <w:num w:numId="20" w16cid:durableId="2021736869">
    <w:abstractNumId w:val="30"/>
  </w:num>
  <w:num w:numId="21" w16cid:durableId="1456093888">
    <w:abstractNumId w:val="27"/>
  </w:num>
  <w:num w:numId="22" w16cid:durableId="1752121924">
    <w:abstractNumId w:val="19"/>
  </w:num>
  <w:num w:numId="23" w16cid:durableId="2126777411">
    <w:abstractNumId w:val="3"/>
  </w:num>
  <w:num w:numId="24" w16cid:durableId="2117212762">
    <w:abstractNumId w:val="7"/>
  </w:num>
  <w:num w:numId="25" w16cid:durableId="280115425">
    <w:abstractNumId w:val="29"/>
  </w:num>
  <w:num w:numId="26" w16cid:durableId="801384768">
    <w:abstractNumId w:val="20"/>
  </w:num>
  <w:num w:numId="27" w16cid:durableId="1115833658">
    <w:abstractNumId w:val="21"/>
  </w:num>
  <w:num w:numId="28" w16cid:durableId="1388336355">
    <w:abstractNumId w:val="25"/>
  </w:num>
  <w:num w:numId="29" w16cid:durableId="2113938008">
    <w:abstractNumId w:val="6"/>
  </w:num>
  <w:num w:numId="30" w16cid:durableId="1865632202">
    <w:abstractNumId w:val="8"/>
  </w:num>
  <w:num w:numId="31" w16cid:durableId="2045444676">
    <w:abstractNumId w:val="9"/>
  </w:num>
  <w:num w:numId="32" w16cid:durableId="429549513">
    <w:abstractNumId w:val="4"/>
  </w:num>
  <w:num w:numId="33" w16cid:durableId="1675448664">
    <w:abstractNumId w:val="28"/>
  </w:num>
  <w:num w:numId="34" w16cid:durableId="356931562">
    <w:abstractNumId w:val="24"/>
  </w:num>
  <w:num w:numId="35" w16cid:durableId="1752847513">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1C"/>
    <w:rsid w:val="00000764"/>
    <w:rsid w:val="0000088B"/>
    <w:rsid w:val="00000940"/>
    <w:rsid w:val="00001675"/>
    <w:rsid w:val="00001686"/>
    <w:rsid w:val="0000240B"/>
    <w:rsid w:val="00003A86"/>
    <w:rsid w:val="00004AF4"/>
    <w:rsid w:val="00004B79"/>
    <w:rsid w:val="00004E75"/>
    <w:rsid w:val="0000508A"/>
    <w:rsid w:val="00005A61"/>
    <w:rsid w:val="00006524"/>
    <w:rsid w:val="00006957"/>
    <w:rsid w:val="000069B6"/>
    <w:rsid w:val="00006BD9"/>
    <w:rsid w:val="00006CA1"/>
    <w:rsid w:val="000070C5"/>
    <w:rsid w:val="000074CB"/>
    <w:rsid w:val="0000777B"/>
    <w:rsid w:val="00007D6E"/>
    <w:rsid w:val="00010170"/>
    <w:rsid w:val="000107AE"/>
    <w:rsid w:val="000115AB"/>
    <w:rsid w:val="00011F10"/>
    <w:rsid w:val="000124E5"/>
    <w:rsid w:val="0001275A"/>
    <w:rsid w:val="00013ABA"/>
    <w:rsid w:val="000154D2"/>
    <w:rsid w:val="000155B6"/>
    <w:rsid w:val="00017408"/>
    <w:rsid w:val="0002055E"/>
    <w:rsid w:val="00020AC4"/>
    <w:rsid w:val="00020B3B"/>
    <w:rsid w:val="0002185B"/>
    <w:rsid w:val="00021EA7"/>
    <w:rsid w:val="00021F4C"/>
    <w:rsid w:val="0002293D"/>
    <w:rsid w:val="00022981"/>
    <w:rsid w:val="00022E0E"/>
    <w:rsid w:val="00023443"/>
    <w:rsid w:val="0002428E"/>
    <w:rsid w:val="00024E3D"/>
    <w:rsid w:val="00025C37"/>
    <w:rsid w:val="00027AF1"/>
    <w:rsid w:val="00027E6D"/>
    <w:rsid w:val="00027F28"/>
    <w:rsid w:val="00030C54"/>
    <w:rsid w:val="000316A5"/>
    <w:rsid w:val="00031DED"/>
    <w:rsid w:val="000334FB"/>
    <w:rsid w:val="00033A4A"/>
    <w:rsid w:val="000341BF"/>
    <w:rsid w:val="00035492"/>
    <w:rsid w:val="00035922"/>
    <w:rsid w:val="000363AD"/>
    <w:rsid w:val="00036E13"/>
    <w:rsid w:val="00036E92"/>
    <w:rsid w:val="00037A73"/>
    <w:rsid w:val="0004062B"/>
    <w:rsid w:val="00040726"/>
    <w:rsid w:val="00041F3D"/>
    <w:rsid w:val="000420A0"/>
    <w:rsid w:val="00042496"/>
    <w:rsid w:val="00042548"/>
    <w:rsid w:val="000436E7"/>
    <w:rsid w:val="000439FD"/>
    <w:rsid w:val="00043F88"/>
    <w:rsid w:val="00045368"/>
    <w:rsid w:val="000456FF"/>
    <w:rsid w:val="00046371"/>
    <w:rsid w:val="00046E2A"/>
    <w:rsid w:val="00047049"/>
    <w:rsid w:val="00047942"/>
    <w:rsid w:val="00047D5A"/>
    <w:rsid w:val="00047DEB"/>
    <w:rsid w:val="00050E10"/>
    <w:rsid w:val="00051135"/>
    <w:rsid w:val="00051FFB"/>
    <w:rsid w:val="000521DF"/>
    <w:rsid w:val="00052768"/>
    <w:rsid w:val="00052C0F"/>
    <w:rsid w:val="0005367C"/>
    <w:rsid w:val="00053FBF"/>
    <w:rsid w:val="00054EC0"/>
    <w:rsid w:val="00056BFF"/>
    <w:rsid w:val="00060742"/>
    <w:rsid w:val="00060E85"/>
    <w:rsid w:val="000614AB"/>
    <w:rsid w:val="00061AE4"/>
    <w:rsid w:val="00061BC6"/>
    <w:rsid w:val="00061F81"/>
    <w:rsid w:val="00062895"/>
    <w:rsid w:val="00063590"/>
    <w:rsid w:val="0006438A"/>
    <w:rsid w:val="000643A2"/>
    <w:rsid w:val="00065373"/>
    <w:rsid w:val="0006569D"/>
    <w:rsid w:val="0006604F"/>
    <w:rsid w:val="000665F3"/>
    <w:rsid w:val="00066DF1"/>
    <w:rsid w:val="00067AB8"/>
    <w:rsid w:val="00067C3B"/>
    <w:rsid w:val="00070026"/>
    <w:rsid w:val="00070A61"/>
    <w:rsid w:val="00070B2E"/>
    <w:rsid w:val="00070D1A"/>
    <w:rsid w:val="00071802"/>
    <w:rsid w:val="00071D4C"/>
    <w:rsid w:val="000723EB"/>
    <w:rsid w:val="0007257C"/>
    <w:rsid w:val="000733D0"/>
    <w:rsid w:val="0007345B"/>
    <w:rsid w:val="00074615"/>
    <w:rsid w:val="0007500D"/>
    <w:rsid w:val="00076408"/>
    <w:rsid w:val="0007645C"/>
    <w:rsid w:val="000769F4"/>
    <w:rsid w:val="00076F75"/>
    <w:rsid w:val="00077B4F"/>
    <w:rsid w:val="000801CD"/>
    <w:rsid w:val="00080F08"/>
    <w:rsid w:val="000818B6"/>
    <w:rsid w:val="00082472"/>
    <w:rsid w:val="00082AB7"/>
    <w:rsid w:val="00084F90"/>
    <w:rsid w:val="0008584F"/>
    <w:rsid w:val="000860DE"/>
    <w:rsid w:val="00086DAC"/>
    <w:rsid w:val="00086F89"/>
    <w:rsid w:val="0008766F"/>
    <w:rsid w:val="00090726"/>
    <w:rsid w:val="00090A06"/>
    <w:rsid w:val="000913C2"/>
    <w:rsid w:val="0009146C"/>
    <w:rsid w:val="00093301"/>
    <w:rsid w:val="000938D1"/>
    <w:rsid w:val="00093D55"/>
    <w:rsid w:val="00093E22"/>
    <w:rsid w:val="00094127"/>
    <w:rsid w:val="0009424E"/>
    <w:rsid w:val="00094711"/>
    <w:rsid w:val="00094887"/>
    <w:rsid w:val="00095943"/>
    <w:rsid w:val="000966F7"/>
    <w:rsid w:val="00096D2E"/>
    <w:rsid w:val="000A14FE"/>
    <w:rsid w:val="000A28EA"/>
    <w:rsid w:val="000A44E5"/>
    <w:rsid w:val="000A75D2"/>
    <w:rsid w:val="000A7C45"/>
    <w:rsid w:val="000B0482"/>
    <w:rsid w:val="000B0723"/>
    <w:rsid w:val="000B0949"/>
    <w:rsid w:val="000B1102"/>
    <w:rsid w:val="000B2B19"/>
    <w:rsid w:val="000B37FC"/>
    <w:rsid w:val="000B4B7E"/>
    <w:rsid w:val="000B58A5"/>
    <w:rsid w:val="000B6299"/>
    <w:rsid w:val="000B6487"/>
    <w:rsid w:val="000B6607"/>
    <w:rsid w:val="000B66D9"/>
    <w:rsid w:val="000B6B02"/>
    <w:rsid w:val="000B6BBB"/>
    <w:rsid w:val="000B7162"/>
    <w:rsid w:val="000B7F90"/>
    <w:rsid w:val="000C15E5"/>
    <w:rsid w:val="000C166F"/>
    <w:rsid w:val="000C2F5E"/>
    <w:rsid w:val="000C3247"/>
    <w:rsid w:val="000C3897"/>
    <w:rsid w:val="000C3D0A"/>
    <w:rsid w:val="000C4759"/>
    <w:rsid w:val="000C48CE"/>
    <w:rsid w:val="000C5D07"/>
    <w:rsid w:val="000C7157"/>
    <w:rsid w:val="000C7531"/>
    <w:rsid w:val="000D0170"/>
    <w:rsid w:val="000D174D"/>
    <w:rsid w:val="000D25ED"/>
    <w:rsid w:val="000D274C"/>
    <w:rsid w:val="000D2913"/>
    <w:rsid w:val="000D3693"/>
    <w:rsid w:val="000D3857"/>
    <w:rsid w:val="000D3A8D"/>
    <w:rsid w:val="000D3EC9"/>
    <w:rsid w:val="000D42E5"/>
    <w:rsid w:val="000D4A51"/>
    <w:rsid w:val="000D5885"/>
    <w:rsid w:val="000D59E1"/>
    <w:rsid w:val="000D69DD"/>
    <w:rsid w:val="000E0241"/>
    <w:rsid w:val="000E1384"/>
    <w:rsid w:val="000E2404"/>
    <w:rsid w:val="000E24E6"/>
    <w:rsid w:val="000E25BB"/>
    <w:rsid w:val="000E2FBB"/>
    <w:rsid w:val="000E377C"/>
    <w:rsid w:val="000E38BB"/>
    <w:rsid w:val="000E63EE"/>
    <w:rsid w:val="000E6B1B"/>
    <w:rsid w:val="000F0770"/>
    <w:rsid w:val="000F206B"/>
    <w:rsid w:val="000F233A"/>
    <w:rsid w:val="000F3B5D"/>
    <w:rsid w:val="000F3D06"/>
    <w:rsid w:val="000F4276"/>
    <w:rsid w:val="000F49A2"/>
    <w:rsid w:val="000F4E85"/>
    <w:rsid w:val="000F5268"/>
    <w:rsid w:val="000F5846"/>
    <w:rsid w:val="000F5FF7"/>
    <w:rsid w:val="000F6211"/>
    <w:rsid w:val="000F62C5"/>
    <w:rsid w:val="000F7136"/>
    <w:rsid w:val="00100ABC"/>
    <w:rsid w:val="001034D3"/>
    <w:rsid w:val="00103633"/>
    <w:rsid w:val="00103B3F"/>
    <w:rsid w:val="00104645"/>
    <w:rsid w:val="00104762"/>
    <w:rsid w:val="00105338"/>
    <w:rsid w:val="0010537B"/>
    <w:rsid w:val="00105CA0"/>
    <w:rsid w:val="001064B4"/>
    <w:rsid w:val="00107151"/>
    <w:rsid w:val="00107157"/>
    <w:rsid w:val="0011092B"/>
    <w:rsid w:val="00110AE8"/>
    <w:rsid w:val="0011133A"/>
    <w:rsid w:val="00111951"/>
    <w:rsid w:val="001127FB"/>
    <w:rsid w:val="00112BAD"/>
    <w:rsid w:val="00112BAE"/>
    <w:rsid w:val="00113512"/>
    <w:rsid w:val="00113860"/>
    <w:rsid w:val="00113C28"/>
    <w:rsid w:val="00114955"/>
    <w:rsid w:val="001149FA"/>
    <w:rsid w:val="00115646"/>
    <w:rsid w:val="00116850"/>
    <w:rsid w:val="001173FA"/>
    <w:rsid w:val="00117CE8"/>
    <w:rsid w:val="00120A87"/>
    <w:rsid w:val="00121E70"/>
    <w:rsid w:val="00123840"/>
    <w:rsid w:val="00123E92"/>
    <w:rsid w:val="00124F63"/>
    <w:rsid w:val="0012507F"/>
    <w:rsid w:val="00125F9C"/>
    <w:rsid w:val="00127837"/>
    <w:rsid w:val="00131046"/>
    <w:rsid w:val="00131053"/>
    <w:rsid w:val="001317E2"/>
    <w:rsid w:val="0013216D"/>
    <w:rsid w:val="00133E7B"/>
    <w:rsid w:val="00134CC6"/>
    <w:rsid w:val="00134FDC"/>
    <w:rsid w:val="0013720D"/>
    <w:rsid w:val="001373BC"/>
    <w:rsid w:val="00137899"/>
    <w:rsid w:val="001401AA"/>
    <w:rsid w:val="001404FD"/>
    <w:rsid w:val="00140634"/>
    <w:rsid w:val="0014211D"/>
    <w:rsid w:val="00142172"/>
    <w:rsid w:val="001433F4"/>
    <w:rsid w:val="00145180"/>
    <w:rsid w:val="00145B3B"/>
    <w:rsid w:val="00145FB6"/>
    <w:rsid w:val="00146320"/>
    <w:rsid w:val="00146C1F"/>
    <w:rsid w:val="0015062F"/>
    <w:rsid w:val="00151028"/>
    <w:rsid w:val="001512DA"/>
    <w:rsid w:val="0015216D"/>
    <w:rsid w:val="00152CE8"/>
    <w:rsid w:val="00153F25"/>
    <w:rsid w:val="0015532F"/>
    <w:rsid w:val="001605DF"/>
    <w:rsid w:val="0016076E"/>
    <w:rsid w:val="00160D22"/>
    <w:rsid w:val="001612AD"/>
    <w:rsid w:val="001615DC"/>
    <w:rsid w:val="00161CBF"/>
    <w:rsid w:val="00162D83"/>
    <w:rsid w:val="00163839"/>
    <w:rsid w:val="0016428A"/>
    <w:rsid w:val="001648EC"/>
    <w:rsid w:val="00165487"/>
    <w:rsid w:val="001658C9"/>
    <w:rsid w:val="00165EA7"/>
    <w:rsid w:val="00166B4C"/>
    <w:rsid w:val="00166F1B"/>
    <w:rsid w:val="00167709"/>
    <w:rsid w:val="00167F10"/>
    <w:rsid w:val="001705A7"/>
    <w:rsid w:val="00170868"/>
    <w:rsid w:val="001713A5"/>
    <w:rsid w:val="00172245"/>
    <w:rsid w:val="00172A0B"/>
    <w:rsid w:val="001733E3"/>
    <w:rsid w:val="00173951"/>
    <w:rsid w:val="0017486E"/>
    <w:rsid w:val="00174A88"/>
    <w:rsid w:val="0017576F"/>
    <w:rsid w:val="00175E07"/>
    <w:rsid w:val="00175F98"/>
    <w:rsid w:val="00176647"/>
    <w:rsid w:val="00176679"/>
    <w:rsid w:val="0017687B"/>
    <w:rsid w:val="00176C68"/>
    <w:rsid w:val="001774B6"/>
    <w:rsid w:val="0017788B"/>
    <w:rsid w:val="00177934"/>
    <w:rsid w:val="00180170"/>
    <w:rsid w:val="00180249"/>
    <w:rsid w:val="00180721"/>
    <w:rsid w:val="001809D8"/>
    <w:rsid w:val="0018108D"/>
    <w:rsid w:val="00181C5F"/>
    <w:rsid w:val="00182538"/>
    <w:rsid w:val="00182763"/>
    <w:rsid w:val="00182802"/>
    <w:rsid w:val="0018340D"/>
    <w:rsid w:val="00183CA7"/>
    <w:rsid w:val="00184920"/>
    <w:rsid w:val="00185018"/>
    <w:rsid w:val="00185679"/>
    <w:rsid w:val="001856CF"/>
    <w:rsid w:val="00190058"/>
    <w:rsid w:val="00190209"/>
    <w:rsid w:val="001902BF"/>
    <w:rsid w:val="00191188"/>
    <w:rsid w:val="00191528"/>
    <w:rsid w:val="001915B7"/>
    <w:rsid w:val="00193C4F"/>
    <w:rsid w:val="0019406B"/>
    <w:rsid w:val="00194D4F"/>
    <w:rsid w:val="0019508E"/>
    <w:rsid w:val="00195692"/>
    <w:rsid w:val="0019634D"/>
    <w:rsid w:val="00196760"/>
    <w:rsid w:val="001A06C3"/>
    <w:rsid w:val="001A0801"/>
    <w:rsid w:val="001A0AB9"/>
    <w:rsid w:val="001A1483"/>
    <w:rsid w:val="001A1A88"/>
    <w:rsid w:val="001A28EB"/>
    <w:rsid w:val="001A3969"/>
    <w:rsid w:val="001A3FE9"/>
    <w:rsid w:val="001A4398"/>
    <w:rsid w:val="001A4F5B"/>
    <w:rsid w:val="001A5622"/>
    <w:rsid w:val="001A5EB4"/>
    <w:rsid w:val="001A6FC3"/>
    <w:rsid w:val="001A7043"/>
    <w:rsid w:val="001A728A"/>
    <w:rsid w:val="001A77F9"/>
    <w:rsid w:val="001B23E4"/>
    <w:rsid w:val="001B2F98"/>
    <w:rsid w:val="001B3315"/>
    <w:rsid w:val="001B33FA"/>
    <w:rsid w:val="001B3721"/>
    <w:rsid w:val="001B40BB"/>
    <w:rsid w:val="001B4EB4"/>
    <w:rsid w:val="001B580D"/>
    <w:rsid w:val="001B64B9"/>
    <w:rsid w:val="001B6541"/>
    <w:rsid w:val="001B6A33"/>
    <w:rsid w:val="001B6FB1"/>
    <w:rsid w:val="001C033E"/>
    <w:rsid w:val="001C03DB"/>
    <w:rsid w:val="001C0A36"/>
    <w:rsid w:val="001C0F85"/>
    <w:rsid w:val="001C1626"/>
    <w:rsid w:val="001C27B7"/>
    <w:rsid w:val="001C3073"/>
    <w:rsid w:val="001C3B40"/>
    <w:rsid w:val="001C3C28"/>
    <w:rsid w:val="001C41C3"/>
    <w:rsid w:val="001C4834"/>
    <w:rsid w:val="001C4893"/>
    <w:rsid w:val="001C48A9"/>
    <w:rsid w:val="001C4A87"/>
    <w:rsid w:val="001C4E29"/>
    <w:rsid w:val="001C5811"/>
    <w:rsid w:val="001C6083"/>
    <w:rsid w:val="001C62D8"/>
    <w:rsid w:val="001C6929"/>
    <w:rsid w:val="001C6940"/>
    <w:rsid w:val="001D0F78"/>
    <w:rsid w:val="001D1D4F"/>
    <w:rsid w:val="001D2BDC"/>
    <w:rsid w:val="001D2C6B"/>
    <w:rsid w:val="001D3194"/>
    <w:rsid w:val="001D372E"/>
    <w:rsid w:val="001D3C25"/>
    <w:rsid w:val="001D4E62"/>
    <w:rsid w:val="001D545C"/>
    <w:rsid w:val="001D5C0A"/>
    <w:rsid w:val="001D5DD8"/>
    <w:rsid w:val="001D5EE1"/>
    <w:rsid w:val="001D5F7D"/>
    <w:rsid w:val="001D603B"/>
    <w:rsid w:val="001D6953"/>
    <w:rsid w:val="001D71A7"/>
    <w:rsid w:val="001D7A30"/>
    <w:rsid w:val="001E0155"/>
    <w:rsid w:val="001E0228"/>
    <w:rsid w:val="001E0AA8"/>
    <w:rsid w:val="001E0B8D"/>
    <w:rsid w:val="001E0FC0"/>
    <w:rsid w:val="001E10E7"/>
    <w:rsid w:val="001E1267"/>
    <w:rsid w:val="001E1815"/>
    <w:rsid w:val="001E260E"/>
    <w:rsid w:val="001E2B3B"/>
    <w:rsid w:val="001E323F"/>
    <w:rsid w:val="001E346C"/>
    <w:rsid w:val="001E36F1"/>
    <w:rsid w:val="001E4798"/>
    <w:rsid w:val="001E4B15"/>
    <w:rsid w:val="001E4D90"/>
    <w:rsid w:val="001E50E0"/>
    <w:rsid w:val="001E5434"/>
    <w:rsid w:val="001E571D"/>
    <w:rsid w:val="001E5934"/>
    <w:rsid w:val="001E5EB0"/>
    <w:rsid w:val="001E62CB"/>
    <w:rsid w:val="001E657C"/>
    <w:rsid w:val="001E73FF"/>
    <w:rsid w:val="001F1280"/>
    <w:rsid w:val="001F1F36"/>
    <w:rsid w:val="001F24EB"/>
    <w:rsid w:val="001F2692"/>
    <w:rsid w:val="001F26E2"/>
    <w:rsid w:val="001F2991"/>
    <w:rsid w:val="001F4CB4"/>
    <w:rsid w:val="001F4E56"/>
    <w:rsid w:val="001F5C6B"/>
    <w:rsid w:val="001F5E46"/>
    <w:rsid w:val="001F6BC5"/>
    <w:rsid w:val="0020017D"/>
    <w:rsid w:val="0020027D"/>
    <w:rsid w:val="0020049A"/>
    <w:rsid w:val="002007CB"/>
    <w:rsid w:val="00200F45"/>
    <w:rsid w:val="00201157"/>
    <w:rsid w:val="00201BE5"/>
    <w:rsid w:val="00201D81"/>
    <w:rsid w:val="00202811"/>
    <w:rsid w:val="00202A17"/>
    <w:rsid w:val="00203B43"/>
    <w:rsid w:val="00203B71"/>
    <w:rsid w:val="0020405D"/>
    <w:rsid w:val="002044B4"/>
    <w:rsid w:val="00204591"/>
    <w:rsid w:val="00204F8B"/>
    <w:rsid w:val="00205227"/>
    <w:rsid w:val="00207534"/>
    <w:rsid w:val="00207920"/>
    <w:rsid w:val="00207AB7"/>
    <w:rsid w:val="00210034"/>
    <w:rsid w:val="00210FF5"/>
    <w:rsid w:val="002111D1"/>
    <w:rsid w:val="00211F18"/>
    <w:rsid w:val="002124C0"/>
    <w:rsid w:val="00216723"/>
    <w:rsid w:val="002172C9"/>
    <w:rsid w:val="00217C7E"/>
    <w:rsid w:val="002206AC"/>
    <w:rsid w:val="00220B79"/>
    <w:rsid w:val="00221205"/>
    <w:rsid w:val="00221412"/>
    <w:rsid w:val="0022148A"/>
    <w:rsid w:val="0022151D"/>
    <w:rsid w:val="00221660"/>
    <w:rsid w:val="00221E19"/>
    <w:rsid w:val="00222947"/>
    <w:rsid w:val="002236F9"/>
    <w:rsid w:val="0022382F"/>
    <w:rsid w:val="0022388A"/>
    <w:rsid w:val="00226632"/>
    <w:rsid w:val="00226794"/>
    <w:rsid w:val="00226CC3"/>
    <w:rsid w:val="002275D4"/>
    <w:rsid w:val="00227709"/>
    <w:rsid w:val="00231D80"/>
    <w:rsid w:val="00232FC4"/>
    <w:rsid w:val="00233BD2"/>
    <w:rsid w:val="002341FF"/>
    <w:rsid w:val="002344D0"/>
    <w:rsid w:val="002345E1"/>
    <w:rsid w:val="0023550E"/>
    <w:rsid w:val="00236717"/>
    <w:rsid w:val="00236E4B"/>
    <w:rsid w:val="00237F15"/>
    <w:rsid w:val="00240D8E"/>
    <w:rsid w:val="00241BE6"/>
    <w:rsid w:val="0024343D"/>
    <w:rsid w:val="0024480D"/>
    <w:rsid w:val="00244CDE"/>
    <w:rsid w:val="0024643D"/>
    <w:rsid w:val="002468CC"/>
    <w:rsid w:val="00246BA0"/>
    <w:rsid w:val="00246C2A"/>
    <w:rsid w:val="00246C93"/>
    <w:rsid w:val="0025076B"/>
    <w:rsid w:val="00250FB5"/>
    <w:rsid w:val="002519B4"/>
    <w:rsid w:val="00251B05"/>
    <w:rsid w:val="002520E2"/>
    <w:rsid w:val="002522F3"/>
    <w:rsid w:val="00252BC5"/>
    <w:rsid w:val="00252EF3"/>
    <w:rsid w:val="002530EA"/>
    <w:rsid w:val="00253E23"/>
    <w:rsid w:val="0025436D"/>
    <w:rsid w:val="00255A73"/>
    <w:rsid w:val="002560FA"/>
    <w:rsid w:val="00256963"/>
    <w:rsid w:val="00256AD1"/>
    <w:rsid w:val="0025701E"/>
    <w:rsid w:val="0025767B"/>
    <w:rsid w:val="002579F7"/>
    <w:rsid w:val="002607DA"/>
    <w:rsid w:val="00260CE0"/>
    <w:rsid w:val="00260E2F"/>
    <w:rsid w:val="00260F42"/>
    <w:rsid w:val="0026134C"/>
    <w:rsid w:val="002633D4"/>
    <w:rsid w:val="002644B7"/>
    <w:rsid w:val="002649EC"/>
    <w:rsid w:val="002652D4"/>
    <w:rsid w:val="00265560"/>
    <w:rsid w:val="00265795"/>
    <w:rsid w:val="002659E4"/>
    <w:rsid w:val="00266D08"/>
    <w:rsid w:val="0026759D"/>
    <w:rsid w:val="00271472"/>
    <w:rsid w:val="002715D7"/>
    <w:rsid w:val="00271AD8"/>
    <w:rsid w:val="00271D92"/>
    <w:rsid w:val="002727B6"/>
    <w:rsid w:val="00272FE2"/>
    <w:rsid w:val="00273356"/>
    <w:rsid w:val="00273A15"/>
    <w:rsid w:val="00274652"/>
    <w:rsid w:val="00274D3D"/>
    <w:rsid w:val="002750B0"/>
    <w:rsid w:val="00276265"/>
    <w:rsid w:val="00276A00"/>
    <w:rsid w:val="00276B02"/>
    <w:rsid w:val="002770AC"/>
    <w:rsid w:val="00281778"/>
    <w:rsid w:val="0028296B"/>
    <w:rsid w:val="00283683"/>
    <w:rsid w:val="00283BAE"/>
    <w:rsid w:val="00283F16"/>
    <w:rsid w:val="0028426C"/>
    <w:rsid w:val="002859B7"/>
    <w:rsid w:val="00286042"/>
    <w:rsid w:val="00286183"/>
    <w:rsid w:val="00287839"/>
    <w:rsid w:val="0029150D"/>
    <w:rsid w:val="00291A1D"/>
    <w:rsid w:val="00292959"/>
    <w:rsid w:val="00292C3D"/>
    <w:rsid w:val="00293122"/>
    <w:rsid w:val="00293411"/>
    <w:rsid w:val="00293720"/>
    <w:rsid w:val="002974E5"/>
    <w:rsid w:val="00297E6D"/>
    <w:rsid w:val="002A073F"/>
    <w:rsid w:val="002A18A0"/>
    <w:rsid w:val="002A1F60"/>
    <w:rsid w:val="002A23BC"/>
    <w:rsid w:val="002A3768"/>
    <w:rsid w:val="002A37DA"/>
    <w:rsid w:val="002A4117"/>
    <w:rsid w:val="002A521F"/>
    <w:rsid w:val="002A581B"/>
    <w:rsid w:val="002A6A96"/>
    <w:rsid w:val="002A70DC"/>
    <w:rsid w:val="002A72BF"/>
    <w:rsid w:val="002A7616"/>
    <w:rsid w:val="002B006A"/>
    <w:rsid w:val="002B0DF1"/>
    <w:rsid w:val="002B11E3"/>
    <w:rsid w:val="002B1AFB"/>
    <w:rsid w:val="002B1B85"/>
    <w:rsid w:val="002B2B74"/>
    <w:rsid w:val="002B3478"/>
    <w:rsid w:val="002B3FB5"/>
    <w:rsid w:val="002B691B"/>
    <w:rsid w:val="002B71F5"/>
    <w:rsid w:val="002B7582"/>
    <w:rsid w:val="002B773F"/>
    <w:rsid w:val="002B7785"/>
    <w:rsid w:val="002C006F"/>
    <w:rsid w:val="002C0C8B"/>
    <w:rsid w:val="002C1298"/>
    <w:rsid w:val="002C169F"/>
    <w:rsid w:val="002C3FC2"/>
    <w:rsid w:val="002C43D9"/>
    <w:rsid w:val="002C529E"/>
    <w:rsid w:val="002C6784"/>
    <w:rsid w:val="002C750B"/>
    <w:rsid w:val="002C7AE9"/>
    <w:rsid w:val="002D03B7"/>
    <w:rsid w:val="002D0D7B"/>
    <w:rsid w:val="002D13FB"/>
    <w:rsid w:val="002D2099"/>
    <w:rsid w:val="002D24BB"/>
    <w:rsid w:val="002D2DF8"/>
    <w:rsid w:val="002D2E3E"/>
    <w:rsid w:val="002D316E"/>
    <w:rsid w:val="002D3936"/>
    <w:rsid w:val="002D4924"/>
    <w:rsid w:val="002D55D2"/>
    <w:rsid w:val="002D5BA2"/>
    <w:rsid w:val="002D5C1D"/>
    <w:rsid w:val="002D5E12"/>
    <w:rsid w:val="002D607F"/>
    <w:rsid w:val="002D66C0"/>
    <w:rsid w:val="002D6893"/>
    <w:rsid w:val="002D77BC"/>
    <w:rsid w:val="002E044F"/>
    <w:rsid w:val="002E0A28"/>
    <w:rsid w:val="002E0C74"/>
    <w:rsid w:val="002E1F74"/>
    <w:rsid w:val="002E20EF"/>
    <w:rsid w:val="002E2A06"/>
    <w:rsid w:val="002E2C0A"/>
    <w:rsid w:val="002E2F0A"/>
    <w:rsid w:val="002E3502"/>
    <w:rsid w:val="002E36CF"/>
    <w:rsid w:val="002E3C18"/>
    <w:rsid w:val="002E46DC"/>
    <w:rsid w:val="002E4BEF"/>
    <w:rsid w:val="002E4D45"/>
    <w:rsid w:val="002E53C4"/>
    <w:rsid w:val="002E6AD5"/>
    <w:rsid w:val="002E6E64"/>
    <w:rsid w:val="002E7B06"/>
    <w:rsid w:val="002F0B25"/>
    <w:rsid w:val="002F1234"/>
    <w:rsid w:val="002F1685"/>
    <w:rsid w:val="002F3541"/>
    <w:rsid w:val="002F38E8"/>
    <w:rsid w:val="002F427A"/>
    <w:rsid w:val="002F5CBC"/>
    <w:rsid w:val="002F65DE"/>
    <w:rsid w:val="002F6EEA"/>
    <w:rsid w:val="003002B1"/>
    <w:rsid w:val="0030079E"/>
    <w:rsid w:val="00302A3A"/>
    <w:rsid w:val="00302EFF"/>
    <w:rsid w:val="00303E0A"/>
    <w:rsid w:val="00304C84"/>
    <w:rsid w:val="00305183"/>
    <w:rsid w:val="003054F5"/>
    <w:rsid w:val="00305FE0"/>
    <w:rsid w:val="00306371"/>
    <w:rsid w:val="003063C1"/>
    <w:rsid w:val="0030679C"/>
    <w:rsid w:val="00306D14"/>
    <w:rsid w:val="00306FA2"/>
    <w:rsid w:val="00307897"/>
    <w:rsid w:val="00307DF4"/>
    <w:rsid w:val="00310A92"/>
    <w:rsid w:val="00312620"/>
    <w:rsid w:val="00313026"/>
    <w:rsid w:val="003138D0"/>
    <w:rsid w:val="00313B32"/>
    <w:rsid w:val="00315490"/>
    <w:rsid w:val="003155BC"/>
    <w:rsid w:val="003157E8"/>
    <w:rsid w:val="00315BAC"/>
    <w:rsid w:val="00316310"/>
    <w:rsid w:val="00316495"/>
    <w:rsid w:val="003165C7"/>
    <w:rsid w:val="00316CB8"/>
    <w:rsid w:val="00317133"/>
    <w:rsid w:val="00317615"/>
    <w:rsid w:val="00320C34"/>
    <w:rsid w:val="003214A7"/>
    <w:rsid w:val="00321565"/>
    <w:rsid w:val="00321678"/>
    <w:rsid w:val="00321844"/>
    <w:rsid w:val="003219AA"/>
    <w:rsid w:val="00321C12"/>
    <w:rsid w:val="00322148"/>
    <w:rsid w:val="003225D4"/>
    <w:rsid w:val="003232AC"/>
    <w:rsid w:val="0032339C"/>
    <w:rsid w:val="003237BB"/>
    <w:rsid w:val="00323C30"/>
    <w:rsid w:val="00323E1B"/>
    <w:rsid w:val="0032420F"/>
    <w:rsid w:val="0032458A"/>
    <w:rsid w:val="003252BF"/>
    <w:rsid w:val="003259BE"/>
    <w:rsid w:val="003275E5"/>
    <w:rsid w:val="00327B23"/>
    <w:rsid w:val="00327E0D"/>
    <w:rsid w:val="003317F1"/>
    <w:rsid w:val="00331CA1"/>
    <w:rsid w:val="00331E5D"/>
    <w:rsid w:val="00332715"/>
    <w:rsid w:val="00332924"/>
    <w:rsid w:val="00332B5C"/>
    <w:rsid w:val="0033325E"/>
    <w:rsid w:val="0033383E"/>
    <w:rsid w:val="00334BA4"/>
    <w:rsid w:val="003356CA"/>
    <w:rsid w:val="003359B7"/>
    <w:rsid w:val="00335A1D"/>
    <w:rsid w:val="00335DBF"/>
    <w:rsid w:val="00337923"/>
    <w:rsid w:val="00337B0F"/>
    <w:rsid w:val="00337CFE"/>
    <w:rsid w:val="003402C4"/>
    <w:rsid w:val="00340AAF"/>
    <w:rsid w:val="003413B7"/>
    <w:rsid w:val="00341A2A"/>
    <w:rsid w:val="003428AB"/>
    <w:rsid w:val="00343C2F"/>
    <w:rsid w:val="00343EC6"/>
    <w:rsid w:val="003446A5"/>
    <w:rsid w:val="003446F8"/>
    <w:rsid w:val="00344850"/>
    <w:rsid w:val="00344B46"/>
    <w:rsid w:val="00344CC3"/>
    <w:rsid w:val="00344D2D"/>
    <w:rsid w:val="00345FF3"/>
    <w:rsid w:val="00346A29"/>
    <w:rsid w:val="003472DB"/>
    <w:rsid w:val="00347621"/>
    <w:rsid w:val="00347D9C"/>
    <w:rsid w:val="00347DEC"/>
    <w:rsid w:val="003510CA"/>
    <w:rsid w:val="00351290"/>
    <w:rsid w:val="003519A8"/>
    <w:rsid w:val="00351ED8"/>
    <w:rsid w:val="00352343"/>
    <w:rsid w:val="00352B7B"/>
    <w:rsid w:val="00352C29"/>
    <w:rsid w:val="00353E16"/>
    <w:rsid w:val="0035471E"/>
    <w:rsid w:val="0035568A"/>
    <w:rsid w:val="00355D08"/>
    <w:rsid w:val="003572A5"/>
    <w:rsid w:val="003576CB"/>
    <w:rsid w:val="00357834"/>
    <w:rsid w:val="00357B67"/>
    <w:rsid w:val="003601B3"/>
    <w:rsid w:val="00360570"/>
    <w:rsid w:val="0036185F"/>
    <w:rsid w:val="003625B4"/>
    <w:rsid w:val="00362AB1"/>
    <w:rsid w:val="003637C3"/>
    <w:rsid w:val="003643B0"/>
    <w:rsid w:val="0036450C"/>
    <w:rsid w:val="00364534"/>
    <w:rsid w:val="00364F5B"/>
    <w:rsid w:val="0036568E"/>
    <w:rsid w:val="00366133"/>
    <w:rsid w:val="003679B7"/>
    <w:rsid w:val="00367ED3"/>
    <w:rsid w:val="00370F37"/>
    <w:rsid w:val="003711DC"/>
    <w:rsid w:val="003716DC"/>
    <w:rsid w:val="003716FD"/>
    <w:rsid w:val="0037282F"/>
    <w:rsid w:val="0037288E"/>
    <w:rsid w:val="00372A5B"/>
    <w:rsid w:val="0037347C"/>
    <w:rsid w:val="00373E49"/>
    <w:rsid w:val="0037495F"/>
    <w:rsid w:val="00374BA2"/>
    <w:rsid w:val="003757A1"/>
    <w:rsid w:val="00375EC3"/>
    <w:rsid w:val="003766E7"/>
    <w:rsid w:val="0037725D"/>
    <w:rsid w:val="00377C86"/>
    <w:rsid w:val="00377CAD"/>
    <w:rsid w:val="00380A92"/>
    <w:rsid w:val="00381DD6"/>
    <w:rsid w:val="00382296"/>
    <w:rsid w:val="00382836"/>
    <w:rsid w:val="00384018"/>
    <w:rsid w:val="0038530F"/>
    <w:rsid w:val="003856D3"/>
    <w:rsid w:val="00385BF7"/>
    <w:rsid w:val="00385F84"/>
    <w:rsid w:val="00386207"/>
    <w:rsid w:val="00386652"/>
    <w:rsid w:val="0038688E"/>
    <w:rsid w:val="00386CA0"/>
    <w:rsid w:val="00390C6B"/>
    <w:rsid w:val="003929A3"/>
    <w:rsid w:val="00392B6B"/>
    <w:rsid w:val="00392BC0"/>
    <w:rsid w:val="003932D3"/>
    <w:rsid w:val="003934FE"/>
    <w:rsid w:val="00393F73"/>
    <w:rsid w:val="003955F4"/>
    <w:rsid w:val="003966BB"/>
    <w:rsid w:val="003966E2"/>
    <w:rsid w:val="00396F49"/>
    <w:rsid w:val="00397899"/>
    <w:rsid w:val="003A0AB8"/>
    <w:rsid w:val="003A1404"/>
    <w:rsid w:val="003A145F"/>
    <w:rsid w:val="003A18E1"/>
    <w:rsid w:val="003A33F7"/>
    <w:rsid w:val="003A34A3"/>
    <w:rsid w:val="003A3A30"/>
    <w:rsid w:val="003A575F"/>
    <w:rsid w:val="003A58EF"/>
    <w:rsid w:val="003A7416"/>
    <w:rsid w:val="003A75DB"/>
    <w:rsid w:val="003A79E5"/>
    <w:rsid w:val="003A7FC7"/>
    <w:rsid w:val="003B0509"/>
    <w:rsid w:val="003B0BE2"/>
    <w:rsid w:val="003B10D4"/>
    <w:rsid w:val="003B1391"/>
    <w:rsid w:val="003B1C55"/>
    <w:rsid w:val="003B3A0D"/>
    <w:rsid w:val="003B4291"/>
    <w:rsid w:val="003B5072"/>
    <w:rsid w:val="003B53CB"/>
    <w:rsid w:val="003B631A"/>
    <w:rsid w:val="003B6C69"/>
    <w:rsid w:val="003B6C7B"/>
    <w:rsid w:val="003B6CF4"/>
    <w:rsid w:val="003C09A5"/>
    <w:rsid w:val="003C19A6"/>
    <w:rsid w:val="003C20E0"/>
    <w:rsid w:val="003C28DA"/>
    <w:rsid w:val="003C2E9A"/>
    <w:rsid w:val="003C39DC"/>
    <w:rsid w:val="003C427C"/>
    <w:rsid w:val="003C5718"/>
    <w:rsid w:val="003C633D"/>
    <w:rsid w:val="003C65BC"/>
    <w:rsid w:val="003C705C"/>
    <w:rsid w:val="003C752E"/>
    <w:rsid w:val="003D0582"/>
    <w:rsid w:val="003D0898"/>
    <w:rsid w:val="003D12D5"/>
    <w:rsid w:val="003D15D0"/>
    <w:rsid w:val="003D1891"/>
    <w:rsid w:val="003D1FAC"/>
    <w:rsid w:val="003D2669"/>
    <w:rsid w:val="003D2C15"/>
    <w:rsid w:val="003D4E30"/>
    <w:rsid w:val="003D5E56"/>
    <w:rsid w:val="003D68BD"/>
    <w:rsid w:val="003D6978"/>
    <w:rsid w:val="003E118D"/>
    <w:rsid w:val="003E14A0"/>
    <w:rsid w:val="003E14A6"/>
    <w:rsid w:val="003E2263"/>
    <w:rsid w:val="003E3383"/>
    <w:rsid w:val="003E4027"/>
    <w:rsid w:val="003E4406"/>
    <w:rsid w:val="003E4429"/>
    <w:rsid w:val="003E46B1"/>
    <w:rsid w:val="003E48A5"/>
    <w:rsid w:val="003E5182"/>
    <w:rsid w:val="003E52E2"/>
    <w:rsid w:val="003E6270"/>
    <w:rsid w:val="003E6D78"/>
    <w:rsid w:val="003E6FC6"/>
    <w:rsid w:val="003F09C5"/>
    <w:rsid w:val="003F1CA5"/>
    <w:rsid w:val="003F1D00"/>
    <w:rsid w:val="003F247B"/>
    <w:rsid w:val="003F3444"/>
    <w:rsid w:val="003F4784"/>
    <w:rsid w:val="003F5725"/>
    <w:rsid w:val="003F6078"/>
    <w:rsid w:val="00400895"/>
    <w:rsid w:val="00400E15"/>
    <w:rsid w:val="004018D4"/>
    <w:rsid w:val="004029F5"/>
    <w:rsid w:val="00403B6A"/>
    <w:rsid w:val="00404078"/>
    <w:rsid w:val="00404355"/>
    <w:rsid w:val="0040501C"/>
    <w:rsid w:val="0040525B"/>
    <w:rsid w:val="0040570A"/>
    <w:rsid w:val="00405AD2"/>
    <w:rsid w:val="0040636C"/>
    <w:rsid w:val="00407E43"/>
    <w:rsid w:val="004109C3"/>
    <w:rsid w:val="00410F0C"/>
    <w:rsid w:val="00411B10"/>
    <w:rsid w:val="00411B71"/>
    <w:rsid w:val="0041237E"/>
    <w:rsid w:val="0041490D"/>
    <w:rsid w:val="00414A48"/>
    <w:rsid w:val="00415800"/>
    <w:rsid w:val="00415817"/>
    <w:rsid w:val="00416152"/>
    <w:rsid w:val="00416492"/>
    <w:rsid w:val="00416F5B"/>
    <w:rsid w:val="004175D6"/>
    <w:rsid w:val="00417768"/>
    <w:rsid w:val="0041784A"/>
    <w:rsid w:val="00417A0E"/>
    <w:rsid w:val="00420351"/>
    <w:rsid w:val="0042073F"/>
    <w:rsid w:val="004209E4"/>
    <w:rsid w:val="0042162F"/>
    <w:rsid w:val="0042163B"/>
    <w:rsid w:val="004216A8"/>
    <w:rsid w:val="00422309"/>
    <w:rsid w:val="0042304B"/>
    <w:rsid w:val="004230B3"/>
    <w:rsid w:val="00423395"/>
    <w:rsid w:val="004235EB"/>
    <w:rsid w:val="004253E7"/>
    <w:rsid w:val="00425C51"/>
    <w:rsid w:val="00426450"/>
    <w:rsid w:val="00426751"/>
    <w:rsid w:val="00427558"/>
    <w:rsid w:val="00427D46"/>
    <w:rsid w:val="004304E6"/>
    <w:rsid w:val="004306B9"/>
    <w:rsid w:val="00431196"/>
    <w:rsid w:val="00431E30"/>
    <w:rsid w:val="0043213A"/>
    <w:rsid w:val="00432317"/>
    <w:rsid w:val="00432519"/>
    <w:rsid w:val="00433F39"/>
    <w:rsid w:val="0043417D"/>
    <w:rsid w:val="00435C58"/>
    <w:rsid w:val="00435ED9"/>
    <w:rsid w:val="00435F4E"/>
    <w:rsid w:val="00436013"/>
    <w:rsid w:val="004360E0"/>
    <w:rsid w:val="00436FA6"/>
    <w:rsid w:val="004371C2"/>
    <w:rsid w:val="00437DA9"/>
    <w:rsid w:val="00441052"/>
    <w:rsid w:val="00441AB4"/>
    <w:rsid w:val="00441E5E"/>
    <w:rsid w:val="004423D4"/>
    <w:rsid w:val="0044369D"/>
    <w:rsid w:val="00444134"/>
    <w:rsid w:val="004444E5"/>
    <w:rsid w:val="0044466B"/>
    <w:rsid w:val="00444D6E"/>
    <w:rsid w:val="00444F0B"/>
    <w:rsid w:val="00446271"/>
    <w:rsid w:val="004516BA"/>
    <w:rsid w:val="00451A90"/>
    <w:rsid w:val="00452B51"/>
    <w:rsid w:val="00453079"/>
    <w:rsid w:val="004533EB"/>
    <w:rsid w:val="004539A3"/>
    <w:rsid w:val="004544CF"/>
    <w:rsid w:val="004546EF"/>
    <w:rsid w:val="004553F5"/>
    <w:rsid w:val="00455880"/>
    <w:rsid w:val="00455917"/>
    <w:rsid w:val="00455AA6"/>
    <w:rsid w:val="00455BC2"/>
    <w:rsid w:val="00456541"/>
    <w:rsid w:val="00457564"/>
    <w:rsid w:val="004601B5"/>
    <w:rsid w:val="0046175D"/>
    <w:rsid w:val="00461D47"/>
    <w:rsid w:val="00462317"/>
    <w:rsid w:val="004628D8"/>
    <w:rsid w:val="004632D2"/>
    <w:rsid w:val="00463322"/>
    <w:rsid w:val="004638A7"/>
    <w:rsid w:val="00464115"/>
    <w:rsid w:val="004642EB"/>
    <w:rsid w:val="00464491"/>
    <w:rsid w:val="00464823"/>
    <w:rsid w:val="00465375"/>
    <w:rsid w:val="00465D06"/>
    <w:rsid w:val="004669CC"/>
    <w:rsid w:val="00466C71"/>
    <w:rsid w:val="00467182"/>
    <w:rsid w:val="0046763E"/>
    <w:rsid w:val="00467EAE"/>
    <w:rsid w:val="004704AD"/>
    <w:rsid w:val="00470C09"/>
    <w:rsid w:val="00472465"/>
    <w:rsid w:val="0047292A"/>
    <w:rsid w:val="00474002"/>
    <w:rsid w:val="004740C1"/>
    <w:rsid w:val="0047416B"/>
    <w:rsid w:val="004769B6"/>
    <w:rsid w:val="00476C32"/>
    <w:rsid w:val="00476C4C"/>
    <w:rsid w:val="00477605"/>
    <w:rsid w:val="0048083A"/>
    <w:rsid w:val="00480A0A"/>
    <w:rsid w:val="00481097"/>
    <w:rsid w:val="00481656"/>
    <w:rsid w:val="0048175D"/>
    <w:rsid w:val="004826EB"/>
    <w:rsid w:val="00483F48"/>
    <w:rsid w:val="00484117"/>
    <w:rsid w:val="00484C11"/>
    <w:rsid w:val="004855AB"/>
    <w:rsid w:val="00485601"/>
    <w:rsid w:val="00485953"/>
    <w:rsid w:val="00485978"/>
    <w:rsid w:val="00486620"/>
    <w:rsid w:val="00486AE4"/>
    <w:rsid w:val="004878D5"/>
    <w:rsid w:val="00490001"/>
    <w:rsid w:val="00490AC6"/>
    <w:rsid w:val="004911FC"/>
    <w:rsid w:val="00491B41"/>
    <w:rsid w:val="00491C64"/>
    <w:rsid w:val="00492435"/>
    <w:rsid w:val="00493112"/>
    <w:rsid w:val="00494185"/>
    <w:rsid w:val="004943F2"/>
    <w:rsid w:val="004954FC"/>
    <w:rsid w:val="004979D2"/>
    <w:rsid w:val="004A5600"/>
    <w:rsid w:val="004A59B2"/>
    <w:rsid w:val="004A6DE9"/>
    <w:rsid w:val="004B0C74"/>
    <w:rsid w:val="004B10E7"/>
    <w:rsid w:val="004B3AA6"/>
    <w:rsid w:val="004B3AF8"/>
    <w:rsid w:val="004B4A3E"/>
    <w:rsid w:val="004B4E59"/>
    <w:rsid w:val="004B5010"/>
    <w:rsid w:val="004B58DB"/>
    <w:rsid w:val="004B5E2F"/>
    <w:rsid w:val="004B68DB"/>
    <w:rsid w:val="004B7261"/>
    <w:rsid w:val="004B77FC"/>
    <w:rsid w:val="004B798F"/>
    <w:rsid w:val="004C09EE"/>
    <w:rsid w:val="004C0A53"/>
    <w:rsid w:val="004C153B"/>
    <w:rsid w:val="004C157E"/>
    <w:rsid w:val="004C171F"/>
    <w:rsid w:val="004C1995"/>
    <w:rsid w:val="004C1AC2"/>
    <w:rsid w:val="004C1CC8"/>
    <w:rsid w:val="004C26C1"/>
    <w:rsid w:val="004C2863"/>
    <w:rsid w:val="004C2B52"/>
    <w:rsid w:val="004C36A2"/>
    <w:rsid w:val="004C3EA0"/>
    <w:rsid w:val="004C4668"/>
    <w:rsid w:val="004C4B9C"/>
    <w:rsid w:val="004C4D62"/>
    <w:rsid w:val="004C5032"/>
    <w:rsid w:val="004C510F"/>
    <w:rsid w:val="004C7535"/>
    <w:rsid w:val="004D0AF2"/>
    <w:rsid w:val="004D1CFC"/>
    <w:rsid w:val="004D1FF9"/>
    <w:rsid w:val="004D24B2"/>
    <w:rsid w:val="004D24C5"/>
    <w:rsid w:val="004D3672"/>
    <w:rsid w:val="004D461F"/>
    <w:rsid w:val="004D566F"/>
    <w:rsid w:val="004D60B6"/>
    <w:rsid w:val="004D6B34"/>
    <w:rsid w:val="004D6F77"/>
    <w:rsid w:val="004E12E2"/>
    <w:rsid w:val="004E1363"/>
    <w:rsid w:val="004E182F"/>
    <w:rsid w:val="004E2C2A"/>
    <w:rsid w:val="004E2FD6"/>
    <w:rsid w:val="004E33A6"/>
    <w:rsid w:val="004E3B37"/>
    <w:rsid w:val="004E3BD6"/>
    <w:rsid w:val="004E3C79"/>
    <w:rsid w:val="004E3D61"/>
    <w:rsid w:val="004E4DF7"/>
    <w:rsid w:val="004E513B"/>
    <w:rsid w:val="004E5150"/>
    <w:rsid w:val="004E518C"/>
    <w:rsid w:val="004E5E5D"/>
    <w:rsid w:val="004E725B"/>
    <w:rsid w:val="004E7640"/>
    <w:rsid w:val="004E7679"/>
    <w:rsid w:val="004E7816"/>
    <w:rsid w:val="004E79D5"/>
    <w:rsid w:val="004E7AD0"/>
    <w:rsid w:val="004E7D97"/>
    <w:rsid w:val="004F0460"/>
    <w:rsid w:val="004F102D"/>
    <w:rsid w:val="004F1100"/>
    <w:rsid w:val="004F2185"/>
    <w:rsid w:val="004F332E"/>
    <w:rsid w:val="004F338A"/>
    <w:rsid w:val="004F36DD"/>
    <w:rsid w:val="004F3733"/>
    <w:rsid w:val="004F3E32"/>
    <w:rsid w:val="004F46A2"/>
    <w:rsid w:val="004F472E"/>
    <w:rsid w:val="004F4D8C"/>
    <w:rsid w:val="004F530A"/>
    <w:rsid w:val="004F5662"/>
    <w:rsid w:val="004F57F5"/>
    <w:rsid w:val="004F58C1"/>
    <w:rsid w:val="004F6159"/>
    <w:rsid w:val="004F6B24"/>
    <w:rsid w:val="004F7BCC"/>
    <w:rsid w:val="004F7C80"/>
    <w:rsid w:val="004F7DA6"/>
    <w:rsid w:val="004F7DAE"/>
    <w:rsid w:val="004F7DFA"/>
    <w:rsid w:val="00500065"/>
    <w:rsid w:val="0050042C"/>
    <w:rsid w:val="00500B88"/>
    <w:rsid w:val="00500D66"/>
    <w:rsid w:val="00500F05"/>
    <w:rsid w:val="00501295"/>
    <w:rsid w:val="00501647"/>
    <w:rsid w:val="00501A5E"/>
    <w:rsid w:val="0050267C"/>
    <w:rsid w:val="005028B2"/>
    <w:rsid w:val="00502A82"/>
    <w:rsid w:val="00502AF2"/>
    <w:rsid w:val="0050349B"/>
    <w:rsid w:val="00503593"/>
    <w:rsid w:val="005037CB"/>
    <w:rsid w:val="005059E4"/>
    <w:rsid w:val="00505C08"/>
    <w:rsid w:val="005060BD"/>
    <w:rsid w:val="00506AB4"/>
    <w:rsid w:val="00506ACB"/>
    <w:rsid w:val="00506B3E"/>
    <w:rsid w:val="00507C0C"/>
    <w:rsid w:val="005116D8"/>
    <w:rsid w:val="005118EA"/>
    <w:rsid w:val="00511D9B"/>
    <w:rsid w:val="00513442"/>
    <w:rsid w:val="00513925"/>
    <w:rsid w:val="0051412F"/>
    <w:rsid w:val="005150D4"/>
    <w:rsid w:val="00515369"/>
    <w:rsid w:val="00515584"/>
    <w:rsid w:val="005157D1"/>
    <w:rsid w:val="0051582E"/>
    <w:rsid w:val="00515AA5"/>
    <w:rsid w:val="00515B82"/>
    <w:rsid w:val="0051630C"/>
    <w:rsid w:val="0051675F"/>
    <w:rsid w:val="00516842"/>
    <w:rsid w:val="005208DF"/>
    <w:rsid w:val="00521175"/>
    <w:rsid w:val="00522338"/>
    <w:rsid w:val="005229E0"/>
    <w:rsid w:val="00522A10"/>
    <w:rsid w:val="00522AAF"/>
    <w:rsid w:val="00522BBF"/>
    <w:rsid w:val="00523645"/>
    <w:rsid w:val="0052499A"/>
    <w:rsid w:val="00524A30"/>
    <w:rsid w:val="005250E2"/>
    <w:rsid w:val="00525DC1"/>
    <w:rsid w:val="0052698C"/>
    <w:rsid w:val="00526FDF"/>
    <w:rsid w:val="00527C49"/>
    <w:rsid w:val="00530FAA"/>
    <w:rsid w:val="0053221A"/>
    <w:rsid w:val="00532760"/>
    <w:rsid w:val="005339CB"/>
    <w:rsid w:val="00534E73"/>
    <w:rsid w:val="005363CB"/>
    <w:rsid w:val="0053680F"/>
    <w:rsid w:val="00536FE9"/>
    <w:rsid w:val="005375FE"/>
    <w:rsid w:val="005376F3"/>
    <w:rsid w:val="00537B17"/>
    <w:rsid w:val="00537C5E"/>
    <w:rsid w:val="005404F6"/>
    <w:rsid w:val="00540636"/>
    <w:rsid w:val="00540F7F"/>
    <w:rsid w:val="0054283B"/>
    <w:rsid w:val="005428D5"/>
    <w:rsid w:val="00542C71"/>
    <w:rsid w:val="00543D11"/>
    <w:rsid w:val="00545B58"/>
    <w:rsid w:val="00546595"/>
    <w:rsid w:val="005470AA"/>
    <w:rsid w:val="005477CD"/>
    <w:rsid w:val="0054787A"/>
    <w:rsid w:val="00547CA9"/>
    <w:rsid w:val="00547F5F"/>
    <w:rsid w:val="00551F9C"/>
    <w:rsid w:val="00552293"/>
    <w:rsid w:val="00552BB1"/>
    <w:rsid w:val="00553625"/>
    <w:rsid w:val="0055508C"/>
    <w:rsid w:val="005550E9"/>
    <w:rsid w:val="00556303"/>
    <w:rsid w:val="00556D44"/>
    <w:rsid w:val="00560E28"/>
    <w:rsid w:val="00560E30"/>
    <w:rsid w:val="0056138A"/>
    <w:rsid w:val="005619D4"/>
    <w:rsid w:val="00562347"/>
    <w:rsid w:val="0056268F"/>
    <w:rsid w:val="0056283F"/>
    <w:rsid w:val="00563081"/>
    <w:rsid w:val="00563BDF"/>
    <w:rsid w:val="0056415C"/>
    <w:rsid w:val="00565EBA"/>
    <w:rsid w:val="0056629F"/>
    <w:rsid w:val="0056717B"/>
    <w:rsid w:val="005678B7"/>
    <w:rsid w:val="00570027"/>
    <w:rsid w:val="005719D8"/>
    <w:rsid w:val="00571A38"/>
    <w:rsid w:val="005721DE"/>
    <w:rsid w:val="0057360E"/>
    <w:rsid w:val="00573D82"/>
    <w:rsid w:val="00573E70"/>
    <w:rsid w:val="005755C9"/>
    <w:rsid w:val="005767A7"/>
    <w:rsid w:val="00576BB2"/>
    <w:rsid w:val="00577658"/>
    <w:rsid w:val="00577E94"/>
    <w:rsid w:val="00577F5B"/>
    <w:rsid w:val="00580184"/>
    <w:rsid w:val="005804A7"/>
    <w:rsid w:val="00580C93"/>
    <w:rsid w:val="00580FCC"/>
    <w:rsid w:val="0058131B"/>
    <w:rsid w:val="005816EB"/>
    <w:rsid w:val="0058192B"/>
    <w:rsid w:val="00582205"/>
    <w:rsid w:val="005823D3"/>
    <w:rsid w:val="0058261E"/>
    <w:rsid w:val="005830CC"/>
    <w:rsid w:val="0058353B"/>
    <w:rsid w:val="005838DC"/>
    <w:rsid w:val="00583FF2"/>
    <w:rsid w:val="005842EB"/>
    <w:rsid w:val="00584ED5"/>
    <w:rsid w:val="00585292"/>
    <w:rsid w:val="00585EC6"/>
    <w:rsid w:val="005861AC"/>
    <w:rsid w:val="0058642C"/>
    <w:rsid w:val="0058738E"/>
    <w:rsid w:val="005906A4"/>
    <w:rsid w:val="005907E8"/>
    <w:rsid w:val="00591A89"/>
    <w:rsid w:val="00593976"/>
    <w:rsid w:val="0059462D"/>
    <w:rsid w:val="00595836"/>
    <w:rsid w:val="00595DD5"/>
    <w:rsid w:val="0059616D"/>
    <w:rsid w:val="00597004"/>
    <w:rsid w:val="0059729E"/>
    <w:rsid w:val="00597B49"/>
    <w:rsid w:val="005A06AF"/>
    <w:rsid w:val="005A096F"/>
    <w:rsid w:val="005A0B15"/>
    <w:rsid w:val="005A126A"/>
    <w:rsid w:val="005A16CE"/>
    <w:rsid w:val="005A1756"/>
    <w:rsid w:val="005A1822"/>
    <w:rsid w:val="005A1CA9"/>
    <w:rsid w:val="005A375A"/>
    <w:rsid w:val="005A3B43"/>
    <w:rsid w:val="005A4293"/>
    <w:rsid w:val="005A4A7B"/>
    <w:rsid w:val="005A7265"/>
    <w:rsid w:val="005A7EBD"/>
    <w:rsid w:val="005B07CF"/>
    <w:rsid w:val="005B07FB"/>
    <w:rsid w:val="005B0AF8"/>
    <w:rsid w:val="005B0FEF"/>
    <w:rsid w:val="005B1DE0"/>
    <w:rsid w:val="005B2181"/>
    <w:rsid w:val="005B259A"/>
    <w:rsid w:val="005B25CB"/>
    <w:rsid w:val="005B2B84"/>
    <w:rsid w:val="005B3139"/>
    <w:rsid w:val="005B35CD"/>
    <w:rsid w:val="005B3A9D"/>
    <w:rsid w:val="005B4A4A"/>
    <w:rsid w:val="005B5D78"/>
    <w:rsid w:val="005B68FB"/>
    <w:rsid w:val="005B6B86"/>
    <w:rsid w:val="005B7667"/>
    <w:rsid w:val="005C1EB3"/>
    <w:rsid w:val="005C2A12"/>
    <w:rsid w:val="005C31D6"/>
    <w:rsid w:val="005C37CE"/>
    <w:rsid w:val="005C4653"/>
    <w:rsid w:val="005C5A2B"/>
    <w:rsid w:val="005C6B2A"/>
    <w:rsid w:val="005C6CFB"/>
    <w:rsid w:val="005C6F1F"/>
    <w:rsid w:val="005C7FE7"/>
    <w:rsid w:val="005D06C8"/>
    <w:rsid w:val="005D207D"/>
    <w:rsid w:val="005D2660"/>
    <w:rsid w:val="005D3407"/>
    <w:rsid w:val="005D377E"/>
    <w:rsid w:val="005D3B2E"/>
    <w:rsid w:val="005D4A21"/>
    <w:rsid w:val="005D560D"/>
    <w:rsid w:val="005D688D"/>
    <w:rsid w:val="005D6F58"/>
    <w:rsid w:val="005D7CC8"/>
    <w:rsid w:val="005E02E9"/>
    <w:rsid w:val="005E05E3"/>
    <w:rsid w:val="005E0EDE"/>
    <w:rsid w:val="005E25B7"/>
    <w:rsid w:val="005E3C7A"/>
    <w:rsid w:val="005E3E8D"/>
    <w:rsid w:val="005E4167"/>
    <w:rsid w:val="005E45DE"/>
    <w:rsid w:val="005E5A77"/>
    <w:rsid w:val="005E5D4D"/>
    <w:rsid w:val="005E5D59"/>
    <w:rsid w:val="005E6159"/>
    <w:rsid w:val="005E68C4"/>
    <w:rsid w:val="005E7BC0"/>
    <w:rsid w:val="005F0580"/>
    <w:rsid w:val="005F0D67"/>
    <w:rsid w:val="005F10B5"/>
    <w:rsid w:val="005F25DA"/>
    <w:rsid w:val="005F2B42"/>
    <w:rsid w:val="005F310C"/>
    <w:rsid w:val="005F3E9A"/>
    <w:rsid w:val="005F406C"/>
    <w:rsid w:val="005F4997"/>
    <w:rsid w:val="005F4B39"/>
    <w:rsid w:val="005F4C7C"/>
    <w:rsid w:val="005F662F"/>
    <w:rsid w:val="005F7068"/>
    <w:rsid w:val="005F71DB"/>
    <w:rsid w:val="005F7BB5"/>
    <w:rsid w:val="0060106C"/>
    <w:rsid w:val="00601CD4"/>
    <w:rsid w:val="00601FC8"/>
    <w:rsid w:val="00602525"/>
    <w:rsid w:val="00604D11"/>
    <w:rsid w:val="006053BF"/>
    <w:rsid w:val="00605E00"/>
    <w:rsid w:val="00606134"/>
    <w:rsid w:val="0060691B"/>
    <w:rsid w:val="00606CB1"/>
    <w:rsid w:val="00606D59"/>
    <w:rsid w:val="00610568"/>
    <w:rsid w:val="00610EB7"/>
    <w:rsid w:val="00611772"/>
    <w:rsid w:val="00611E69"/>
    <w:rsid w:val="006124F5"/>
    <w:rsid w:val="00612EC4"/>
    <w:rsid w:val="006172B7"/>
    <w:rsid w:val="006203F5"/>
    <w:rsid w:val="006209BE"/>
    <w:rsid w:val="006209DD"/>
    <w:rsid w:val="00620FB2"/>
    <w:rsid w:val="00621917"/>
    <w:rsid w:val="0062298C"/>
    <w:rsid w:val="006232EF"/>
    <w:rsid w:val="00623565"/>
    <w:rsid w:val="00623BD0"/>
    <w:rsid w:val="00623BDA"/>
    <w:rsid w:val="0062444F"/>
    <w:rsid w:val="006256B5"/>
    <w:rsid w:val="00625E64"/>
    <w:rsid w:val="00625FA2"/>
    <w:rsid w:val="00626051"/>
    <w:rsid w:val="006275E6"/>
    <w:rsid w:val="0062790E"/>
    <w:rsid w:val="00630BFD"/>
    <w:rsid w:val="00631838"/>
    <w:rsid w:val="00632272"/>
    <w:rsid w:val="006328B8"/>
    <w:rsid w:val="0063326D"/>
    <w:rsid w:val="00633C7D"/>
    <w:rsid w:val="00634C21"/>
    <w:rsid w:val="00635423"/>
    <w:rsid w:val="006358D0"/>
    <w:rsid w:val="00635C6E"/>
    <w:rsid w:val="006363A1"/>
    <w:rsid w:val="00640EF1"/>
    <w:rsid w:val="006420D3"/>
    <w:rsid w:val="006421D1"/>
    <w:rsid w:val="0064286C"/>
    <w:rsid w:val="00642D87"/>
    <w:rsid w:val="0064354E"/>
    <w:rsid w:val="00644A00"/>
    <w:rsid w:val="00644B9A"/>
    <w:rsid w:val="00645C49"/>
    <w:rsid w:val="00646083"/>
    <w:rsid w:val="006461B9"/>
    <w:rsid w:val="00647090"/>
    <w:rsid w:val="00650C3A"/>
    <w:rsid w:val="00650C65"/>
    <w:rsid w:val="006513CC"/>
    <w:rsid w:val="00651A9E"/>
    <w:rsid w:val="00652014"/>
    <w:rsid w:val="00652119"/>
    <w:rsid w:val="00652884"/>
    <w:rsid w:val="00652C7D"/>
    <w:rsid w:val="006532B4"/>
    <w:rsid w:val="006535ED"/>
    <w:rsid w:val="0065383B"/>
    <w:rsid w:val="0065464E"/>
    <w:rsid w:val="0065580D"/>
    <w:rsid w:val="00655D7C"/>
    <w:rsid w:val="00655EE5"/>
    <w:rsid w:val="00655FDE"/>
    <w:rsid w:val="00656726"/>
    <w:rsid w:val="006568D5"/>
    <w:rsid w:val="00656B0B"/>
    <w:rsid w:val="00656B75"/>
    <w:rsid w:val="00656F25"/>
    <w:rsid w:val="00661180"/>
    <w:rsid w:val="00661B6A"/>
    <w:rsid w:val="00661D2C"/>
    <w:rsid w:val="00661DD9"/>
    <w:rsid w:val="0066212A"/>
    <w:rsid w:val="0066387E"/>
    <w:rsid w:val="006638AA"/>
    <w:rsid w:val="00663B4F"/>
    <w:rsid w:val="00665093"/>
    <w:rsid w:val="0066723E"/>
    <w:rsid w:val="00667A6B"/>
    <w:rsid w:val="00667B6C"/>
    <w:rsid w:val="00667F00"/>
    <w:rsid w:val="00667FEB"/>
    <w:rsid w:val="006700D3"/>
    <w:rsid w:val="006709E3"/>
    <w:rsid w:val="00670DBC"/>
    <w:rsid w:val="00671682"/>
    <w:rsid w:val="0067252F"/>
    <w:rsid w:val="00672E07"/>
    <w:rsid w:val="0067441A"/>
    <w:rsid w:val="0067446F"/>
    <w:rsid w:val="00675C17"/>
    <w:rsid w:val="0067625F"/>
    <w:rsid w:val="006772AF"/>
    <w:rsid w:val="00677F64"/>
    <w:rsid w:val="0068093B"/>
    <w:rsid w:val="00680EEC"/>
    <w:rsid w:val="00681052"/>
    <w:rsid w:val="0068128E"/>
    <w:rsid w:val="00681ABD"/>
    <w:rsid w:val="00681BB6"/>
    <w:rsid w:val="00682737"/>
    <w:rsid w:val="00682F3D"/>
    <w:rsid w:val="0068335A"/>
    <w:rsid w:val="006839DE"/>
    <w:rsid w:val="00683A8A"/>
    <w:rsid w:val="00683DF3"/>
    <w:rsid w:val="00684BC8"/>
    <w:rsid w:val="006853C0"/>
    <w:rsid w:val="006862D3"/>
    <w:rsid w:val="006874A9"/>
    <w:rsid w:val="0068774C"/>
    <w:rsid w:val="0069257A"/>
    <w:rsid w:val="00694304"/>
    <w:rsid w:val="00694C2C"/>
    <w:rsid w:val="006950B9"/>
    <w:rsid w:val="0069521E"/>
    <w:rsid w:val="006965A9"/>
    <w:rsid w:val="00696D32"/>
    <w:rsid w:val="00697893"/>
    <w:rsid w:val="006A0D66"/>
    <w:rsid w:val="006A1A0C"/>
    <w:rsid w:val="006A36FC"/>
    <w:rsid w:val="006A3D5C"/>
    <w:rsid w:val="006A45AA"/>
    <w:rsid w:val="006A527C"/>
    <w:rsid w:val="006A58FE"/>
    <w:rsid w:val="006A6460"/>
    <w:rsid w:val="006A6A5D"/>
    <w:rsid w:val="006A6D00"/>
    <w:rsid w:val="006A7229"/>
    <w:rsid w:val="006A7944"/>
    <w:rsid w:val="006A7E5E"/>
    <w:rsid w:val="006B0D1C"/>
    <w:rsid w:val="006B0F4E"/>
    <w:rsid w:val="006B13A7"/>
    <w:rsid w:val="006B1564"/>
    <w:rsid w:val="006B1807"/>
    <w:rsid w:val="006B28C0"/>
    <w:rsid w:val="006B2E8D"/>
    <w:rsid w:val="006B3FFE"/>
    <w:rsid w:val="006B43EE"/>
    <w:rsid w:val="006B4463"/>
    <w:rsid w:val="006B44BB"/>
    <w:rsid w:val="006B4EEB"/>
    <w:rsid w:val="006B52B5"/>
    <w:rsid w:val="006B55A7"/>
    <w:rsid w:val="006B61F6"/>
    <w:rsid w:val="006B6A05"/>
    <w:rsid w:val="006B6CF6"/>
    <w:rsid w:val="006B6FD4"/>
    <w:rsid w:val="006B7877"/>
    <w:rsid w:val="006C000A"/>
    <w:rsid w:val="006C023C"/>
    <w:rsid w:val="006C13BB"/>
    <w:rsid w:val="006C1AA0"/>
    <w:rsid w:val="006C1CB7"/>
    <w:rsid w:val="006C312D"/>
    <w:rsid w:val="006C3B14"/>
    <w:rsid w:val="006C402E"/>
    <w:rsid w:val="006C4F89"/>
    <w:rsid w:val="006C5049"/>
    <w:rsid w:val="006C551B"/>
    <w:rsid w:val="006C6601"/>
    <w:rsid w:val="006C6678"/>
    <w:rsid w:val="006C6E83"/>
    <w:rsid w:val="006C76F2"/>
    <w:rsid w:val="006C78E2"/>
    <w:rsid w:val="006C7C7C"/>
    <w:rsid w:val="006C7CCE"/>
    <w:rsid w:val="006D0DA8"/>
    <w:rsid w:val="006D0E43"/>
    <w:rsid w:val="006D0F6A"/>
    <w:rsid w:val="006D188E"/>
    <w:rsid w:val="006D2419"/>
    <w:rsid w:val="006D2989"/>
    <w:rsid w:val="006D2ABD"/>
    <w:rsid w:val="006D340F"/>
    <w:rsid w:val="006D3572"/>
    <w:rsid w:val="006D5235"/>
    <w:rsid w:val="006D6495"/>
    <w:rsid w:val="006D663A"/>
    <w:rsid w:val="006E0563"/>
    <w:rsid w:val="006E0573"/>
    <w:rsid w:val="006E0D09"/>
    <w:rsid w:val="006E24A9"/>
    <w:rsid w:val="006E3577"/>
    <w:rsid w:val="006E3E11"/>
    <w:rsid w:val="006E4C92"/>
    <w:rsid w:val="006E4F5B"/>
    <w:rsid w:val="006E5095"/>
    <w:rsid w:val="006E5982"/>
    <w:rsid w:val="006E745B"/>
    <w:rsid w:val="006F09FD"/>
    <w:rsid w:val="006F15A1"/>
    <w:rsid w:val="006F1F2A"/>
    <w:rsid w:val="006F35B8"/>
    <w:rsid w:val="006F45FE"/>
    <w:rsid w:val="006F4A47"/>
    <w:rsid w:val="006F5569"/>
    <w:rsid w:val="006F6487"/>
    <w:rsid w:val="006F65EB"/>
    <w:rsid w:val="006F7421"/>
    <w:rsid w:val="006F74AD"/>
    <w:rsid w:val="006F75A9"/>
    <w:rsid w:val="006F7D55"/>
    <w:rsid w:val="007001CB"/>
    <w:rsid w:val="00700418"/>
    <w:rsid w:val="00700692"/>
    <w:rsid w:val="00701378"/>
    <w:rsid w:val="00701AB8"/>
    <w:rsid w:val="00702940"/>
    <w:rsid w:val="00702C55"/>
    <w:rsid w:val="0070327A"/>
    <w:rsid w:val="00703689"/>
    <w:rsid w:val="0070437E"/>
    <w:rsid w:val="00704E66"/>
    <w:rsid w:val="00705957"/>
    <w:rsid w:val="00706D1A"/>
    <w:rsid w:val="0070733E"/>
    <w:rsid w:val="00711F94"/>
    <w:rsid w:val="007129A3"/>
    <w:rsid w:val="00712EB0"/>
    <w:rsid w:val="0071341B"/>
    <w:rsid w:val="007146CA"/>
    <w:rsid w:val="0071506B"/>
    <w:rsid w:val="00715477"/>
    <w:rsid w:val="00716BC8"/>
    <w:rsid w:val="00716DE7"/>
    <w:rsid w:val="00717187"/>
    <w:rsid w:val="00717A2F"/>
    <w:rsid w:val="00717C61"/>
    <w:rsid w:val="00720545"/>
    <w:rsid w:val="00720B2F"/>
    <w:rsid w:val="00720C55"/>
    <w:rsid w:val="00721006"/>
    <w:rsid w:val="00721461"/>
    <w:rsid w:val="0072176E"/>
    <w:rsid w:val="00721850"/>
    <w:rsid w:val="00722B47"/>
    <w:rsid w:val="00722B97"/>
    <w:rsid w:val="0072301D"/>
    <w:rsid w:val="007233E3"/>
    <w:rsid w:val="007233EB"/>
    <w:rsid w:val="00723B6B"/>
    <w:rsid w:val="0072482A"/>
    <w:rsid w:val="0072670A"/>
    <w:rsid w:val="00726C18"/>
    <w:rsid w:val="007271B3"/>
    <w:rsid w:val="0072733E"/>
    <w:rsid w:val="00727B64"/>
    <w:rsid w:val="00727CAA"/>
    <w:rsid w:val="00730277"/>
    <w:rsid w:val="00730FD2"/>
    <w:rsid w:val="00731803"/>
    <w:rsid w:val="00732173"/>
    <w:rsid w:val="0073271D"/>
    <w:rsid w:val="007328B1"/>
    <w:rsid w:val="00732A83"/>
    <w:rsid w:val="00732B41"/>
    <w:rsid w:val="00732E3A"/>
    <w:rsid w:val="007333FE"/>
    <w:rsid w:val="007335E7"/>
    <w:rsid w:val="00733A33"/>
    <w:rsid w:val="00734352"/>
    <w:rsid w:val="00734500"/>
    <w:rsid w:val="0073471D"/>
    <w:rsid w:val="00734B7A"/>
    <w:rsid w:val="00735B05"/>
    <w:rsid w:val="00736B17"/>
    <w:rsid w:val="00736B29"/>
    <w:rsid w:val="0073771B"/>
    <w:rsid w:val="00740B4F"/>
    <w:rsid w:val="00740E93"/>
    <w:rsid w:val="00740FF9"/>
    <w:rsid w:val="00741203"/>
    <w:rsid w:val="00741644"/>
    <w:rsid w:val="007435D1"/>
    <w:rsid w:val="007439A2"/>
    <w:rsid w:val="00743ADF"/>
    <w:rsid w:val="00743F15"/>
    <w:rsid w:val="00744A28"/>
    <w:rsid w:val="00744E2D"/>
    <w:rsid w:val="007450F0"/>
    <w:rsid w:val="0074534B"/>
    <w:rsid w:val="00745C42"/>
    <w:rsid w:val="00745D5F"/>
    <w:rsid w:val="00746309"/>
    <w:rsid w:val="007464B3"/>
    <w:rsid w:val="00746C2A"/>
    <w:rsid w:val="00747249"/>
    <w:rsid w:val="00747307"/>
    <w:rsid w:val="007479CD"/>
    <w:rsid w:val="00747F09"/>
    <w:rsid w:val="00750155"/>
    <w:rsid w:val="007508CD"/>
    <w:rsid w:val="00751095"/>
    <w:rsid w:val="00751943"/>
    <w:rsid w:val="00751EFB"/>
    <w:rsid w:val="00751F45"/>
    <w:rsid w:val="00752000"/>
    <w:rsid w:val="00753915"/>
    <w:rsid w:val="007544D5"/>
    <w:rsid w:val="007546F9"/>
    <w:rsid w:val="00755C02"/>
    <w:rsid w:val="00756E2A"/>
    <w:rsid w:val="00757879"/>
    <w:rsid w:val="0075788F"/>
    <w:rsid w:val="00757970"/>
    <w:rsid w:val="00757A08"/>
    <w:rsid w:val="00757C34"/>
    <w:rsid w:val="00760575"/>
    <w:rsid w:val="00760CC0"/>
    <w:rsid w:val="00760F15"/>
    <w:rsid w:val="00761AC3"/>
    <w:rsid w:val="007626E1"/>
    <w:rsid w:val="0076273C"/>
    <w:rsid w:val="00762E1B"/>
    <w:rsid w:val="007634EA"/>
    <w:rsid w:val="007647AA"/>
    <w:rsid w:val="007652A6"/>
    <w:rsid w:val="00766241"/>
    <w:rsid w:val="007667C6"/>
    <w:rsid w:val="007668FD"/>
    <w:rsid w:val="00766AE4"/>
    <w:rsid w:val="007674BE"/>
    <w:rsid w:val="00770829"/>
    <w:rsid w:val="00770C22"/>
    <w:rsid w:val="00771F64"/>
    <w:rsid w:val="00772940"/>
    <w:rsid w:val="00774F11"/>
    <w:rsid w:val="00775B1A"/>
    <w:rsid w:val="00775E6E"/>
    <w:rsid w:val="007762A7"/>
    <w:rsid w:val="0077660B"/>
    <w:rsid w:val="00777071"/>
    <w:rsid w:val="00777A6B"/>
    <w:rsid w:val="007812FD"/>
    <w:rsid w:val="00781548"/>
    <w:rsid w:val="007818AD"/>
    <w:rsid w:val="00781CAE"/>
    <w:rsid w:val="00781F89"/>
    <w:rsid w:val="007827EE"/>
    <w:rsid w:val="007831A8"/>
    <w:rsid w:val="00783746"/>
    <w:rsid w:val="00784224"/>
    <w:rsid w:val="0078465A"/>
    <w:rsid w:val="00784CFF"/>
    <w:rsid w:val="007855B3"/>
    <w:rsid w:val="00786550"/>
    <w:rsid w:val="00786D8C"/>
    <w:rsid w:val="00787693"/>
    <w:rsid w:val="0079025A"/>
    <w:rsid w:val="00791316"/>
    <w:rsid w:val="007913BC"/>
    <w:rsid w:val="007916FB"/>
    <w:rsid w:val="00791BB7"/>
    <w:rsid w:val="0079206D"/>
    <w:rsid w:val="00792CED"/>
    <w:rsid w:val="007932A1"/>
    <w:rsid w:val="00793FA2"/>
    <w:rsid w:val="00794457"/>
    <w:rsid w:val="00794601"/>
    <w:rsid w:val="00794FE1"/>
    <w:rsid w:val="00796028"/>
    <w:rsid w:val="00796171"/>
    <w:rsid w:val="0079673F"/>
    <w:rsid w:val="007967A3"/>
    <w:rsid w:val="00796C37"/>
    <w:rsid w:val="00796E90"/>
    <w:rsid w:val="00797FA4"/>
    <w:rsid w:val="007A2360"/>
    <w:rsid w:val="007A2B20"/>
    <w:rsid w:val="007A2BDE"/>
    <w:rsid w:val="007A33EA"/>
    <w:rsid w:val="007B030A"/>
    <w:rsid w:val="007B0D8A"/>
    <w:rsid w:val="007B0E20"/>
    <w:rsid w:val="007B0E35"/>
    <w:rsid w:val="007B1878"/>
    <w:rsid w:val="007B1C31"/>
    <w:rsid w:val="007B27C4"/>
    <w:rsid w:val="007B397C"/>
    <w:rsid w:val="007B3C2B"/>
    <w:rsid w:val="007B4A22"/>
    <w:rsid w:val="007B523B"/>
    <w:rsid w:val="007B5659"/>
    <w:rsid w:val="007B5CED"/>
    <w:rsid w:val="007B7010"/>
    <w:rsid w:val="007B7ED7"/>
    <w:rsid w:val="007C0E67"/>
    <w:rsid w:val="007C116A"/>
    <w:rsid w:val="007C116C"/>
    <w:rsid w:val="007C154E"/>
    <w:rsid w:val="007C15C0"/>
    <w:rsid w:val="007C176A"/>
    <w:rsid w:val="007C1996"/>
    <w:rsid w:val="007C1AB6"/>
    <w:rsid w:val="007C29F7"/>
    <w:rsid w:val="007C4127"/>
    <w:rsid w:val="007C4A85"/>
    <w:rsid w:val="007C5CDF"/>
    <w:rsid w:val="007C5E0C"/>
    <w:rsid w:val="007C7271"/>
    <w:rsid w:val="007C7FD0"/>
    <w:rsid w:val="007D0FA7"/>
    <w:rsid w:val="007D13E7"/>
    <w:rsid w:val="007D17FF"/>
    <w:rsid w:val="007D1B57"/>
    <w:rsid w:val="007D26E5"/>
    <w:rsid w:val="007D2FC2"/>
    <w:rsid w:val="007D3E05"/>
    <w:rsid w:val="007D40AC"/>
    <w:rsid w:val="007D5C0D"/>
    <w:rsid w:val="007D6051"/>
    <w:rsid w:val="007D73F6"/>
    <w:rsid w:val="007D7A5C"/>
    <w:rsid w:val="007D7DDF"/>
    <w:rsid w:val="007E1138"/>
    <w:rsid w:val="007E1D9F"/>
    <w:rsid w:val="007E1F9E"/>
    <w:rsid w:val="007E230F"/>
    <w:rsid w:val="007E2453"/>
    <w:rsid w:val="007E2A89"/>
    <w:rsid w:val="007E47DD"/>
    <w:rsid w:val="007E4884"/>
    <w:rsid w:val="007E4D84"/>
    <w:rsid w:val="007E5AB1"/>
    <w:rsid w:val="007E5D98"/>
    <w:rsid w:val="007E5DC9"/>
    <w:rsid w:val="007E5E09"/>
    <w:rsid w:val="007E64ED"/>
    <w:rsid w:val="007E6923"/>
    <w:rsid w:val="007E747F"/>
    <w:rsid w:val="007F008F"/>
    <w:rsid w:val="007F0851"/>
    <w:rsid w:val="007F094C"/>
    <w:rsid w:val="007F1A50"/>
    <w:rsid w:val="007F2430"/>
    <w:rsid w:val="007F2F21"/>
    <w:rsid w:val="007F3F94"/>
    <w:rsid w:val="007F439C"/>
    <w:rsid w:val="007F4E65"/>
    <w:rsid w:val="007F5045"/>
    <w:rsid w:val="007F552F"/>
    <w:rsid w:val="007F60EB"/>
    <w:rsid w:val="007F632C"/>
    <w:rsid w:val="007F711A"/>
    <w:rsid w:val="007F76DC"/>
    <w:rsid w:val="007F7C75"/>
    <w:rsid w:val="007F7E8A"/>
    <w:rsid w:val="007F7EC7"/>
    <w:rsid w:val="008005D7"/>
    <w:rsid w:val="00801A05"/>
    <w:rsid w:val="00802397"/>
    <w:rsid w:val="00802B43"/>
    <w:rsid w:val="008039BB"/>
    <w:rsid w:val="00803C80"/>
    <w:rsid w:val="00803F78"/>
    <w:rsid w:val="0080408F"/>
    <w:rsid w:val="0080506C"/>
    <w:rsid w:val="00805C68"/>
    <w:rsid w:val="00805D1D"/>
    <w:rsid w:val="00806CD4"/>
    <w:rsid w:val="00807795"/>
    <w:rsid w:val="00807AF8"/>
    <w:rsid w:val="0081001E"/>
    <w:rsid w:val="008105D6"/>
    <w:rsid w:val="008106EB"/>
    <w:rsid w:val="008107E7"/>
    <w:rsid w:val="00810E49"/>
    <w:rsid w:val="0081291C"/>
    <w:rsid w:val="008142DF"/>
    <w:rsid w:val="00815269"/>
    <w:rsid w:val="008153FA"/>
    <w:rsid w:val="008155CB"/>
    <w:rsid w:val="0081690C"/>
    <w:rsid w:val="008179BA"/>
    <w:rsid w:val="00817B83"/>
    <w:rsid w:val="008200A2"/>
    <w:rsid w:val="00820336"/>
    <w:rsid w:val="00820B4A"/>
    <w:rsid w:val="00820E9B"/>
    <w:rsid w:val="00820FB8"/>
    <w:rsid w:val="008215DA"/>
    <w:rsid w:val="00821FAD"/>
    <w:rsid w:val="00822AF6"/>
    <w:rsid w:val="00822F09"/>
    <w:rsid w:val="0082369C"/>
    <w:rsid w:val="008243B1"/>
    <w:rsid w:val="008250C2"/>
    <w:rsid w:val="008251D2"/>
    <w:rsid w:val="00825C2E"/>
    <w:rsid w:val="00826037"/>
    <w:rsid w:val="0082609F"/>
    <w:rsid w:val="008270DF"/>
    <w:rsid w:val="00827748"/>
    <w:rsid w:val="0082783A"/>
    <w:rsid w:val="00830001"/>
    <w:rsid w:val="0083071A"/>
    <w:rsid w:val="00830B72"/>
    <w:rsid w:val="00831070"/>
    <w:rsid w:val="00831334"/>
    <w:rsid w:val="00831565"/>
    <w:rsid w:val="00831A2F"/>
    <w:rsid w:val="008327CA"/>
    <w:rsid w:val="0083284C"/>
    <w:rsid w:val="00832F9C"/>
    <w:rsid w:val="00832FEB"/>
    <w:rsid w:val="00833A1A"/>
    <w:rsid w:val="00834B3B"/>
    <w:rsid w:val="008352E4"/>
    <w:rsid w:val="00835AD1"/>
    <w:rsid w:val="0083630B"/>
    <w:rsid w:val="0083685C"/>
    <w:rsid w:val="00836A4C"/>
    <w:rsid w:val="00836ED6"/>
    <w:rsid w:val="00836EFD"/>
    <w:rsid w:val="008372B6"/>
    <w:rsid w:val="00837794"/>
    <w:rsid w:val="008377A4"/>
    <w:rsid w:val="00840D2D"/>
    <w:rsid w:val="00841783"/>
    <w:rsid w:val="00841AEB"/>
    <w:rsid w:val="00842D34"/>
    <w:rsid w:val="00842E39"/>
    <w:rsid w:val="00842FDA"/>
    <w:rsid w:val="008437FD"/>
    <w:rsid w:val="008439B5"/>
    <w:rsid w:val="00844976"/>
    <w:rsid w:val="00844C51"/>
    <w:rsid w:val="00846681"/>
    <w:rsid w:val="00846A99"/>
    <w:rsid w:val="00847A9E"/>
    <w:rsid w:val="008507FB"/>
    <w:rsid w:val="00852568"/>
    <w:rsid w:val="0085310C"/>
    <w:rsid w:val="0085404E"/>
    <w:rsid w:val="00854253"/>
    <w:rsid w:val="008544FB"/>
    <w:rsid w:val="008560D2"/>
    <w:rsid w:val="00856606"/>
    <w:rsid w:val="00857697"/>
    <w:rsid w:val="008577A7"/>
    <w:rsid w:val="00857C58"/>
    <w:rsid w:val="00861DF7"/>
    <w:rsid w:val="00862740"/>
    <w:rsid w:val="00864843"/>
    <w:rsid w:val="00865154"/>
    <w:rsid w:val="008652AD"/>
    <w:rsid w:val="00865F5B"/>
    <w:rsid w:val="00866B4E"/>
    <w:rsid w:val="00867471"/>
    <w:rsid w:val="00867766"/>
    <w:rsid w:val="00870E86"/>
    <w:rsid w:val="008713D5"/>
    <w:rsid w:val="00871449"/>
    <w:rsid w:val="008718AD"/>
    <w:rsid w:val="0087217C"/>
    <w:rsid w:val="008724CA"/>
    <w:rsid w:val="0087444A"/>
    <w:rsid w:val="00876DBC"/>
    <w:rsid w:val="0087715A"/>
    <w:rsid w:val="008773BD"/>
    <w:rsid w:val="0087751B"/>
    <w:rsid w:val="0087783B"/>
    <w:rsid w:val="008804AE"/>
    <w:rsid w:val="00880E18"/>
    <w:rsid w:val="00882034"/>
    <w:rsid w:val="00882111"/>
    <w:rsid w:val="008825A4"/>
    <w:rsid w:val="008831EA"/>
    <w:rsid w:val="008832DF"/>
    <w:rsid w:val="008835EF"/>
    <w:rsid w:val="00883B6B"/>
    <w:rsid w:val="00884584"/>
    <w:rsid w:val="0088485C"/>
    <w:rsid w:val="00884DF7"/>
    <w:rsid w:val="00885485"/>
    <w:rsid w:val="008858EC"/>
    <w:rsid w:val="0088635F"/>
    <w:rsid w:val="00887A3D"/>
    <w:rsid w:val="00887DB7"/>
    <w:rsid w:val="00890BE1"/>
    <w:rsid w:val="00890DF7"/>
    <w:rsid w:val="00891A9D"/>
    <w:rsid w:val="008925A9"/>
    <w:rsid w:val="00894130"/>
    <w:rsid w:val="008942B0"/>
    <w:rsid w:val="00895130"/>
    <w:rsid w:val="0089643E"/>
    <w:rsid w:val="00896FFC"/>
    <w:rsid w:val="00897B35"/>
    <w:rsid w:val="008A0163"/>
    <w:rsid w:val="008A031E"/>
    <w:rsid w:val="008A0FF0"/>
    <w:rsid w:val="008A124F"/>
    <w:rsid w:val="008A16E2"/>
    <w:rsid w:val="008A1FFD"/>
    <w:rsid w:val="008A29C2"/>
    <w:rsid w:val="008A2FFD"/>
    <w:rsid w:val="008A3A23"/>
    <w:rsid w:val="008A3EF6"/>
    <w:rsid w:val="008A4AF0"/>
    <w:rsid w:val="008A52D6"/>
    <w:rsid w:val="008A540E"/>
    <w:rsid w:val="008A5CF3"/>
    <w:rsid w:val="008A65FB"/>
    <w:rsid w:val="008A6801"/>
    <w:rsid w:val="008A7F6B"/>
    <w:rsid w:val="008B1162"/>
    <w:rsid w:val="008B19F5"/>
    <w:rsid w:val="008B2043"/>
    <w:rsid w:val="008B23ED"/>
    <w:rsid w:val="008B2D3D"/>
    <w:rsid w:val="008B301E"/>
    <w:rsid w:val="008B305F"/>
    <w:rsid w:val="008B3345"/>
    <w:rsid w:val="008B33D0"/>
    <w:rsid w:val="008B3675"/>
    <w:rsid w:val="008B3934"/>
    <w:rsid w:val="008B4DEA"/>
    <w:rsid w:val="008B52C9"/>
    <w:rsid w:val="008B598E"/>
    <w:rsid w:val="008B5CD4"/>
    <w:rsid w:val="008B64E0"/>
    <w:rsid w:val="008B66EE"/>
    <w:rsid w:val="008B74A7"/>
    <w:rsid w:val="008B7D21"/>
    <w:rsid w:val="008C02A8"/>
    <w:rsid w:val="008C032F"/>
    <w:rsid w:val="008C03C6"/>
    <w:rsid w:val="008C0B32"/>
    <w:rsid w:val="008C111F"/>
    <w:rsid w:val="008C1456"/>
    <w:rsid w:val="008C2AF3"/>
    <w:rsid w:val="008C2B96"/>
    <w:rsid w:val="008C2E70"/>
    <w:rsid w:val="008C3111"/>
    <w:rsid w:val="008C3424"/>
    <w:rsid w:val="008C3A85"/>
    <w:rsid w:val="008C4223"/>
    <w:rsid w:val="008C429B"/>
    <w:rsid w:val="008C4A3A"/>
    <w:rsid w:val="008C4F02"/>
    <w:rsid w:val="008C5481"/>
    <w:rsid w:val="008C57FC"/>
    <w:rsid w:val="008C6A40"/>
    <w:rsid w:val="008C6D8B"/>
    <w:rsid w:val="008C6FAA"/>
    <w:rsid w:val="008C7D42"/>
    <w:rsid w:val="008D04EA"/>
    <w:rsid w:val="008D0A19"/>
    <w:rsid w:val="008D1B68"/>
    <w:rsid w:val="008D2900"/>
    <w:rsid w:val="008D3342"/>
    <w:rsid w:val="008D428D"/>
    <w:rsid w:val="008D5404"/>
    <w:rsid w:val="008D6516"/>
    <w:rsid w:val="008D6FF2"/>
    <w:rsid w:val="008E02E9"/>
    <w:rsid w:val="008E0305"/>
    <w:rsid w:val="008E20F4"/>
    <w:rsid w:val="008E295A"/>
    <w:rsid w:val="008E4421"/>
    <w:rsid w:val="008E4F31"/>
    <w:rsid w:val="008E659B"/>
    <w:rsid w:val="008E7376"/>
    <w:rsid w:val="008E766C"/>
    <w:rsid w:val="008F0329"/>
    <w:rsid w:val="008F0408"/>
    <w:rsid w:val="008F066E"/>
    <w:rsid w:val="008F0C42"/>
    <w:rsid w:val="008F11DB"/>
    <w:rsid w:val="008F1A45"/>
    <w:rsid w:val="008F21FC"/>
    <w:rsid w:val="008F2A86"/>
    <w:rsid w:val="008F3060"/>
    <w:rsid w:val="008F3285"/>
    <w:rsid w:val="008F4738"/>
    <w:rsid w:val="008F47FF"/>
    <w:rsid w:val="008F4B4C"/>
    <w:rsid w:val="008F5493"/>
    <w:rsid w:val="00900937"/>
    <w:rsid w:val="00901565"/>
    <w:rsid w:val="00901E4B"/>
    <w:rsid w:val="00902038"/>
    <w:rsid w:val="00902119"/>
    <w:rsid w:val="009021E3"/>
    <w:rsid w:val="00903C7E"/>
    <w:rsid w:val="0090459F"/>
    <w:rsid w:val="00904A4F"/>
    <w:rsid w:val="009057BA"/>
    <w:rsid w:val="009059FE"/>
    <w:rsid w:val="0090634F"/>
    <w:rsid w:val="00906C13"/>
    <w:rsid w:val="00906C7C"/>
    <w:rsid w:val="00907B2A"/>
    <w:rsid w:val="009103B0"/>
    <w:rsid w:val="009104DE"/>
    <w:rsid w:val="00910A05"/>
    <w:rsid w:val="009117B7"/>
    <w:rsid w:val="009134E0"/>
    <w:rsid w:val="00913C7A"/>
    <w:rsid w:val="009145A7"/>
    <w:rsid w:val="0091466B"/>
    <w:rsid w:val="00914C88"/>
    <w:rsid w:val="009150A8"/>
    <w:rsid w:val="00915837"/>
    <w:rsid w:val="009160FB"/>
    <w:rsid w:val="0092032B"/>
    <w:rsid w:val="00920C14"/>
    <w:rsid w:val="00920F26"/>
    <w:rsid w:val="0092138C"/>
    <w:rsid w:val="009215B2"/>
    <w:rsid w:val="00921B56"/>
    <w:rsid w:val="00921FE5"/>
    <w:rsid w:val="009224E4"/>
    <w:rsid w:val="00923C1C"/>
    <w:rsid w:val="00923EF3"/>
    <w:rsid w:val="00923F1D"/>
    <w:rsid w:val="0092448F"/>
    <w:rsid w:val="00924D18"/>
    <w:rsid w:val="00924D4F"/>
    <w:rsid w:val="0092570E"/>
    <w:rsid w:val="00925B7A"/>
    <w:rsid w:val="009264AF"/>
    <w:rsid w:val="00930CF2"/>
    <w:rsid w:val="009310EA"/>
    <w:rsid w:val="00931780"/>
    <w:rsid w:val="00931BDE"/>
    <w:rsid w:val="00931E3E"/>
    <w:rsid w:val="00931EC1"/>
    <w:rsid w:val="00932EAA"/>
    <w:rsid w:val="009333AB"/>
    <w:rsid w:val="009347E0"/>
    <w:rsid w:val="00934FD3"/>
    <w:rsid w:val="009358F3"/>
    <w:rsid w:val="0093596C"/>
    <w:rsid w:val="009406BF"/>
    <w:rsid w:val="0094199B"/>
    <w:rsid w:val="00941C7A"/>
    <w:rsid w:val="009425BB"/>
    <w:rsid w:val="00944FD5"/>
    <w:rsid w:val="00946FF7"/>
    <w:rsid w:val="0094705A"/>
    <w:rsid w:val="009476F1"/>
    <w:rsid w:val="00947EBB"/>
    <w:rsid w:val="009502CE"/>
    <w:rsid w:val="00950A63"/>
    <w:rsid w:val="00950D68"/>
    <w:rsid w:val="0095251A"/>
    <w:rsid w:val="00952775"/>
    <w:rsid w:val="00952B6C"/>
    <w:rsid w:val="00952F23"/>
    <w:rsid w:val="00953A14"/>
    <w:rsid w:val="00954194"/>
    <w:rsid w:val="00954CF9"/>
    <w:rsid w:val="00954D44"/>
    <w:rsid w:val="009553D1"/>
    <w:rsid w:val="0095642E"/>
    <w:rsid w:val="00957F80"/>
    <w:rsid w:val="00961062"/>
    <w:rsid w:val="00961546"/>
    <w:rsid w:val="0096154F"/>
    <w:rsid w:val="009617FA"/>
    <w:rsid w:val="009622CF"/>
    <w:rsid w:val="009622E3"/>
    <w:rsid w:val="009629F1"/>
    <w:rsid w:val="00963096"/>
    <w:rsid w:val="009631BA"/>
    <w:rsid w:val="00963A50"/>
    <w:rsid w:val="00963D12"/>
    <w:rsid w:val="00963E35"/>
    <w:rsid w:val="00964802"/>
    <w:rsid w:val="0096581B"/>
    <w:rsid w:val="00965C41"/>
    <w:rsid w:val="0096682F"/>
    <w:rsid w:val="00967C33"/>
    <w:rsid w:val="009709E8"/>
    <w:rsid w:val="00970A29"/>
    <w:rsid w:val="00970C45"/>
    <w:rsid w:val="00972863"/>
    <w:rsid w:val="00973822"/>
    <w:rsid w:val="0097478B"/>
    <w:rsid w:val="00975B9F"/>
    <w:rsid w:val="00975FC8"/>
    <w:rsid w:val="00976452"/>
    <w:rsid w:val="00977B83"/>
    <w:rsid w:val="0098037A"/>
    <w:rsid w:val="00980CDD"/>
    <w:rsid w:val="009811AC"/>
    <w:rsid w:val="009814A1"/>
    <w:rsid w:val="00981577"/>
    <w:rsid w:val="009817FC"/>
    <w:rsid w:val="009821AF"/>
    <w:rsid w:val="00982676"/>
    <w:rsid w:val="0098273A"/>
    <w:rsid w:val="0098292C"/>
    <w:rsid w:val="00983A96"/>
    <w:rsid w:val="00983BF0"/>
    <w:rsid w:val="0098452B"/>
    <w:rsid w:val="00984B17"/>
    <w:rsid w:val="009853F8"/>
    <w:rsid w:val="00985904"/>
    <w:rsid w:val="00986A4B"/>
    <w:rsid w:val="00987DCC"/>
    <w:rsid w:val="00987E92"/>
    <w:rsid w:val="009903B1"/>
    <w:rsid w:val="009903B5"/>
    <w:rsid w:val="009916B1"/>
    <w:rsid w:val="00991765"/>
    <w:rsid w:val="00991BA9"/>
    <w:rsid w:val="00991E8E"/>
    <w:rsid w:val="00992779"/>
    <w:rsid w:val="00992E41"/>
    <w:rsid w:val="00992F3F"/>
    <w:rsid w:val="0099342A"/>
    <w:rsid w:val="009944B7"/>
    <w:rsid w:val="00994EAA"/>
    <w:rsid w:val="0099522E"/>
    <w:rsid w:val="009956C7"/>
    <w:rsid w:val="00995A34"/>
    <w:rsid w:val="00996994"/>
    <w:rsid w:val="009969D6"/>
    <w:rsid w:val="00996A1E"/>
    <w:rsid w:val="00996CC6"/>
    <w:rsid w:val="00996FB5"/>
    <w:rsid w:val="00997676"/>
    <w:rsid w:val="009977EE"/>
    <w:rsid w:val="00997856"/>
    <w:rsid w:val="009979D6"/>
    <w:rsid w:val="009A0046"/>
    <w:rsid w:val="009A0AAD"/>
    <w:rsid w:val="009A10F5"/>
    <w:rsid w:val="009A1D21"/>
    <w:rsid w:val="009A28BA"/>
    <w:rsid w:val="009A2A76"/>
    <w:rsid w:val="009A2D15"/>
    <w:rsid w:val="009A3270"/>
    <w:rsid w:val="009A3587"/>
    <w:rsid w:val="009A3A9B"/>
    <w:rsid w:val="009A3F9D"/>
    <w:rsid w:val="009A3FF3"/>
    <w:rsid w:val="009A47B6"/>
    <w:rsid w:val="009A4AB1"/>
    <w:rsid w:val="009A62CB"/>
    <w:rsid w:val="009A664D"/>
    <w:rsid w:val="009A688F"/>
    <w:rsid w:val="009A6AA7"/>
    <w:rsid w:val="009A7C19"/>
    <w:rsid w:val="009A7C53"/>
    <w:rsid w:val="009B0039"/>
    <w:rsid w:val="009B0311"/>
    <w:rsid w:val="009B0595"/>
    <w:rsid w:val="009B1A0F"/>
    <w:rsid w:val="009B21E1"/>
    <w:rsid w:val="009B2883"/>
    <w:rsid w:val="009B3A94"/>
    <w:rsid w:val="009B3D25"/>
    <w:rsid w:val="009B3FCA"/>
    <w:rsid w:val="009B4665"/>
    <w:rsid w:val="009B46E5"/>
    <w:rsid w:val="009B4E96"/>
    <w:rsid w:val="009B694E"/>
    <w:rsid w:val="009B75F3"/>
    <w:rsid w:val="009B76F2"/>
    <w:rsid w:val="009C0872"/>
    <w:rsid w:val="009C106A"/>
    <w:rsid w:val="009C13B4"/>
    <w:rsid w:val="009C18A7"/>
    <w:rsid w:val="009C24B2"/>
    <w:rsid w:val="009C3335"/>
    <w:rsid w:val="009C398D"/>
    <w:rsid w:val="009C44C6"/>
    <w:rsid w:val="009C4A7F"/>
    <w:rsid w:val="009C4F26"/>
    <w:rsid w:val="009C5997"/>
    <w:rsid w:val="009C694D"/>
    <w:rsid w:val="009C6DBE"/>
    <w:rsid w:val="009C7602"/>
    <w:rsid w:val="009C7D35"/>
    <w:rsid w:val="009D042F"/>
    <w:rsid w:val="009D05A0"/>
    <w:rsid w:val="009D0E27"/>
    <w:rsid w:val="009D0EEC"/>
    <w:rsid w:val="009D1DB4"/>
    <w:rsid w:val="009D20D8"/>
    <w:rsid w:val="009D2C44"/>
    <w:rsid w:val="009D31CC"/>
    <w:rsid w:val="009D5273"/>
    <w:rsid w:val="009D5282"/>
    <w:rsid w:val="009D5F17"/>
    <w:rsid w:val="009D642D"/>
    <w:rsid w:val="009D6D0F"/>
    <w:rsid w:val="009D748F"/>
    <w:rsid w:val="009D7A66"/>
    <w:rsid w:val="009D7AD6"/>
    <w:rsid w:val="009E013C"/>
    <w:rsid w:val="009E05F5"/>
    <w:rsid w:val="009E0E59"/>
    <w:rsid w:val="009E0F12"/>
    <w:rsid w:val="009E10BA"/>
    <w:rsid w:val="009E184B"/>
    <w:rsid w:val="009E2956"/>
    <w:rsid w:val="009E2EEA"/>
    <w:rsid w:val="009E3052"/>
    <w:rsid w:val="009E33F4"/>
    <w:rsid w:val="009E3AF8"/>
    <w:rsid w:val="009E3C24"/>
    <w:rsid w:val="009E4365"/>
    <w:rsid w:val="009E59EE"/>
    <w:rsid w:val="009E6EC9"/>
    <w:rsid w:val="009E7014"/>
    <w:rsid w:val="009E70C5"/>
    <w:rsid w:val="009E7443"/>
    <w:rsid w:val="009E747D"/>
    <w:rsid w:val="009E77EC"/>
    <w:rsid w:val="009F12C7"/>
    <w:rsid w:val="009F17FA"/>
    <w:rsid w:val="009F1B9B"/>
    <w:rsid w:val="009F1E88"/>
    <w:rsid w:val="009F2701"/>
    <w:rsid w:val="009F2CD1"/>
    <w:rsid w:val="009F371A"/>
    <w:rsid w:val="009F3832"/>
    <w:rsid w:val="009F3850"/>
    <w:rsid w:val="009F59DF"/>
    <w:rsid w:val="009F62A7"/>
    <w:rsid w:val="009F6472"/>
    <w:rsid w:val="009F6478"/>
    <w:rsid w:val="009F69A5"/>
    <w:rsid w:val="009F6F38"/>
    <w:rsid w:val="009F715F"/>
    <w:rsid w:val="00A00A64"/>
    <w:rsid w:val="00A00F96"/>
    <w:rsid w:val="00A0148A"/>
    <w:rsid w:val="00A02FC7"/>
    <w:rsid w:val="00A039C3"/>
    <w:rsid w:val="00A05278"/>
    <w:rsid w:val="00A054B2"/>
    <w:rsid w:val="00A05EBA"/>
    <w:rsid w:val="00A06F3A"/>
    <w:rsid w:val="00A074D5"/>
    <w:rsid w:val="00A0750D"/>
    <w:rsid w:val="00A07835"/>
    <w:rsid w:val="00A07E75"/>
    <w:rsid w:val="00A10806"/>
    <w:rsid w:val="00A1164A"/>
    <w:rsid w:val="00A11844"/>
    <w:rsid w:val="00A11B7B"/>
    <w:rsid w:val="00A11DB7"/>
    <w:rsid w:val="00A1246F"/>
    <w:rsid w:val="00A128CF"/>
    <w:rsid w:val="00A149A0"/>
    <w:rsid w:val="00A15C17"/>
    <w:rsid w:val="00A16A18"/>
    <w:rsid w:val="00A172A6"/>
    <w:rsid w:val="00A20611"/>
    <w:rsid w:val="00A206F3"/>
    <w:rsid w:val="00A21539"/>
    <w:rsid w:val="00A21851"/>
    <w:rsid w:val="00A218E9"/>
    <w:rsid w:val="00A22B85"/>
    <w:rsid w:val="00A2311F"/>
    <w:rsid w:val="00A23C2C"/>
    <w:rsid w:val="00A255F5"/>
    <w:rsid w:val="00A257B2"/>
    <w:rsid w:val="00A260A3"/>
    <w:rsid w:val="00A272BA"/>
    <w:rsid w:val="00A27782"/>
    <w:rsid w:val="00A27E29"/>
    <w:rsid w:val="00A3023F"/>
    <w:rsid w:val="00A30430"/>
    <w:rsid w:val="00A31284"/>
    <w:rsid w:val="00A3192E"/>
    <w:rsid w:val="00A32397"/>
    <w:rsid w:val="00A32F92"/>
    <w:rsid w:val="00A33D9F"/>
    <w:rsid w:val="00A359FF"/>
    <w:rsid w:val="00A35CE6"/>
    <w:rsid w:val="00A36F77"/>
    <w:rsid w:val="00A36F90"/>
    <w:rsid w:val="00A374D8"/>
    <w:rsid w:val="00A400E4"/>
    <w:rsid w:val="00A40934"/>
    <w:rsid w:val="00A41DA8"/>
    <w:rsid w:val="00A42A20"/>
    <w:rsid w:val="00A42A88"/>
    <w:rsid w:val="00A4335D"/>
    <w:rsid w:val="00A43486"/>
    <w:rsid w:val="00A44085"/>
    <w:rsid w:val="00A449A8"/>
    <w:rsid w:val="00A4559C"/>
    <w:rsid w:val="00A47310"/>
    <w:rsid w:val="00A47317"/>
    <w:rsid w:val="00A47AFA"/>
    <w:rsid w:val="00A50D83"/>
    <w:rsid w:val="00A51B2E"/>
    <w:rsid w:val="00A52456"/>
    <w:rsid w:val="00A52FE3"/>
    <w:rsid w:val="00A5376D"/>
    <w:rsid w:val="00A53C4B"/>
    <w:rsid w:val="00A54711"/>
    <w:rsid w:val="00A54C37"/>
    <w:rsid w:val="00A54EAD"/>
    <w:rsid w:val="00A55F34"/>
    <w:rsid w:val="00A56CAE"/>
    <w:rsid w:val="00A56E03"/>
    <w:rsid w:val="00A5786F"/>
    <w:rsid w:val="00A600A9"/>
    <w:rsid w:val="00A60F87"/>
    <w:rsid w:val="00A61A82"/>
    <w:rsid w:val="00A62610"/>
    <w:rsid w:val="00A62DF0"/>
    <w:rsid w:val="00A63403"/>
    <w:rsid w:val="00A63E25"/>
    <w:rsid w:val="00A63E8C"/>
    <w:rsid w:val="00A64731"/>
    <w:rsid w:val="00A660EF"/>
    <w:rsid w:val="00A671E9"/>
    <w:rsid w:val="00A67F0D"/>
    <w:rsid w:val="00A70125"/>
    <w:rsid w:val="00A7028C"/>
    <w:rsid w:val="00A704F5"/>
    <w:rsid w:val="00A70C6C"/>
    <w:rsid w:val="00A71AB8"/>
    <w:rsid w:val="00A71E1B"/>
    <w:rsid w:val="00A72839"/>
    <w:rsid w:val="00A72B88"/>
    <w:rsid w:val="00A735EC"/>
    <w:rsid w:val="00A74053"/>
    <w:rsid w:val="00A74D7A"/>
    <w:rsid w:val="00A74F20"/>
    <w:rsid w:val="00A7530F"/>
    <w:rsid w:val="00A75973"/>
    <w:rsid w:val="00A75F2E"/>
    <w:rsid w:val="00A76CDD"/>
    <w:rsid w:val="00A80A85"/>
    <w:rsid w:val="00A814EF"/>
    <w:rsid w:val="00A8166B"/>
    <w:rsid w:val="00A81811"/>
    <w:rsid w:val="00A81C15"/>
    <w:rsid w:val="00A81CA3"/>
    <w:rsid w:val="00A823D3"/>
    <w:rsid w:val="00A82B92"/>
    <w:rsid w:val="00A82EDB"/>
    <w:rsid w:val="00A8355E"/>
    <w:rsid w:val="00A846BC"/>
    <w:rsid w:val="00A85431"/>
    <w:rsid w:val="00A85F47"/>
    <w:rsid w:val="00A861C1"/>
    <w:rsid w:val="00A86275"/>
    <w:rsid w:val="00A8674E"/>
    <w:rsid w:val="00A86928"/>
    <w:rsid w:val="00A86E31"/>
    <w:rsid w:val="00A873FB"/>
    <w:rsid w:val="00A87671"/>
    <w:rsid w:val="00A8782E"/>
    <w:rsid w:val="00A90F6A"/>
    <w:rsid w:val="00A912F9"/>
    <w:rsid w:val="00A91DF2"/>
    <w:rsid w:val="00A92364"/>
    <w:rsid w:val="00A92A6A"/>
    <w:rsid w:val="00A936B0"/>
    <w:rsid w:val="00A9383F"/>
    <w:rsid w:val="00A94A5E"/>
    <w:rsid w:val="00A950A4"/>
    <w:rsid w:val="00A95352"/>
    <w:rsid w:val="00A95AC6"/>
    <w:rsid w:val="00A95DEA"/>
    <w:rsid w:val="00A96D8B"/>
    <w:rsid w:val="00AA066D"/>
    <w:rsid w:val="00AA0D61"/>
    <w:rsid w:val="00AA10FD"/>
    <w:rsid w:val="00AA1190"/>
    <w:rsid w:val="00AA169C"/>
    <w:rsid w:val="00AA259A"/>
    <w:rsid w:val="00AA36D7"/>
    <w:rsid w:val="00AA36F6"/>
    <w:rsid w:val="00AA3BE5"/>
    <w:rsid w:val="00AA5340"/>
    <w:rsid w:val="00AA5526"/>
    <w:rsid w:val="00AA5D8F"/>
    <w:rsid w:val="00AA5F3D"/>
    <w:rsid w:val="00AA640A"/>
    <w:rsid w:val="00AA654B"/>
    <w:rsid w:val="00AB02B6"/>
    <w:rsid w:val="00AB0B0F"/>
    <w:rsid w:val="00AB1027"/>
    <w:rsid w:val="00AB1B5E"/>
    <w:rsid w:val="00AB2DAE"/>
    <w:rsid w:val="00AB4636"/>
    <w:rsid w:val="00AB4F02"/>
    <w:rsid w:val="00AB528C"/>
    <w:rsid w:val="00AB661C"/>
    <w:rsid w:val="00AC00E4"/>
    <w:rsid w:val="00AC0A8F"/>
    <w:rsid w:val="00AC0E96"/>
    <w:rsid w:val="00AC26DE"/>
    <w:rsid w:val="00AC2B3F"/>
    <w:rsid w:val="00AC2F51"/>
    <w:rsid w:val="00AC3B89"/>
    <w:rsid w:val="00AC4E09"/>
    <w:rsid w:val="00AC514D"/>
    <w:rsid w:val="00AC5432"/>
    <w:rsid w:val="00AC546E"/>
    <w:rsid w:val="00AC6D22"/>
    <w:rsid w:val="00AC6FFD"/>
    <w:rsid w:val="00AC7A80"/>
    <w:rsid w:val="00AC7FD4"/>
    <w:rsid w:val="00AD0336"/>
    <w:rsid w:val="00AD0866"/>
    <w:rsid w:val="00AD09DC"/>
    <w:rsid w:val="00AD1803"/>
    <w:rsid w:val="00AD2ABA"/>
    <w:rsid w:val="00AD341A"/>
    <w:rsid w:val="00AD3712"/>
    <w:rsid w:val="00AD405E"/>
    <w:rsid w:val="00AD4221"/>
    <w:rsid w:val="00AD4298"/>
    <w:rsid w:val="00AD49E7"/>
    <w:rsid w:val="00AD4AE7"/>
    <w:rsid w:val="00AD51ED"/>
    <w:rsid w:val="00AD5B4E"/>
    <w:rsid w:val="00AD737D"/>
    <w:rsid w:val="00AE00E9"/>
    <w:rsid w:val="00AE026F"/>
    <w:rsid w:val="00AE0827"/>
    <w:rsid w:val="00AE0CDB"/>
    <w:rsid w:val="00AE1145"/>
    <w:rsid w:val="00AE1D08"/>
    <w:rsid w:val="00AE209E"/>
    <w:rsid w:val="00AE25C9"/>
    <w:rsid w:val="00AE2A63"/>
    <w:rsid w:val="00AE2B2C"/>
    <w:rsid w:val="00AE2B7B"/>
    <w:rsid w:val="00AE2C09"/>
    <w:rsid w:val="00AE2E80"/>
    <w:rsid w:val="00AE2FAE"/>
    <w:rsid w:val="00AE4D77"/>
    <w:rsid w:val="00AE5E67"/>
    <w:rsid w:val="00AE6957"/>
    <w:rsid w:val="00AE7C49"/>
    <w:rsid w:val="00AF133E"/>
    <w:rsid w:val="00AF1B0E"/>
    <w:rsid w:val="00AF1B32"/>
    <w:rsid w:val="00AF2179"/>
    <w:rsid w:val="00AF276A"/>
    <w:rsid w:val="00AF5CB6"/>
    <w:rsid w:val="00AF5EF0"/>
    <w:rsid w:val="00AF6340"/>
    <w:rsid w:val="00AF6405"/>
    <w:rsid w:val="00AF6A93"/>
    <w:rsid w:val="00AF6BC2"/>
    <w:rsid w:val="00B00A1B"/>
    <w:rsid w:val="00B00C8C"/>
    <w:rsid w:val="00B02237"/>
    <w:rsid w:val="00B02789"/>
    <w:rsid w:val="00B02E82"/>
    <w:rsid w:val="00B03931"/>
    <w:rsid w:val="00B03D0B"/>
    <w:rsid w:val="00B03EDE"/>
    <w:rsid w:val="00B04A19"/>
    <w:rsid w:val="00B04E9B"/>
    <w:rsid w:val="00B05317"/>
    <w:rsid w:val="00B057B9"/>
    <w:rsid w:val="00B05866"/>
    <w:rsid w:val="00B05E8B"/>
    <w:rsid w:val="00B075BB"/>
    <w:rsid w:val="00B077B3"/>
    <w:rsid w:val="00B10D97"/>
    <w:rsid w:val="00B112E6"/>
    <w:rsid w:val="00B124F2"/>
    <w:rsid w:val="00B12CE4"/>
    <w:rsid w:val="00B131E1"/>
    <w:rsid w:val="00B1333E"/>
    <w:rsid w:val="00B14804"/>
    <w:rsid w:val="00B158CB"/>
    <w:rsid w:val="00B15E77"/>
    <w:rsid w:val="00B16E1F"/>
    <w:rsid w:val="00B17D39"/>
    <w:rsid w:val="00B201B0"/>
    <w:rsid w:val="00B20826"/>
    <w:rsid w:val="00B22184"/>
    <w:rsid w:val="00B239B2"/>
    <w:rsid w:val="00B24B4B"/>
    <w:rsid w:val="00B2527D"/>
    <w:rsid w:val="00B25872"/>
    <w:rsid w:val="00B26441"/>
    <w:rsid w:val="00B2754C"/>
    <w:rsid w:val="00B27646"/>
    <w:rsid w:val="00B27C15"/>
    <w:rsid w:val="00B27FB9"/>
    <w:rsid w:val="00B30CA3"/>
    <w:rsid w:val="00B30CB9"/>
    <w:rsid w:val="00B30CE5"/>
    <w:rsid w:val="00B312F9"/>
    <w:rsid w:val="00B317FA"/>
    <w:rsid w:val="00B31E23"/>
    <w:rsid w:val="00B327B1"/>
    <w:rsid w:val="00B335F0"/>
    <w:rsid w:val="00B3370B"/>
    <w:rsid w:val="00B33D34"/>
    <w:rsid w:val="00B34AC7"/>
    <w:rsid w:val="00B34B59"/>
    <w:rsid w:val="00B34C39"/>
    <w:rsid w:val="00B36A07"/>
    <w:rsid w:val="00B36A7F"/>
    <w:rsid w:val="00B4074F"/>
    <w:rsid w:val="00B4086E"/>
    <w:rsid w:val="00B41606"/>
    <w:rsid w:val="00B41EC1"/>
    <w:rsid w:val="00B42807"/>
    <w:rsid w:val="00B42BB2"/>
    <w:rsid w:val="00B42CD5"/>
    <w:rsid w:val="00B436C1"/>
    <w:rsid w:val="00B4416C"/>
    <w:rsid w:val="00B444EC"/>
    <w:rsid w:val="00B4512A"/>
    <w:rsid w:val="00B459E3"/>
    <w:rsid w:val="00B46A12"/>
    <w:rsid w:val="00B46EFA"/>
    <w:rsid w:val="00B47547"/>
    <w:rsid w:val="00B47902"/>
    <w:rsid w:val="00B47AB6"/>
    <w:rsid w:val="00B50092"/>
    <w:rsid w:val="00B500CF"/>
    <w:rsid w:val="00B50E2E"/>
    <w:rsid w:val="00B513D5"/>
    <w:rsid w:val="00B51E9A"/>
    <w:rsid w:val="00B51F2E"/>
    <w:rsid w:val="00B52E0B"/>
    <w:rsid w:val="00B53518"/>
    <w:rsid w:val="00B54327"/>
    <w:rsid w:val="00B545A7"/>
    <w:rsid w:val="00B549E4"/>
    <w:rsid w:val="00B57197"/>
    <w:rsid w:val="00B610EB"/>
    <w:rsid w:val="00B611C0"/>
    <w:rsid w:val="00B61C08"/>
    <w:rsid w:val="00B61C57"/>
    <w:rsid w:val="00B62137"/>
    <w:rsid w:val="00B63163"/>
    <w:rsid w:val="00B63689"/>
    <w:rsid w:val="00B63A85"/>
    <w:rsid w:val="00B63D07"/>
    <w:rsid w:val="00B64998"/>
    <w:rsid w:val="00B65422"/>
    <w:rsid w:val="00B6695A"/>
    <w:rsid w:val="00B66A98"/>
    <w:rsid w:val="00B70332"/>
    <w:rsid w:val="00B71E63"/>
    <w:rsid w:val="00B72341"/>
    <w:rsid w:val="00B7530F"/>
    <w:rsid w:val="00B75C6A"/>
    <w:rsid w:val="00B75CF1"/>
    <w:rsid w:val="00B75F7C"/>
    <w:rsid w:val="00B7618D"/>
    <w:rsid w:val="00B763F1"/>
    <w:rsid w:val="00B77CE5"/>
    <w:rsid w:val="00B77F25"/>
    <w:rsid w:val="00B77FF7"/>
    <w:rsid w:val="00B80F39"/>
    <w:rsid w:val="00B80F4F"/>
    <w:rsid w:val="00B81118"/>
    <w:rsid w:val="00B8208C"/>
    <w:rsid w:val="00B8239D"/>
    <w:rsid w:val="00B824EB"/>
    <w:rsid w:val="00B82BE5"/>
    <w:rsid w:val="00B8317C"/>
    <w:rsid w:val="00B83A17"/>
    <w:rsid w:val="00B84698"/>
    <w:rsid w:val="00B85659"/>
    <w:rsid w:val="00B866F8"/>
    <w:rsid w:val="00B8687B"/>
    <w:rsid w:val="00B8736D"/>
    <w:rsid w:val="00B875B8"/>
    <w:rsid w:val="00B90DE3"/>
    <w:rsid w:val="00B91818"/>
    <w:rsid w:val="00B92E1C"/>
    <w:rsid w:val="00B93CD5"/>
    <w:rsid w:val="00B95786"/>
    <w:rsid w:val="00B9645C"/>
    <w:rsid w:val="00B96773"/>
    <w:rsid w:val="00B969C9"/>
    <w:rsid w:val="00B9727F"/>
    <w:rsid w:val="00B974B4"/>
    <w:rsid w:val="00B97EE7"/>
    <w:rsid w:val="00BA0962"/>
    <w:rsid w:val="00BA0CA5"/>
    <w:rsid w:val="00BA0D3C"/>
    <w:rsid w:val="00BA0E51"/>
    <w:rsid w:val="00BA1951"/>
    <w:rsid w:val="00BA2331"/>
    <w:rsid w:val="00BA2CB6"/>
    <w:rsid w:val="00BA3F6F"/>
    <w:rsid w:val="00BA4168"/>
    <w:rsid w:val="00BA4941"/>
    <w:rsid w:val="00BA61A6"/>
    <w:rsid w:val="00BA655F"/>
    <w:rsid w:val="00BA7606"/>
    <w:rsid w:val="00BA780D"/>
    <w:rsid w:val="00BB0853"/>
    <w:rsid w:val="00BB0E3C"/>
    <w:rsid w:val="00BB1270"/>
    <w:rsid w:val="00BB3CC7"/>
    <w:rsid w:val="00BB3D93"/>
    <w:rsid w:val="00BB4DD8"/>
    <w:rsid w:val="00BB59B5"/>
    <w:rsid w:val="00BB63A1"/>
    <w:rsid w:val="00BB6440"/>
    <w:rsid w:val="00BB691D"/>
    <w:rsid w:val="00BB69E3"/>
    <w:rsid w:val="00BB7649"/>
    <w:rsid w:val="00BC0C46"/>
    <w:rsid w:val="00BC2464"/>
    <w:rsid w:val="00BC2EB9"/>
    <w:rsid w:val="00BC32E4"/>
    <w:rsid w:val="00BC32E6"/>
    <w:rsid w:val="00BC34E0"/>
    <w:rsid w:val="00BC4178"/>
    <w:rsid w:val="00BC41FD"/>
    <w:rsid w:val="00BC4A91"/>
    <w:rsid w:val="00BC5043"/>
    <w:rsid w:val="00BC5DCA"/>
    <w:rsid w:val="00BC5FEA"/>
    <w:rsid w:val="00BC68F0"/>
    <w:rsid w:val="00BC6CA0"/>
    <w:rsid w:val="00BC6D0E"/>
    <w:rsid w:val="00BD057C"/>
    <w:rsid w:val="00BD126F"/>
    <w:rsid w:val="00BD1772"/>
    <w:rsid w:val="00BD19D0"/>
    <w:rsid w:val="00BD1E90"/>
    <w:rsid w:val="00BD2277"/>
    <w:rsid w:val="00BD28B1"/>
    <w:rsid w:val="00BD411D"/>
    <w:rsid w:val="00BD4A3E"/>
    <w:rsid w:val="00BD5BCB"/>
    <w:rsid w:val="00BD5C6F"/>
    <w:rsid w:val="00BD6267"/>
    <w:rsid w:val="00BD6347"/>
    <w:rsid w:val="00BE03B9"/>
    <w:rsid w:val="00BE0CA3"/>
    <w:rsid w:val="00BE13C3"/>
    <w:rsid w:val="00BE1558"/>
    <w:rsid w:val="00BE27B9"/>
    <w:rsid w:val="00BE2BE6"/>
    <w:rsid w:val="00BE309B"/>
    <w:rsid w:val="00BE4F6E"/>
    <w:rsid w:val="00BE508B"/>
    <w:rsid w:val="00BE6723"/>
    <w:rsid w:val="00BE77A3"/>
    <w:rsid w:val="00BE78C4"/>
    <w:rsid w:val="00BF0C20"/>
    <w:rsid w:val="00BF1B31"/>
    <w:rsid w:val="00BF202E"/>
    <w:rsid w:val="00BF2075"/>
    <w:rsid w:val="00BF2828"/>
    <w:rsid w:val="00BF36EB"/>
    <w:rsid w:val="00BF47CA"/>
    <w:rsid w:val="00BF4A15"/>
    <w:rsid w:val="00BF4AAE"/>
    <w:rsid w:val="00BF5C60"/>
    <w:rsid w:val="00BF5E97"/>
    <w:rsid w:val="00BF5EB2"/>
    <w:rsid w:val="00BF684E"/>
    <w:rsid w:val="00BF6D6E"/>
    <w:rsid w:val="00BF7541"/>
    <w:rsid w:val="00C001E9"/>
    <w:rsid w:val="00C00313"/>
    <w:rsid w:val="00C00F04"/>
    <w:rsid w:val="00C013C5"/>
    <w:rsid w:val="00C01464"/>
    <w:rsid w:val="00C01E9F"/>
    <w:rsid w:val="00C0309C"/>
    <w:rsid w:val="00C03A6F"/>
    <w:rsid w:val="00C057E3"/>
    <w:rsid w:val="00C06246"/>
    <w:rsid w:val="00C06B2C"/>
    <w:rsid w:val="00C07CFE"/>
    <w:rsid w:val="00C101DC"/>
    <w:rsid w:val="00C1051F"/>
    <w:rsid w:val="00C106DE"/>
    <w:rsid w:val="00C10BE1"/>
    <w:rsid w:val="00C11442"/>
    <w:rsid w:val="00C11D2A"/>
    <w:rsid w:val="00C1223E"/>
    <w:rsid w:val="00C12A8E"/>
    <w:rsid w:val="00C12DE7"/>
    <w:rsid w:val="00C13B5B"/>
    <w:rsid w:val="00C14553"/>
    <w:rsid w:val="00C14A10"/>
    <w:rsid w:val="00C15C73"/>
    <w:rsid w:val="00C1629F"/>
    <w:rsid w:val="00C1640B"/>
    <w:rsid w:val="00C16BD9"/>
    <w:rsid w:val="00C1767A"/>
    <w:rsid w:val="00C176F4"/>
    <w:rsid w:val="00C2060A"/>
    <w:rsid w:val="00C20896"/>
    <w:rsid w:val="00C20A09"/>
    <w:rsid w:val="00C2110C"/>
    <w:rsid w:val="00C21DA2"/>
    <w:rsid w:val="00C21DD7"/>
    <w:rsid w:val="00C2264E"/>
    <w:rsid w:val="00C22BFC"/>
    <w:rsid w:val="00C232C1"/>
    <w:rsid w:val="00C240DC"/>
    <w:rsid w:val="00C25488"/>
    <w:rsid w:val="00C2598E"/>
    <w:rsid w:val="00C26B4F"/>
    <w:rsid w:val="00C26FA7"/>
    <w:rsid w:val="00C2766B"/>
    <w:rsid w:val="00C30713"/>
    <w:rsid w:val="00C31839"/>
    <w:rsid w:val="00C31A22"/>
    <w:rsid w:val="00C31DC4"/>
    <w:rsid w:val="00C32294"/>
    <w:rsid w:val="00C3258F"/>
    <w:rsid w:val="00C32F9F"/>
    <w:rsid w:val="00C330D3"/>
    <w:rsid w:val="00C3320C"/>
    <w:rsid w:val="00C332C3"/>
    <w:rsid w:val="00C33BA3"/>
    <w:rsid w:val="00C33CF1"/>
    <w:rsid w:val="00C34949"/>
    <w:rsid w:val="00C34F18"/>
    <w:rsid w:val="00C3589E"/>
    <w:rsid w:val="00C36513"/>
    <w:rsid w:val="00C366A3"/>
    <w:rsid w:val="00C36824"/>
    <w:rsid w:val="00C37543"/>
    <w:rsid w:val="00C37A11"/>
    <w:rsid w:val="00C37ECA"/>
    <w:rsid w:val="00C37FB4"/>
    <w:rsid w:val="00C40322"/>
    <w:rsid w:val="00C407BE"/>
    <w:rsid w:val="00C40AFF"/>
    <w:rsid w:val="00C41132"/>
    <w:rsid w:val="00C41BEB"/>
    <w:rsid w:val="00C41CA9"/>
    <w:rsid w:val="00C433BA"/>
    <w:rsid w:val="00C44DF1"/>
    <w:rsid w:val="00C45743"/>
    <w:rsid w:val="00C47A55"/>
    <w:rsid w:val="00C47A6F"/>
    <w:rsid w:val="00C47B84"/>
    <w:rsid w:val="00C50529"/>
    <w:rsid w:val="00C51110"/>
    <w:rsid w:val="00C52352"/>
    <w:rsid w:val="00C525B2"/>
    <w:rsid w:val="00C53A41"/>
    <w:rsid w:val="00C53EC0"/>
    <w:rsid w:val="00C542D1"/>
    <w:rsid w:val="00C544D6"/>
    <w:rsid w:val="00C548A7"/>
    <w:rsid w:val="00C56292"/>
    <w:rsid w:val="00C5655F"/>
    <w:rsid w:val="00C565DB"/>
    <w:rsid w:val="00C569E4"/>
    <w:rsid w:val="00C56ABA"/>
    <w:rsid w:val="00C57D3E"/>
    <w:rsid w:val="00C60B20"/>
    <w:rsid w:val="00C6155C"/>
    <w:rsid w:val="00C62614"/>
    <w:rsid w:val="00C651C1"/>
    <w:rsid w:val="00C66BD8"/>
    <w:rsid w:val="00C70415"/>
    <w:rsid w:val="00C70993"/>
    <w:rsid w:val="00C70AF1"/>
    <w:rsid w:val="00C70E55"/>
    <w:rsid w:val="00C71DD3"/>
    <w:rsid w:val="00C72E0E"/>
    <w:rsid w:val="00C72E6B"/>
    <w:rsid w:val="00C730EF"/>
    <w:rsid w:val="00C73FE7"/>
    <w:rsid w:val="00C74D5B"/>
    <w:rsid w:val="00C75377"/>
    <w:rsid w:val="00C7631A"/>
    <w:rsid w:val="00C76C8E"/>
    <w:rsid w:val="00C77880"/>
    <w:rsid w:val="00C8125D"/>
    <w:rsid w:val="00C814A3"/>
    <w:rsid w:val="00C818B4"/>
    <w:rsid w:val="00C825DD"/>
    <w:rsid w:val="00C827D5"/>
    <w:rsid w:val="00C84C68"/>
    <w:rsid w:val="00C85093"/>
    <w:rsid w:val="00C85D2E"/>
    <w:rsid w:val="00C85E08"/>
    <w:rsid w:val="00C862A5"/>
    <w:rsid w:val="00C86AA4"/>
    <w:rsid w:val="00C87098"/>
    <w:rsid w:val="00C8762D"/>
    <w:rsid w:val="00C8769D"/>
    <w:rsid w:val="00C87E60"/>
    <w:rsid w:val="00C907D7"/>
    <w:rsid w:val="00C91662"/>
    <w:rsid w:val="00C926D9"/>
    <w:rsid w:val="00C92A39"/>
    <w:rsid w:val="00C92C4E"/>
    <w:rsid w:val="00C938E5"/>
    <w:rsid w:val="00C94742"/>
    <w:rsid w:val="00C95F90"/>
    <w:rsid w:val="00C9670C"/>
    <w:rsid w:val="00C96E44"/>
    <w:rsid w:val="00C97C6F"/>
    <w:rsid w:val="00C97F42"/>
    <w:rsid w:val="00CA08C8"/>
    <w:rsid w:val="00CA09FA"/>
    <w:rsid w:val="00CA0AAC"/>
    <w:rsid w:val="00CA0CC3"/>
    <w:rsid w:val="00CA0D59"/>
    <w:rsid w:val="00CA0EC1"/>
    <w:rsid w:val="00CA13DE"/>
    <w:rsid w:val="00CA27C9"/>
    <w:rsid w:val="00CA418B"/>
    <w:rsid w:val="00CA41C4"/>
    <w:rsid w:val="00CA4537"/>
    <w:rsid w:val="00CA6BC8"/>
    <w:rsid w:val="00CB0E28"/>
    <w:rsid w:val="00CB147C"/>
    <w:rsid w:val="00CB17D8"/>
    <w:rsid w:val="00CB1CC6"/>
    <w:rsid w:val="00CB1E77"/>
    <w:rsid w:val="00CB30A1"/>
    <w:rsid w:val="00CB4B74"/>
    <w:rsid w:val="00CB50C1"/>
    <w:rsid w:val="00CB53D7"/>
    <w:rsid w:val="00CB576B"/>
    <w:rsid w:val="00CB57BE"/>
    <w:rsid w:val="00CB67CE"/>
    <w:rsid w:val="00CB6BE3"/>
    <w:rsid w:val="00CC0136"/>
    <w:rsid w:val="00CC155C"/>
    <w:rsid w:val="00CC17D2"/>
    <w:rsid w:val="00CC1EC1"/>
    <w:rsid w:val="00CC2694"/>
    <w:rsid w:val="00CC27DB"/>
    <w:rsid w:val="00CC2947"/>
    <w:rsid w:val="00CC2B6C"/>
    <w:rsid w:val="00CC31F2"/>
    <w:rsid w:val="00CC36B5"/>
    <w:rsid w:val="00CC3A48"/>
    <w:rsid w:val="00CC3E3F"/>
    <w:rsid w:val="00CC48D9"/>
    <w:rsid w:val="00CC493C"/>
    <w:rsid w:val="00CC4FFE"/>
    <w:rsid w:val="00CC650F"/>
    <w:rsid w:val="00CC6E82"/>
    <w:rsid w:val="00CC70AE"/>
    <w:rsid w:val="00CC7916"/>
    <w:rsid w:val="00CC7F2A"/>
    <w:rsid w:val="00CD219E"/>
    <w:rsid w:val="00CD254B"/>
    <w:rsid w:val="00CD2F52"/>
    <w:rsid w:val="00CD33E1"/>
    <w:rsid w:val="00CD375B"/>
    <w:rsid w:val="00CD444A"/>
    <w:rsid w:val="00CD4702"/>
    <w:rsid w:val="00CD4942"/>
    <w:rsid w:val="00CD4BDF"/>
    <w:rsid w:val="00CD5667"/>
    <w:rsid w:val="00CD72BA"/>
    <w:rsid w:val="00CD7F46"/>
    <w:rsid w:val="00CE013A"/>
    <w:rsid w:val="00CE0EC9"/>
    <w:rsid w:val="00CE1620"/>
    <w:rsid w:val="00CE1932"/>
    <w:rsid w:val="00CE1C34"/>
    <w:rsid w:val="00CE242F"/>
    <w:rsid w:val="00CE37AD"/>
    <w:rsid w:val="00CE4041"/>
    <w:rsid w:val="00CE4D23"/>
    <w:rsid w:val="00CE5295"/>
    <w:rsid w:val="00CE60F0"/>
    <w:rsid w:val="00CE7D8E"/>
    <w:rsid w:val="00CF04F1"/>
    <w:rsid w:val="00CF152C"/>
    <w:rsid w:val="00CF18BF"/>
    <w:rsid w:val="00CF1E1A"/>
    <w:rsid w:val="00CF21E9"/>
    <w:rsid w:val="00CF332E"/>
    <w:rsid w:val="00CF3CCF"/>
    <w:rsid w:val="00CF3FE5"/>
    <w:rsid w:val="00CF4239"/>
    <w:rsid w:val="00CF4262"/>
    <w:rsid w:val="00CF534B"/>
    <w:rsid w:val="00CF60AE"/>
    <w:rsid w:val="00CF6947"/>
    <w:rsid w:val="00CF6B15"/>
    <w:rsid w:val="00CF7693"/>
    <w:rsid w:val="00CF7B45"/>
    <w:rsid w:val="00CF7E9F"/>
    <w:rsid w:val="00D00360"/>
    <w:rsid w:val="00D006AF"/>
    <w:rsid w:val="00D00ADA"/>
    <w:rsid w:val="00D01179"/>
    <w:rsid w:val="00D01D75"/>
    <w:rsid w:val="00D02428"/>
    <w:rsid w:val="00D024CA"/>
    <w:rsid w:val="00D032D6"/>
    <w:rsid w:val="00D03A44"/>
    <w:rsid w:val="00D04152"/>
    <w:rsid w:val="00D04772"/>
    <w:rsid w:val="00D05FA5"/>
    <w:rsid w:val="00D06E57"/>
    <w:rsid w:val="00D07633"/>
    <w:rsid w:val="00D07F72"/>
    <w:rsid w:val="00D106E3"/>
    <w:rsid w:val="00D10BD0"/>
    <w:rsid w:val="00D10C67"/>
    <w:rsid w:val="00D10CE6"/>
    <w:rsid w:val="00D11CD1"/>
    <w:rsid w:val="00D11E9F"/>
    <w:rsid w:val="00D11EBC"/>
    <w:rsid w:val="00D121A5"/>
    <w:rsid w:val="00D12815"/>
    <w:rsid w:val="00D145CD"/>
    <w:rsid w:val="00D154DA"/>
    <w:rsid w:val="00D155B5"/>
    <w:rsid w:val="00D15ACB"/>
    <w:rsid w:val="00D15BD2"/>
    <w:rsid w:val="00D16F9F"/>
    <w:rsid w:val="00D17525"/>
    <w:rsid w:val="00D1762D"/>
    <w:rsid w:val="00D2084F"/>
    <w:rsid w:val="00D20A82"/>
    <w:rsid w:val="00D2115B"/>
    <w:rsid w:val="00D21167"/>
    <w:rsid w:val="00D2157C"/>
    <w:rsid w:val="00D229F1"/>
    <w:rsid w:val="00D234E7"/>
    <w:rsid w:val="00D2392F"/>
    <w:rsid w:val="00D23ABC"/>
    <w:rsid w:val="00D247FF"/>
    <w:rsid w:val="00D24997"/>
    <w:rsid w:val="00D24D73"/>
    <w:rsid w:val="00D25719"/>
    <w:rsid w:val="00D26BEE"/>
    <w:rsid w:val="00D2750E"/>
    <w:rsid w:val="00D2771A"/>
    <w:rsid w:val="00D31072"/>
    <w:rsid w:val="00D31310"/>
    <w:rsid w:val="00D32BBE"/>
    <w:rsid w:val="00D32E25"/>
    <w:rsid w:val="00D33248"/>
    <w:rsid w:val="00D3365E"/>
    <w:rsid w:val="00D339B0"/>
    <w:rsid w:val="00D33AC4"/>
    <w:rsid w:val="00D34765"/>
    <w:rsid w:val="00D36F05"/>
    <w:rsid w:val="00D37323"/>
    <w:rsid w:val="00D406E5"/>
    <w:rsid w:val="00D40A59"/>
    <w:rsid w:val="00D41185"/>
    <w:rsid w:val="00D41E05"/>
    <w:rsid w:val="00D4272D"/>
    <w:rsid w:val="00D42963"/>
    <w:rsid w:val="00D43DDE"/>
    <w:rsid w:val="00D4641E"/>
    <w:rsid w:val="00D4775B"/>
    <w:rsid w:val="00D50FD8"/>
    <w:rsid w:val="00D522FB"/>
    <w:rsid w:val="00D52AB3"/>
    <w:rsid w:val="00D537CD"/>
    <w:rsid w:val="00D54511"/>
    <w:rsid w:val="00D547FA"/>
    <w:rsid w:val="00D54815"/>
    <w:rsid w:val="00D5535A"/>
    <w:rsid w:val="00D55C3F"/>
    <w:rsid w:val="00D56081"/>
    <w:rsid w:val="00D56F29"/>
    <w:rsid w:val="00D572AB"/>
    <w:rsid w:val="00D577E4"/>
    <w:rsid w:val="00D6031A"/>
    <w:rsid w:val="00D60BF4"/>
    <w:rsid w:val="00D60FDF"/>
    <w:rsid w:val="00D6109E"/>
    <w:rsid w:val="00D6221E"/>
    <w:rsid w:val="00D62662"/>
    <w:rsid w:val="00D629C6"/>
    <w:rsid w:val="00D62EDF"/>
    <w:rsid w:val="00D62F75"/>
    <w:rsid w:val="00D631FC"/>
    <w:rsid w:val="00D63A56"/>
    <w:rsid w:val="00D650AD"/>
    <w:rsid w:val="00D65432"/>
    <w:rsid w:val="00D659CD"/>
    <w:rsid w:val="00D65B6B"/>
    <w:rsid w:val="00D66027"/>
    <w:rsid w:val="00D660B4"/>
    <w:rsid w:val="00D6631E"/>
    <w:rsid w:val="00D66F85"/>
    <w:rsid w:val="00D67E35"/>
    <w:rsid w:val="00D67FDA"/>
    <w:rsid w:val="00D71BFC"/>
    <w:rsid w:val="00D72004"/>
    <w:rsid w:val="00D72083"/>
    <w:rsid w:val="00D72385"/>
    <w:rsid w:val="00D72B30"/>
    <w:rsid w:val="00D72D38"/>
    <w:rsid w:val="00D7396F"/>
    <w:rsid w:val="00D74513"/>
    <w:rsid w:val="00D74633"/>
    <w:rsid w:val="00D75303"/>
    <w:rsid w:val="00D75B9B"/>
    <w:rsid w:val="00D75EE5"/>
    <w:rsid w:val="00D762C2"/>
    <w:rsid w:val="00D767FA"/>
    <w:rsid w:val="00D7784D"/>
    <w:rsid w:val="00D7792E"/>
    <w:rsid w:val="00D802B2"/>
    <w:rsid w:val="00D80F54"/>
    <w:rsid w:val="00D80FFD"/>
    <w:rsid w:val="00D81962"/>
    <w:rsid w:val="00D825CD"/>
    <w:rsid w:val="00D82EEB"/>
    <w:rsid w:val="00D83100"/>
    <w:rsid w:val="00D841FA"/>
    <w:rsid w:val="00D85D48"/>
    <w:rsid w:val="00D866CC"/>
    <w:rsid w:val="00D86E8C"/>
    <w:rsid w:val="00D91325"/>
    <w:rsid w:val="00D91529"/>
    <w:rsid w:val="00D91D9D"/>
    <w:rsid w:val="00D9264D"/>
    <w:rsid w:val="00D92C1C"/>
    <w:rsid w:val="00D93012"/>
    <w:rsid w:val="00D937D9"/>
    <w:rsid w:val="00D93E7B"/>
    <w:rsid w:val="00D940EA"/>
    <w:rsid w:val="00D948EF"/>
    <w:rsid w:val="00D949DC"/>
    <w:rsid w:val="00D950C4"/>
    <w:rsid w:val="00D95C1B"/>
    <w:rsid w:val="00D975A0"/>
    <w:rsid w:val="00D97BE0"/>
    <w:rsid w:val="00DA11B0"/>
    <w:rsid w:val="00DA1209"/>
    <w:rsid w:val="00DA1340"/>
    <w:rsid w:val="00DA17B8"/>
    <w:rsid w:val="00DA34AA"/>
    <w:rsid w:val="00DA4069"/>
    <w:rsid w:val="00DA4780"/>
    <w:rsid w:val="00DA4B2F"/>
    <w:rsid w:val="00DA4CC8"/>
    <w:rsid w:val="00DA4D9F"/>
    <w:rsid w:val="00DA563B"/>
    <w:rsid w:val="00DA6126"/>
    <w:rsid w:val="00DA68D3"/>
    <w:rsid w:val="00DA6DE3"/>
    <w:rsid w:val="00DA73DE"/>
    <w:rsid w:val="00DB00F2"/>
    <w:rsid w:val="00DB0125"/>
    <w:rsid w:val="00DB08F9"/>
    <w:rsid w:val="00DB173A"/>
    <w:rsid w:val="00DB1F8F"/>
    <w:rsid w:val="00DB27D8"/>
    <w:rsid w:val="00DB2833"/>
    <w:rsid w:val="00DB2CEC"/>
    <w:rsid w:val="00DB3334"/>
    <w:rsid w:val="00DB3D3B"/>
    <w:rsid w:val="00DB4032"/>
    <w:rsid w:val="00DB412C"/>
    <w:rsid w:val="00DB5B7E"/>
    <w:rsid w:val="00DB5D42"/>
    <w:rsid w:val="00DB67EA"/>
    <w:rsid w:val="00DB7B2D"/>
    <w:rsid w:val="00DC0168"/>
    <w:rsid w:val="00DC0686"/>
    <w:rsid w:val="00DC0886"/>
    <w:rsid w:val="00DC09A1"/>
    <w:rsid w:val="00DC2DD9"/>
    <w:rsid w:val="00DC3A88"/>
    <w:rsid w:val="00DC4004"/>
    <w:rsid w:val="00DC43B0"/>
    <w:rsid w:val="00DC50F0"/>
    <w:rsid w:val="00DC5530"/>
    <w:rsid w:val="00DC59FA"/>
    <w:rsid w:val="00DC66B0"/>
    <w:rsid w:val="00DC6E27"/>
    <w:rsid w:val="00DC775F"/>
    <w:rsid w:val="00DD02A6"/>
    <w:rsid w:val="00DD1000"/>
    <w:rsid w:val="00DD1594"/>
    <w:rsid w:val="00DD1E5D"/>
    <w:rsid w:val="00DD2224"/>
    <w:rsid w:val="00DD22EB"/>
    <w:rsid w:val="00DD2864"/>
    <w:rsid w:val="00DD3091"/>
    <w:rsid w:val="00DD364D"/>
    <w:rsid w:val="00DD41BE"/>
    <w:rsid w:val="00DD490A"/>
    <w:rsid w:val="00DD4EF6"/>
    <w:rsid w:val="00DD5451"/>
    <w:rsid w:val="00DD5AEF"/>
    <w:rsid w:val="00DD62D1"/>
    <w:rsid w:val="00DE046B"/>
    <w:rsid w:val="00DE0883"/>
    <w:rsid w:val="00DE1AF8"/>
    <w:rsid w:val="00DE5302"/>
    <w:rsid w:val="00DE58DF"/>
    <w:rsid w:val="00DE66FD"/>
    <w:rsid w:val="00DE6CC6"/>
    <w:rsid w:val="00DE6FEC"/>
    <w:rsid w:val="00DE72C3"/>
    <w:rsid w:val="00DE797C"/>
    <w:rsid w:val="00DF2300"/>
    <w:rsid w:val="00DF2D8A"/>
    <w:rsid w:val="00DF32E8"/>
    <w:rsid w:val="00DF3F43"/>
    <w:rsid w:val="00DF4320"/>
    <w:rsid w:val="00DF4FCD"/>
    <w:rsid w:val="00DF53D6"/>
    <w:rsid w:val="00DF6F4D"/>
    <w:rsid w:val="00DF7193"/>
    <w:rsid w:val="00E00261"/>
    <w:rsid w:val="00E005DA"/>
    <w:rsid w:val="00E006A1"/>
    <w:rsid w:val="00E00D5C"/>
    <w:rsid w:val="00E010E8"/>
    <w:rsid w:val="00E0206F"/>
    <w:rsid w:val="00E020A6"/>
    <w:rsid w:val="00E02AA5"/>
    <w:rsid w:val="00E02B2D"/>
    <w:rsid w:val="00E036F0"/>
    <w:rsid w:val="00E039AF"/>
    <w:rsid w:val="00E06204"/>
    <w:rsid w:val="00E068E0"/>
    <w:rsid w:val="00E07156"/>
    <w:rsid w:val="00E07D1C"/>
    <w:rsid w:val="00E10FBE"/>
    <w:rsid w:val="00E11D0C"/>
    <w:rsid w:val="00E1356E"/>
    <w:rsid w:val="00E135B5"/>
    <w:rsid w:val="00E13F0C"/>
    <w:rsid w:val="00E140DB"/>
    <w:rsid w:val="00E14133"/>
    <w:rsid w:val="00E149DC"/>
    <w:rsid w:val="00E155D5"/>
    <w:rsid w:val="00E16F4E"/>
    <w:rsid w:val="00E17043"/>
    <w:rsid w:val="00E170C9"/>
    <w:rsid w:val="00E203F3"/>
    <w:rsid w:val="00E2041C"/>
    <w:rsid w:val="00E21AE4"/>
    <w:rsid w:val="00E21CD7"/>
    <w:rsid w:val="00E22103"/>
    <w:rsid w:val="00E2293E"/>
    <w:rsid w:val="00E23187"/>
    <w:rsid w:val="00E23369"/>
    <w:rsid w:val="00E237D4"/>
    <w:rsid w:val="00E242CA"/>
    <w:rsid w:val="00E25A29"/>
    <w:rsid w:val="00E26006"/>
    <w:rsid w:val="00E26D64"/>
    <w:rsid w:val="00E2715C"/>
    <w:rsid w:val="00E301A7"/>
    <w:rsid w:val="00E30606"/>
    <w:rsid w:val="00E30C7B"/>
    <w:rsid w:val="00E316C2"/>
    <w:rsid w:val="00E31BAD"/>
    <w:rsid w:val="00E31DAB"/>
    <w:rsid w:val="00E32581"/>
    <w:rsid w:val="00E32953"/>
    <w:rsid w:val="00E3332B"/>
    <w:rsid w:val="00E33C43"/>
    <w:rsid w:val="00E343C9"/>
    <w:rsid w:val="00E34C6D"/>
    <w:rsid w:val="00E35805"/>
    <w:rsid w:val="00E36287"/>
    <w:rsid w:val="00E3696F"/>
    <w:rsid w:val="00E36C85"/>
    <w:rsid w:val="00E40DED"/>
    <w:rsid w:val="00E413B6"/>
    <w:rsid w:val="00E4141D"/>
    <w:rsid w:val="00E426CC"/>
    <w:rsid w:val="00E4358F"/>
    <w:rsid w:val="00E44378"/>
    <w:rsid w:val="00E449B8"/>
    <w:rsid w:val="00E4688F"/>
    <w:rsid w:val="00E47219"/>
    <w:rsid w:val="00E51489"/>
    <w:rsid w:val="00E52BC0"/>
    <w:rsid w:val="00E530C5"/>
    <w:rsid w:val="00E5317C"/>
    <w:rsid w:val="00E5494D"/>
    <w:rsid w:val="00E54C85"/>
    <w:rsid w:val="00E54E6A"/>
    <w:rsid w:val="00E55774"/>
    <w:rsid w:val="00E55A75"/>
    <w:rsid w:val="00E55FA7"/>
    <w:rsid w:val="00E569A6"/>
    <w:rsid w:val="00E572A7"/>
    <w:rsid w:val="00E575FC"/>
    <w:rsid w:val="00E57B70"/>
    <w:rsid w:val="00E60288"/>
    <w:rsid w:val="00E602F1"/>
    <w:rsid w:val="00E60430"/>
    <w:rsid w:val="00E604C0"/>
    <w:rsid w:val="00E60692"/>
    <w:rsid w:val="00E60A74"/>
    <w:rsid w:val="00E613E5"/>
    <w:rsid w:val="00E6222F"/>
    <w:rsid w:val="00E62DA5"/>
    <w:rsid w:val="00E63010"/>
    <w:rsid w:val="00E63640"/>
    <w:rsid w:val="00E6398C"/>
    <w:rsid w:val="00E64193"/>
    <w:rsid w:val="00E64ACD"/>
    <w:rsid w:val="00E658FF"/>
    <w:rsid w:val="00E65D3D"/>
    <w:rsid w:val="00E65DAE"/>
    <w:rsid w:val="00E66468"/>
    <w:rsid w:val="00E6685B"/>
    <w:rsid w:val="00E66FDF"/>
    <w:rsid w:val="00E674C6"/>
    <w:rsid w:val="00E674DE"/>
    <w:rsid w:val="00E67932"/>
    <w:rsid w:val="00E67A43"/>
    <w:rsid w:val="00E67FE3"/>
    <w:rsid w:val="00E71DC3"/>
    <w:rsid w:val="00E72A19"/>
    <w:rsid w:val="00E72EFA"/>
    <w:rsid w:val="00E72F6C"/>
    <w:rsid w:val="00E74A09"/>
    <w:rsid w:val="00E74A4F"/>
    <w:rsid w:val="00E75DA7"/>
    <w:rsid w:val="00E76E7E"/>
    <w:rsid w:val="00E77B27"/>
    <w:rsid w:val="00E8003B"/>
    <w:rsid w:val="00E80049"/>
    <w:rsid w:val="00E81204"/>
    <w:rsid w:val="00E815CC"/>
    <w:rsid w:val="00E82F0A"/>
    <w:rsid w:val="00E83F32"/>
    <w:rsid w:val="00E87546"/>
    <w:rsid w:val="00E877D2"/>
    <w:rsid w:val="00E87823"/>
    <w:rsid w:val="00E90E61"/>
    <w:rsid w:val="00E90F8E"/>
    <w:rsid w:val="00E91327"/>
    <w:rsid w:val="00E91658"/>
    <w:rsid w:val="00E939EC"/>
    <w:rsid w:val="00E93D0A"/>
    <w:rsid w:val="00E96185"/>
    <w:rsid w:val="00E9772C"/>
    <w:rsid w:val="00E97DD2"/>
    <w:rsid w:val="00E97E85"/>
    <w:rsid w:val="00EA066E"/>
    <w:rsid w:val="00EA0B55"/>
    <w:rsid w:val="00EA0C18"/>
    <w:rsid w:val="00EA1BAC"/>
    <w:rsid w:val="00EA230A"/>
    <w:rsid w:val="00EA2C96"/>
    <w:rsid w:val="00EA2F1C"/>
    <w:rsid w:val="00EA3B72"/>
    <w:rsid w:val="00EA4148"/>
    <w:rsid w:val="00EA4520"/>
    <w:rsid w:val="00EA48D9"/>
    <w:rsid w:val="00EA53BB"/>
    <w:rsid w:val="00EA60D2"/>
    <w:rsid w:val="00EA610D"/>
    <w:rsid w:val="00EA757A"/>
    <w:rsid w:val="00EA7E4B"/>
    <w:rsid w:val="00EA7EF4"/>
    <w:rsid w:val="00EB0324"/>
    <w:rsid w:val="00EB1E1F"/>
    <w:rsid w:val="00EB1E82"/>
    <w:rsid w:val="00EB1FB4"/>
    <w:rsid w:val="00EB3010"/>
    <w:rsid w:val="00EB33D3"/>
    <w:rsid w:val="00EB45CF"/>
    <w:rsid w:val="00EB51C3"/>
    <w:rsid w:val="00EB5D46"/>
    <w:rsid w:val="00EC00AB"/>
    <w:rsid w:val="00EC0AFE"/>
    <w:rsid w:val="00EC0FA0"/>
    <w:rsid w:val="00EC15B6"/>
    <w:rsid w:val="00EC187E"/>
    <w:rsid w:val="00EC18B2"/>
    <w:rsid w:val="00EC196C"/>
    <w:rsid w:val="00EC23DA"/>
    <w:rsid w:val="00EC2653"/>
    <w:rsid w:val="00EC29DA"/>
    <w:rsid w:val="00EC2B51"/>
    <w:rsid w:val="00EC319D"/>
    <w:rsid w:val="00EC4556"/>
    <w:rsid w:val="00EC4717"/>
    <w:rsid w:val="00EC5616"/>
    <w:rsid w:val="00EC58A3"/>
    <w:rsid w:val="00EC5DA8"/>
    <w:rsid w:val="00ED0E47"/>
    <w:rsid w:val="00ED1527"/>
    <w:rsid w:val="00ED190D"/>
    <w:rsid w:val="00ED270E"/>
    <w:rsid w:val="00ED28CF"/>
    <w:rsid w:val="00ED3188"/>
    <w:rsid w:val="00ED4A0C"/>
    <w:rsid w:val="00ED4AC3"/>
    <w:rsid w:val="00ED4AF6"/>
    <w:rsid w:val="00ED64FE"/>
    <w:rsid w:val="00ED6908"/>
    <w:rsid w:val="00ED6E97"/>
    <w:rsid w:val="00ED6F96"/>
    <w:rsid w:val="00ED7EC3"/>
    <w:rsid w:val="00EE1966"/>
    <w:rsid w:val="00EE1BAD"/>
    <w:rsid w:val="00EE20D0"/>
    <w:rsid w:val="00EE2FA1"/>
    <w:rsid w:val="00EE36B5"/>
    <w:rsid w:val="00EE40F3"/>
    <w:rsid w:val="00EE4158"/>
    <w:rsid w:val="00EE45B9"/>
    <w:rsid w:val="00EE4E55"/>
    <w:rsid w:val="00EE5BD7"/>
    <w:rsid w:val="00EE6B9A"/>
    <w:rsid w:val="00EE6E66"/>
    <w:rsid w:val="00EE7079"/>
    <w:rsid w:val="00EE71E0"/>
    <w:rsid w:val="00EE7966"/>
    <w:rsid w:val="00EE7A61"/>
    <w:rsid w:val="00EF0712"/>
    <w:rsid w:val="00EF0C95"/>
    <w:rsid w:val="00EF1E7F"/>
    <w:rsid w:val="00EF26C8"/>
    <w:rsid w:val="00EF2D2D"/>
    <w:rsid w:val="00EF3561"/>
    <w:rsid w:val="00EF3A96"/>
    <w:rsid w:val="00EF40C1"/>
    <w:rsid w:val="00EF494C"/>
    <w:rsid w:val="00EF5EBA"/>
    <w:rsid w:val="00EF6232"/>
    <w:rsid w:val="00EF6BFE"/>
    <w:rsid w:val="00EF7B0C"/>
    <w:rsid w:val="00F0016F"/>
    <w:rsid w:val="00F00869"/>
    <w:rsid w:val="00F009F4"/>
    <w:rsid w:val="00F00C4F"/>
    <w:rsid w:val="00F00DED"/>
    <w:rsid w:val="00F01319"/>
    <w:rsid w:val="00F023D4"/>
    <w:rsid w:val="00F029E1"/>
    <w:rsid w:val="00F032F5"/>
    <w:rsid w:val="00F03880"/>
    <w:rsid w:val="00F044D9"/>
    <w:rsid w:val="00F048F7"/>
    <w:rsid w:val="00F05448"/>
    <w:rsid w:val="00F056F4"/>
    <w:rsid w:val="00F063A2"/>
    <w:rsid w:val="00F064F6"/>
    <w:rsid w:val="00F0684A"/>
    <w:rsid w:val="00F06F88"/>
    <w:rsid w:val="00F10904"/>
    <w:rsid w:val="00F1139A"/>
    <w:rsid w:val="00F123F9"/>
    <w:rsid w:val="00F13A36"/>
    <w:rsid w:val="00F1608E"/>
    <w:rsid w:val="00F16317"/>
    <w:rsid w:val="00F16514"/>
    <w:rsid w:val="00F16C8D"/>
    <w:rsid w:val="00F16F28"/>
    <w:rsid w:val="00F170C0"/>
    <w:rsid w:val="00F17642"/>
    <w:rsid w:val="00F17C04"/>
    <w:rsid w:val="00F17DF5"/>
    <w:rsid w:val="00F20700"/>
    <w:rsid w:val="00F23198"/>
    <w:rsid w:val="00F23A22"/>
    <w:rsid w:val="00F253CB"/>
    <w:rsid w:val="00F265DD"/>
    <w:rsid w:val="00F266D8"/>
    <w:rsid w:val="00F26F91"/>
    <w:rsid w:val="00F276FF"/>
    <w:rsid w:val="00F27888"/>
    <w:rsid w:val="00F2791A"/>
    <w:rsid w:val="00F30339"/>
    <w:rsid w:val="00F30F33"/>
    <w:rsid w:val="00F31420"/>
    <w:rsid w:val="00F31451"/>
    <w:rsid w:val="00F32275"/>
    <w:rsid w:val="00F3249C"/>
    <w:rsid w:val="00F329FB"/>
    <w:rsid w:val="00F32B41"/>
    <w:rsid w:val="00F32D37"/>
    <w:rsid w:val="00F33AA9"/>
    <w:rsid w:val="00F346AF"/>
    <w:rsid w:val="00F34DF1"/>
    <w:rsid w:val="00F34F3D"/>
    <w:rsid w:val="00F3582C"/>
    <w:rsid w:val="00F36578"/>
    <w:rsid w:val="00F36A06"/>
    <w:rsid w:val="00F37754"/>
    <w:rsid w:val="00F40451"/>
    <w:rsid w:val="00F404E9"/>
    <w:rsid w:val="00F42AD0"/>
    <w:rsid w:val="00F43204"/>
    <w:rsid w:val="00F43981"/>
    <w:rsid w:val="00F44B26"/>
    <w:rsid w:val="00F455B2"/>
    <w:rsid w:val="00F45609"/>
    <w:rsid w:val="00F45924"/>
    <w:rsid w:val="00F47570"/>
    <w:rsid w:val="00F47EAE"/>
    <w:rsid w:val="00F50CF0"/>
    <w:rsid w:val="00F51BF8"/>
    <w:rsid w:val="00F52D0B"/>
    <w:rsid w:val="00F52DD5"/>
    <w:rsid w:val="00F533BC"/>
    <w:rsid w:val="00F53699"/>
    <w:rsid w:val="00F5488E"/>
    <w:rsid w:val="00F54A75"/>
    <w:rsid w:val="00F55093"/>
    <w:rsid w:val="00F551BA"/>
    <w:rsid w:val="00F5540E"/>
    <w:rsid w:val="00F55579"/>
    <w:rsid w:val="00F557FD"/>
    <w:rsid w:val="00F56217"/>
    <w:rsid w:val="00F56881"/>
    <w:rsid w:val="00F6142A"/>
    <w:rsid w:val="00F61D1C"/>
    <w:rsid w:val="00F64790"/>
    <w:rsid w:val="00F64C1F"/>
    <w:rsid w:val="00F65078"/>
    <w:rsid w:val="00F6552E"/>
    <w:rsid w:val="00F66ED3"/>
    <w:rsid w:val="00F66F42"/>
    <w:rsid w:val="00F6779C"/>
    <w:rsid w:val="00F705A4"/>
    <w:rsid w:val="00F71135"/>
    <w:rsid w:val="00F712D4"/>
    <w:rsid w:val="00F71679"/>
    <w:rsid w:val="00F716C6"/>
    <w:rsid w:val="00F71CCE"/>
    <w:rsid w:val="00F71FBC"/>
    <w:rsid w:val="00F728F9"/>
    <w:rsid w:val="00F72CBD"/>
    <w:rsid w:val="00F72E6B"/>
    <w:rsid w:val="00F731FF"/>
    <w:rsid w:val="00F733A8"/>
    <w:rsid w:val="00F7389A"/>
    <w:rsid w:val="00F73AA2"/>
    <w:rsid w:val="00F747F7"/>
    <w:rsid w:val="00F754EF"/>
    <w:rsid w:val="00F761DB"/>
    <w:rsid w:val="00F76CA2"/>
    <w:rsid w:val="00F77210"/>
    <w:rsid w:val="00F77DC3"/>
    <w:rsid w:val="00F804C1"/>
    <w:rsid w:val="00F80FC9"/>
    <w:rsid w:val="00F820F4"/>
    <w:rsid w:val="00F83454"/>
    <w:rsid w:val="00F83D63"/>
    <w:rsid w:val="00F8455D"/>
    <w:rsid w:val="00F84B0A"/>
    <w:rsid w:val="00F8520B"/>
    <w:rsid w:val="00F853E0"/>
    <w:rsid w:val="00F85E63"/>
    <w:rsid w:val="00F85EC1"/>
    <w:rsid w:val="00F866E3"/>
    <w:rsid w:val="00F86871"/>
    <w:rsid w:val="00F86891"/>
    <w:rsid w:val="00F86E43"/>
    <w:rsid w:val="00F875D0"/>
    <w:rsid w:val="00F8780C"/>
    <w:rsid w:val="00F87C59"/>
    <w:rsid w:val="00F9010F"/>
    <w:rsid w:val="00F909AC"/>
    <w:rsid w:val="00F909DD"/>
    <w:rsid w:val="00F90A74"/>
    <w:rsid w:val="00F91CFC"/>
    <w:rsid w:val="00F91F42"/>
    <w:rsid w:val="00F92D92"/>
    <w:rsid w:val="00F92FBB"/>
    <w:rsid w:val="00F93C1D"/>
    <w:rsid w:val="00F93DFF"/>
    <w:rsid w:val="00F94083"/>
    <w:rsid w:val="00F943C3"/>
    <w:rsid w:val="00F94D18"/>
    <w:rsid w:val="00F955DE"/>
    <w:rsid w:val="00F95718"/>
    <w:rsid w:val="00F960A8"/>
    <w:rsid w:val="00F96517"/>
    <w:rsid w:val="00F96E38"/>
    <w:rsid w:val="00FA04EE"/>
    <w:rsid w:val="00FA06BB"/>
    <w:rsid w:val="00FA0AEC"/>
    <w:rsid w:val="00FA10F5"/>
    <w:rsid w:val="00FA24EB"/>
    <w:rsid w:val="00FA2793"/>
    <w:rsid w:val="00FA2971"/>
    <w:rsid w:val="00FA3037"/>
    <w:rsid w:val="00FA3A03"/>
    <w:rsid w:val="00FA4A6A"/>
    <w:rsid w:val="00FA4B3F"/>
    <w:rsid w:val="00FA4BB4"/>
    <w:rsid w:val="00FA4FDB"/>
    <w:rsid w:val="00FA6BB4"/>
    <w:rsid w:val="00FA6ECE"/>
    <w:rsid w:val="00FA7870"/>
    <w:rsid w:val="00FB0117"/>
    <w:rsid w:val="00FB0641"/>
    <w:rsid w:val="00FB0883"/>
    <w:rsid w:val="00FB189B"/>
    <w:rsid w:val="00FB2B81"/>
    <w:rsid w:val="00FB2FDA"/>
    <w:rsid w:val="00FB30DF"/>
    <w:rsid w:val="00FB337A"/>
    <w:rsid w:val="00FB3435"/>
    <w:rsid w:val="00FB34BC"/>
    <w:rsid w:val="00FB396D"/>
    <w:rsid w:val="00FB3A38"/>
    <w:rsid w:val="00FB4271"/>
    <w:rsid w:val="00FB6E82"/>
    <w:rsid w:val="00FB77D2"/>
    <w:rsid w:val="00FB7976"/>
    <w:rsid w:val="00FB7DA3"/>
    <w:rsid w:val="00FC06E4"/>
    <w:rsid w:val="00FC0C1C"/>
    <w:rsid w:val="00FC0F85"/>
    <w:rsid w:val="00FC23BA"/>
    <w:rsid w:val="00FC27E7"/>
    <w:rsid w:val="00FC29A5"/>
    <w:rsid w:val="00FC3235"/>
    <w:rsid w:val="00FC3747"/>
    <w:rsid w:val="00FC3E47"/>
    <w:rsid w:val="00FC4622"/>
    <w:rsid w:val="00FC4985"/>
    <w:rsid w:val="00FC4A4E"/>
    <w:rsid w:val="00FC4A68"/>
    <w:rsid w:val="00FC5233"/>
    <w:rsid w:val="00FC52E0"/>
    <w:rsid w:val="00FC54E5"/>
    <w:rsid w:val="00FC5F15"/>
    <w:rsid w:val="00FC67E6"/>
    <w:rsid w:val="00FC7774"/>
    <w:rsid w:val="00FD1740"/>
    <w:rsid w:val="00FD380A"/>
    <w:rsid w:val="00FD3AEF"/>
    <w:rsid w:val="00FD3EC2"/>
    <w:rsid w:val="00FD3F38"/>
    <w:rsid w:val="00FD50A6"/>
    <w:rsid w:val="00FD7866"/>
    <w:rsid w:val="00FE031E"/>
    <w:rsid w:val="00FE091D"/>
    <w:rsid w:val="00FE0F5F"/>
    <w:rsid w:val="00FE16A7"/>
    <w:rsid w:val="00FE1C41"/>
    <w:rsid w:val="00FE2112"/>
    <w:rsid w:val="00FE2C50"/>
    <w:rsid w:val="00FE4955"/>
    <w:rsid w:val="00FE6BBC"/>
    <w:rsid w:val="00FE7FFC"/>
    <w:rsid w:val="00FF0820"/>
    <w:rsid w:val="00FF0F04"/>
    <w:rsid w:val="00FF16E6"/>
    <w:rsid w:val="00FF3DFD"/>
    <w:rsid w:val="00FF4A2B"/>
    <w:rsid w:val="00FF4A4F"/>
    <w:rsid w:val="00FF5722"/>
    <w:rsid w:val="00FF682D"/>
    <w:rsid w:val="00FF7EF7"/>
    <w:rsid w:val="4FAFC775"/>
    <w:rsid w:val="626562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E363"/>
  <w15:chartTrackingRefBased/>
  <w15:docId w15:val="{9BF33D45-4051-4817-9577-B8C0C681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AB"/>
  </w:style>
  <w:style w:type="paragraph" w:styleId="Heading1">
    <w:name w:val="heading 1"/>
    <w:aliases w:val="1,Heading 1 Char1 Char,Heading 1 Char Char Char,Heading 1 Char1 Char Char Char,Heading 1 Char Char Char Char Char,Heading 1 Char1 Char Char Char Char Char,Heading 1 Char Char Char Char Char Char Char,Heading 1 Char1 Char1"/>
    <w:basedOn w:val="Normal"/>
    <w:next w:val="Normal"/>
    <w:link w:val="Heading1Char"/>
    <w:uiPriority w:val="9"/>
    <w:qFormat/>
    <w:rsid w:val="003428AB"/>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SubHeading"/>
    <w:basedOn w:val="Normal"/>
    <w:next w:val="Normal"/>
    <w:link w:val="Heading2Char"/>
    <w:uiPriority w:val="9"/>
    <w:unhideWhenUsed/>
    <w:qFormat/>
    <w:rsid w:val="003428A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MinorHeading"/>
    <w:basedOn w:val="Normal"/>
    <w:next w:val="Normal"/>
    <w:link w:val="Heading3Char"/>
    <w:uiPriority w:val="9"/>
    <w:unhideWhenUsed/>
    <w:qFormat/>
    <w:rsid w:val="003428AB"/>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3428A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428AB"/>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3428AB"/>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3428AB"/>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3428AB"/>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3428AB"/>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345"/>
    <w:rPr>
      <w:color w:val="0000FF" w:themeColor="hyperlink"/>
      <w:u w:val="single"/>
    </w:rPr>
  </w:style>
  <w:style w:type="character" w:styleId="CommentReference">
    <w:name w:val="annotation reference"/>
    <w:basedOn w:val="DefaultParagraphFont"/>
    <w:uiPriority w:val="99"/>
    <w:unhideWhenUsed/>
    <w:rsid w:val="00A704F5"/>
    <w:rPr>
      <w:sz w:val="16"/>
      <w:szCs w:val="16"/>
    </w:rPr>
  </w:style>
  <w:style w:type="paragraph" w:styleId="CommentText">
    <w:name w:val="annotation text"/>
    <w:basedOn w:val="Normal"/>
    <w:link w:val="CommentTextChar"/>
    <w:uiPriority w:val="99"/>
    <w:unhideWhenUsed/>
    <w:rsid w:val="00A704F5"/>
    <w:pPr>
      <w:spacing w:line="240" w:lineRule="auto"/>
    </w:pPr>
  </w:style>
  <w:style w:type="character" w:customStyle="1" w:styleId="CommentTextChar">
    <w:name w:val="Comment Text Char"/>
    <w:basedOn w:val="DefaultParagraphFont"/>
    <w:link w:val="CommentText"/>
    <w:uiPriority w:val="99"/>
    <w:rsid w:val="00A704F5"/>
    <w:rPr>
      <w:sz w:val="20"/>
      <w:szCs w:val="20"/>
    </w:rPr>
  </w:style>
  <w:style w:type="paragraph" w:styleId="CommentSubject">
    <w:name w:val="annotation subject"/>
    <w:basedOn w:val="CommentText"/>
    <w:next w:val="CommentText"/>
    <w:link w:val="CommentSubjectChar"/>
    <w:unhideWhenUsed/>
    <w:rsid w:val="00A704F5"/>
    <w:rPr>
      <w:b/>
      <w:bCs/>
    </w:rPr>
  </w:style>
  <w:style w:type="character" w:customStyle="1" w:styleId="CommentSubjectChar">
    <w:name w:val="Comment Subject Char"/>
    <w:basedOn w:val="CommentTextChar"/>
    <w:link w:val="CommentSubject"/>
    <w:rsid w:val="00A704F5"/>
    <w:rPr>
      <w:b/>
      <w:bCs/>
      <w:sz w:val="20"/>
      <w:szCs w:val="20"/>
    </w:rPr>
  </w:style>
  <w:style w:type="paragraph" w:styleId="BalloonText">
    <w:name w:val="Balloon Text"/>
    <w:basedOn w:val="Normal"/>
    <w:link w:val="BalloonTextChar"/>
    <w:uiPriority w:val="99"/>
    <w:semiHidden/>
    <w:unhideWhenUsed/>
    <w:rsid w:val="00A7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F5"/>
    <w:rPr>
      <w:rFonts w:ascii="Segoe UI" w:hAnsi="Segoe UI" w:cs="Segoe UI"/>
      <w:sz w:val="18"/>
      <w:szCs w:val="18"/>
    </w:rPr>
  </w:style>
  <w:style w:type="character" w:customStyle="1" w:styleId="Heading1Char">
    <w:name w:val="Heading 1 Char"/>
    <w:aliases w:val="1 Char1,Heading 1 Char1 Char Char1,Heading 1 Char Char Char Char1,Heading 1 Char1 Char Char Char Char1,Heading 1 Char Char Char Char Char Char1,Heading 1 Char1 Char Char Char Char Char Char1,Heading 1 Char1 Char1 Char"/>
    <w:basedOn w:val="DefaultParagraphFont"/>
    <w:link w:val="Heading1"/>
    <w:uiPriority w:val="9"/>
    <w:rsid w:val="003428AB"/>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SubHeading Char"/>
    <w:basedOn w:val="DefaultParagraphFont"/>
    <w:link w:val="Heading2"/>
    <w:uiPriority w:val="9"/>
    <w:rsid w:val="003428AB"/>
    <w:rPr>
      <w:rFonts w:asciiTheme="majorHAnsi" w:eastAsiaTheme="majorEastAsia" w:hAnsiTheme="majorHAnsi" w:cstheme="majorBidi"/>
      <w:color w:val="404040" w:themeColor="text1" w:themeTint="BF"/>
      <w:sz w:val="28"/>
      <w:szCs w:val="28"/>
    </w:rPr>
  </w:style>
  <w:style w:type="character" w:customStyle="1" w:styleId="Heading3Char">
    <w:name w:val="Heading 3 Char"/>
    <w:aliases w:val="~MinorHeading Char"/>
    <w:basedOn w:val="DefaultParagraphFont"/>
    <w:link w:val="Heading3"/>
    <w:uiPriority w:val="9"/>
    <w:rsid w:val="003428AB"/>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3428A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428AB"/>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3428AB"/>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3428AB"/>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3428AB"/>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3428AB"/>
    <w:rPr>
      <w:rFonts w:asciiTheme="majorHAnsi" w:eastAsiaTheme="majorEastAsia" w:hAnsiTheme="majorHAnsi" w:cstheme="majorBidi"/>
      <w:b/>
      <w:bCs/>
      <w:i/>
      <w:iCs/>
      <w:color w:val="1F497D" w:themeColor="text2"/>
    </w:rPr>
  </w:style>
  <w:style w:type="character" w:styleId="FollowedHyperlink">
    <w:name w:val="FollowedHyperlink"/>
    <w:uiPriority w:val="99"/>
    <w:unhideWhenUsed/>
    <w:rsid w:val="004C4D62"/>
    <w:rPr>
      <w:color w:val="954F72"/>
      <w:u w:val="single"/>
    </w:rPr>
  </w:style>
  <w:style w:type="character" w:customStyle="1" w:styleId="Heading1Char1">
    <w:name w:val="Heading 1 Char1"/>
    <w:aliases w:val="1 Char,Heading 1 Char1 Char Char,Heading 1 Char Char Char Char,Heading 1 Char1 Char Char Char Char,Heading 1 Char Char Char Char Char Char,Heading 1 Char1 Char Char Char Char Char Char,Heading 1 Char Char Char Char Char Char Char Char"/>
    <w:locked/>
    <w:rsid w:val="004C4D62"/>
    <w:rPr>
      <w:rFonts w:ascii="Arial" w:eastAsia="Times New Roman" w:hAnsi="Arial" w:cs="Times New Roman"/>
      <w:b/>
      <w:bCs/>
      <w:caps/>
      <w:color w:val="FFFFFF"/>
      <w:sz w:val="24"/>
      <w:szCs w:val="28"/>
      <w:shd w:val="clear" w:color="auto" w:fill="244061"/>
      <w:lang w:val="x-none" w:eastAsia="x-none"/>
    </w:rPr>
  </w:style>
  <w:style w:type="character" w:customStyle="1" w:styleId="Heading2Char1">
    <w:name w:val="Heading 2 Char1"/>
    <w:aliases w:val="~SubHeading Char1"/>
    <w:basedOn w:val="DefaultParagraphFont"/>
    <w:semiHidden/>
    <w:rsid w:val="004C4D62"/>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4C4D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x7">
    <w:name w:val="index 7"/>
    <w:basedOn w:val="Normal"/>
    <w:next w:val="Normal"/>
    <w:autoRedefine/>
    <w:semiHidden/>
    <w:unhideWhenUsed/>
    <w:rsid w:val="004C4D62"/>
    <w:pPr>
      <w:spacing w:after="240" w:line="240" w:lineRule="auto"/>
      <w:ind w:left="1680" w:hanging="240"/>
      <w:jc w:val="both"/>
    </w:pPr>
    <w:rPr>
      <w:rFonts w:ascii="Times New Roman" w:eastAsia="Times New Roman" w:hAnsi="Times New Roman" w:cs="Times New Roman"/>
      <w:sz w:val="24"/>
    </w:rPr>
  </w:style>
  <w:style w:type="paragraph" w:styleId="Index9">
    <w:name w:val="index 9"/>
    <w:basedOn w:val="Normal"/>
    <w:next w:val="Normal"/>
    <w:autoRedefine/>
    <w:semiHidden/>
    <w:unhideWhenUsed/>
    <w:rsid w:val="004C4D62"/>
    <w:pPr>
      <w:spacing w:after="240" w:line="240" w:lineRule="auto"/>
      <w:ind w:left="2160" w:hanging="240"/>
      <w:jc w:val="both"/>
    </w:pPr>
    <w:rPr>
      <w:rFonts w:ascii="Times New Roman" w:eastAsia="Times New Roman" w:hAnsi="Times New Roman" w:cs="Times New Roman"/>
      <w:sz w:val="24"/>
    </w:rPr>
  </w:style>
  <w:style w:type="paragraph" w:styleId="TOC1">
    <w:name w:val="toc 1"/>
    <w:basedOn w:val="Normal"/>
    <w:next w:val="Normal"/>
    <w:autoRedefine/>
    <w:uiPriority w:val="39"/>
    <w:unhideWhenUsed/>
    <w:rsid w:val="00E13F0C"/>
    <w:pPr>
      <w:tabs>
        <w:tab w:val="left" w:pos="284"/>
        <w:tab w:val="right" w:leader="dot" w:pos="9060"/>
      </w:tabs>
      <w:spacing w:before="120" w:line="240" w:lineRule="auto"/>
    </w:pPr>
    <w:rPr>
      <w:rFonts w:ascii="Arial" w:hAnsi="Arial" w:cs="Arial"/>
      <w:b/>
      <w:caps/>
      <w:noProof/>
      <w:sz w:val="24"/>
      <w:szCs w:val="24"/>
    </w:rPr>
  </w:style>
  <w:style w:type="paragraph" w:styleId="TOC2">
    <w:name w:val="toc 2"/>
    <w:basedOn w:val="Normal"/>
    <w:next w:val="Normal"/>
    <w:autoRedefine/>
    <w:uiPriority w:val="39"/>
    <w:unhideWhenUsed/>
    <w:rsid w:val="004C4D62"/>
    <w:pPr>
      <w:tabs>
        <w:tab w:val="left" w:pos="567"/>
        <w:tab w:val="right" w:leader="dot" w:pos="9060"/>
      </w:tabs>
      <w:spacing w:after="100" w:line="240" w:lineRule="auto"/>
      <w:ind w:left="850" w:hanging="562"/>
    </w:pPr>
    <w:rPr>
      <w:rFonts w:ascii="Arial" w:hAnsi="Arial" w:cs="Arial"/>
      <w:sz w:val="24"/>
      <w:szCs w:val="24"/>
    </w:rPr>
  </w:style>
  <w:style w:type="paragraph" w:styleId="TOC3">
    <w:name w:val="toc 3"/>
    <w:basedOn w:val="Normal"/>
    <w:next w:val="Normal"/>
    <w:autoRedefine/>
    <w:uiPriority w:val="39"/>
    <w:unhideWhenUsed/>
    <w:rsid w:val="004C4D62"/>
    <w:pPr>
      <w:tabs>
        <w:tab w:val="left" w:pos="1200"/>
        <w:tab w:val="right" w:leader="dot" w:pos="8778"/>
      </w:tabs>
      <w:spacing w:after="0" w:line="240" w:lineRule="auto"/>
      <w:ind w:left="480"/>
    </w:pPr>
    <w:rPr>
      <w:rFonts w:ascii="Arial" w:eastAsia="Times New Roman" w:hAnsi="Arial" w:cs="Arial"/>
      <w:noProof/>
      <w:sz w:val="24"/>
    </w:rPr>
  </w:style>
  <w:style w:type="paragraph" w:styleId="TOC4">
    <w:name w:val="toc 4"/>
    <w:basedOn w:val="Normal"/>
    <w:next w:val="Normal"/>
    <w:autoRedefine/>
    <w:semiHidden/>
    <w:unhideWhenUsed/>
    <w:rsid w:val="004C4D62"/>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unhideWhenUsed/>
    <w:rsid w:val="004C4D62"/>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unhideWhenUsed/>
    <w:rsid w:val="004C4D62"/>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unhideWhenUsed/>
    <w:rsid w:val="004C4D62"/>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unhideWhenUsed/>
    <w:rsid w:val="004C4D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unhideWhenUsed/>
    <w:rsid w:val="004C4D62"/>
    <w:pPr>
      <w:spacing w:after="0" w:line="240" w:lineRule="auto"/>
      <w:ind w:left="1920"/>
    </w:pPr>
    <w:rPr>
      <w:rFonts w:ascii="Times New Roman" w:eastAsia="Times New Roman" w:hAnsi="Times New Roman" w:cs="Times New Roman"/>
      <w:sz w:val="24"/>
      <w:szCs w:val="24"/>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locked/>
    <w:rsid w:val="004C4D62"/>
    <w:rPr>
      <w:rFonts w:ascii="Times New Roman" w:hAnsi="Times New Roman"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unhideWhenUsed/>
    <w:rsid w:val="004C4D62"/>
    <w:pPr>
      <w:spacing w:after="0" w:line="240" w:lineRule="auto"/>
    </w:pPr>
    <w:rPr>
      <w:rFonts w:ascii="Times New Roman" w:hAnsi="Times New Roman" w:cs="Times New Roman"/>
      <w:color w:val="000000"/>
      <w:sz w:val="16"/>
      <w:lang w:val="x-none" w:eastAsia="x-none"/>
    </w:rPr>
  </w:style>
  <w:style w:type="character" w:customStyle="1" w:styleId="FootnoteTextChar1">
    <w:name w:val="Footnote Text Char1"/>
    <w:aliases w:val="FOOTNOTES Char1,fn Char1,single space Char1,footnote text Char1,Char Char Char Char1,Char Char Char2"/>
    <w:basedOn w:val="DefaultParagraphFont"/>
    <w:uiPriority w:val="99"/>
    <w:semiHidden/>
    <w:rsid w:val="004C4D62"/>
    <w:rPr>
      <w:sz w:val="20"/>
      <w:szCs w:val="20"/>
    </w:rPr>
  </w:style>
  <w:style w:type="paragraph" w:styleId="Header">
    <w:name w:val="header"/>
    <w:basedOn w:val="Normal"/>
    <w:link w:val="Head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rsid w:val="004C4D62"/>
    <w:rPr>
      <w:rFonts w:ascii="Arial" w:hAnsi="Arial" w:cs="Arial"/>
      <w:sz w:val="24"/>
      <w:szCs w:val="24"/>
    </w:rPr>
  </w:style>
  <w:style w:type="paragraph" w:styleId="Footer">
    <w:name w:val="footer"/>
    <w:basedOn w:val="Normal"/>
    <w:link w:val="FooterChar"/>
    <w:uiPriority w:val="99"/>
    <w:unhideWhenUsed/>
    <w:rsid w:val="004C4D62"/>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rsid w:val="004C4D62"/>
    <w:rPr>
      <w:rFonts w:ascii="Arial" w:hAnsi="Arial" w:cs="Arial"/>
      <w:sz w:val="24"/>
      <w:szCs w:val="24"/>
    </w:rPr>
  </w:style>
  <w:style w:type="paragraph" w:styleId="Caption">
    <w:name w:val="caption"/>
    <w:basedOn w:val="Normal"/>
    <w:next w:val="Normal"/>
    <w:unhideWhenUsed/>
    <w:qFormat/>
    <w:rsid w:val="003428AB"/>
    <w:pPr>
      <w:spacing w:line="240" w:lineRule="auto"/>
    </w:pPr>
    <w:rPr>
      <w:b/>
      <w:bCs/>
      <w:smallCaps/>
      <w:color w:val="595959" w:themeColor="text1" w:themeTint="A6"/>
      <w:spacing w:val="6"/>
    </w:rPr>
  </w:style>
  <w:style w:type="paragraph" w:styleId="TableofFigures">
    <w:name w:val="table of figures"/>
    <w:basedOn w:val="Normal"/>
    <w:next w:val="Normal"/>
    <w:uiPriority w:val="99"/>
    <w:unhideWhenUsed/>
    <w:rsid w:val="004C4D62"/>
    <w:pPr>
      <w:spacing w:line="240" w:lineRule="auto"/>
    </w:pPr>
    <w:rPr>
      <w:rFonts w:ascii="Arial" w:hAnsi="Arial" w:cs="Arial"/>
      <w:sz w:val="24"/>
      <w:szCs w:val="24"/>
    </w:rPr>
  </w:style>
  <w:style w:type="paragraph" w:styleId="EnvelopeReturn">
    <w:name w:val="envelope return"/>
    <w:basedOn w:val="Normal"/>
    <w:unhideWhenUsed/>
    <w:rsid w:val="004C4D62"/>
    <w:pPr>
      <w:spacing w:after="0" w:line="240" w:lineRule="auto"/>
      <w:jc w:val="both"/>
    </w:pPr>
    <w:rPr>
      <w:rFonts w:ascii="Arial" w:eastAsia="Times New Roman" w:hAnsi="Arial" w:cs="Times New Roman"/>
      <w:sz w:val="24"/>
    </w:rPr>
  </w:style>
  <w:style w:type="paragraph" w:styleId="EndnoteText">
    <w:name w:val="endnote text"/>
    <w:basedOn w:val="Normal"/>
    <w:link w:val="EndnoteTextChar"/>
    <w:uiPriority w:val="99"/>
    <w:semiHidden/>
    <w:unhideWhenUsed/>
    <w:rsid w:val="004C4D62"/>
    <w:pPr>
      <w:spacing w:after="0" w:line="240" w:lineRule="auto"/>
    </w:pPr>
    <w:rPr>
      <w:rFonts w:ascii="Calibri" w:hAnsi="Calibri" w:cs="Times New Roman"/>
      <w:sz w:val="24"/>
      <w:lang w:val="x-none" w:eastAsia="x-none"/>
    </w:rPr>
  </w:style>
  <w:style w:type="character" w:customStyle="1" w:styleId="EndnoteTextChar">
    <w:name w:val="Endnote Text Char"/>
    <w:basedOn w:val="DefaultParagraphFont"/>
    <w:link w:val="EndnoteText"/>
    <w:uiPriority w:val="99"/>
    <w:semiHidden/>
    <w:rsid w:val="004C4D62"/>
    <w:rPr>
      <w:rFonts w:ascii="Calibri" w:hAnsi="Calibri" w:cs="Times New Roman"/>
      <w:sz w:val="24"/>
      <w:szCs w:val="20"/>
      <w:lang w:val="x-none" w:eastAsia="x-none"/>
    </w:rPr>
  </w:style>
  <w:style w:type="paragraph" w:styleId="MacroText">
    <w:name w:val="macro"/>
    <w:link w:val="MacroTextChar"/>
    <w:unhideWhenUsed/>
    <w:rsid w:val="004C4D62"/>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lang w:val="fr-FR" w:eastAsia="fr-FR"/>
    </w:rPr>
  </w:style>
  <w:style w:type="character" w:customStyle="1" w:styleId="MacroTextChar">
    <w:name w:val="Macro Text Char"/>
    <w:basedOn w:val="DefaultParagraphFont"/>
    <w:link w:val="MacroText"/>
    <w:rsid w:val="004C4D62"/>
    <w:rPr>
      <w:rFonts w:ascii="Courier New" w:eastAsia="Times New Roman" w:hAnsi="Courier New" w:cs="Times New Roman"/>
      <w:sz w:val="20"/>
      <w:szCs w:val="20"/>
      <w:lang w:val="fr-FR" w:eastAsia="fr-FR"/>
    </w:rPr>
  </w:style>
  <w:style w:type="paragraph" w:styleId="List">
    <w:name w:val="List"/>
    <w:basedOn w:val="Normal"/>
    <w:unhideWhenUsed/>
    <w:rsid w:val="004C4D62"/>
    <w:pPr>
      <w:spacing w:after="240" w:line="240" w:lineRule="auto"/>
      <w:ind w:left="283" w:hanging="283"/>
      <w:jc w:val="both"/>
    </w:pPr>
    <w:rPr>
      <w:rFonts w:ascii="Times New Roman" w:eastAsia="Times New Roman" w:hAnsi="Times New Roman" w:cs="Times New Roman"/>
      <w:sz w:val="24"/>
    </w:rPr>
  </w:style>
  <w:style w:type="paragraph" w:styleId="ListBullet2">
    <w:name w:val="List Bullet 2"/>
    <w:basedOn w:val="Normal"/>
    <w:unhideWhenUsed/>
    <w:rsid w:val="004C4D62"/>
    <w:pPr>
      <w:numPr>
        <w:numId w:val="1"/>
      </w:numPr>
      <w:spacing w:after="240" w:line="240" w:lineRule="auto"/>
      <w:jc w:val="both"/>
    </w:pPr>
    <w:rPr>
      <w:rFonts w:ascii="Times New Roman" w:eastAsia="Times New Roman" w:hAnsi="Times New Roman" w:cs="Times New Roman"/>
      <w:sz w:val="24"/>
    </w:rPr>
  </w:style>
  <w:style w:type="paragraph" w:styleId="ListNumber2">
    <w:name w:val="List Number 2"/>
    <w:basedOn w:val="Normal"/>
    <w:unhideWhenUsed/>
    <w:rsid w:val="004C4D62"/>
    <w:pPr>
      <w:numPr>
        <w:numId w:val="2"/>
      </w:numPr>
      <w:spacing w:after="0" w:line="240" w:lineRule="auto"/>
      <w:jc w:val="both"/>
    </w:pPr>
    <w:rPr>
      <w:rFonts w:ascii="Arial" w:eastAsia="Times New Roman" w:hAnsi="Arial" w:cs="Times New Roman"/>
      <w:sz w:val="24"/>
    </w:rPr>
  </w:style>
  <w:style w:type="paragraph" w:customStyle="1" w:styleId="SubTitle1">
    <w:name w:val="SubTitle 1"/>
    <w:basedOn w:val="Normal"/>
    <w:next w:val="SubTitle2"/>
    <w:rsid w:val="004C4D62"/>
    <w:pPr>
      <w:spacing w:after="240" w:line="240" w:lineRule="auto"/>
      <w:jc w:val="center"/>
    </w:pPr>
    <w:rPr>
      <w:rFonts w:ascii="Times New Roman" w:eastAsia="Times New Roman" w:hAnsi="Times New Roman" w:cs="Times New Roman"/>
      <w:b/>
      <w:sz w:val="40"/>
    </w:rPr>
  </w:style>
  <w:style w:type="paragraph" w:styleId="Title">
    <w:name w:val="Title"/>
    <w:basedOn w:val="Normal"/>
    <w:next w:val="Normal"/>
    <w:link w:val="TitleChar"/>
    <w:uiPriority w:val="10"/>
    <w:qFormat/>
    <w:rsid w:val="003428AB"/>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428AB"/>
    <w:rPr>
      <w:rFonts w:asciiTheme="majorHAnsi" w:eastAsiaTheme="majorEastAsia" w:hAnsiTheme="majorHAnsi" w:cstheme="majorBidi"/>
      <w:color w:val="4F81BD" w:themeColor="accent1"/>
      <w:spacing w:val="-10"/>
      <w:sz w:val="56"/>
      <w:szCs w:val="56"/>
    </w:rPr>
  </w:style>
  <w:style w:type="paragraph" w:styleId="BodyText">
    <w:name w:val="Body Text"/>
    <w:link w:val="BodyTextChar"/>
    <w:unhideWhenUsed/>
    <w:rsid w:val="004C4D62"/>
    <w:pPr>
      <w:numPr>
        <w:ilvl w:val="1"/>
        <w:numId w:val="3"/>
      </w:numPr>
      <w:spacing w:after="165" w:line="280" w:lineRule="atLeast"/>
    </w:pPr>
    <w:rPr>
      <w:rFonts w:ascii="Humnst777 Lt BT" w:eastAsia="Times New Roman" w:hAnsi="Humnst777 Lt BT" w:cs="Times New Roman"/>
      <w:szCs w:val="24"/>
      <w:lang w:eastAsia="en-GB"/>
    </w:rPr>
  </w:style>
  <w:style w:type="character" w:customStyle="1" w:styleId="BodyTextChar">
    <w:name w:val="Body Text Char"/>
    <w:basedOn w:val="DefaultParagraphFont"/>
    <w:link w:val="BodyText"/>
    <w:rsid w:val="004C4D62"/>
    <w:rPr>
      <w:rFonts w:ascii="Humnst777 Lt BT" w:eastAsia="Times New Roman" w:hAnsi="Humnst777 Lt BT" w:cs="Times New Roman"/>
      <w:sz w:val="20"/>
      <w:szCs w:val="24"/>
      <w:lang w:eastAsia="en-GB"/>
    </w:rPr>
  </w:style>
  <w:style w:type="paragraph" w:styleId="BodyTextIndent">
    <w:name w:val="Body Text Indent"/>
    <w:basedOn w:val="Normal"/>
    <w:link w:val="BodyTextIndentChar"/>
    <w:unhideWhenUsed/>
    <w:rsid w:val="004C4D62"/>
    <w:pPr>
      <w:spacing w:after="0" w:line="240" w:lineRule="auto"/>
      <w:ind w:left="720"/>
      <w:jc w:val="both"/>
    </w:pPr>
    <w:rPr>
      <w:rFonts w:ascii="Times New Roman" w:eastAsia="Times New Roman" w:hAnsi="Times New Roman" w:cs="Times New Roman"/>
      <w:sz w:val="24"/>
      <w:lang w:val="x-none" w:eastAsia="x-none"/>
    </w:rPr>
  </w:style>
  <w:style w:type="character" w:customStyle="1" w:styleId="BodyTextIndentChar">
    <w:name w:val="Body Text Indent Char"/>
    <w:basedOn w:val="DefaultParagraphFont"/>
    <w:link w:val="BodyTextIndent"/>
    <w:rsid w:val="004C4D62"/>
    <w:rPr>
      <w:rFonts w:ascii="Times New Roman" w:eastAsia="Times New Roman" w:hAnsi="Times New Roman" w:cs="Times New Roman"/>
      <w:sz w:val="24"/>
      <w:szCs w:val="20"/>
      <w:lang w:val="x-none" w:eastAsia="x-none"/>
    </w:rPr>
  </w:style>
  <w:style w:type="paragraph" w:styleId="NoteHeading">
    <w:name w:val="Note Heading"/>
    <w:basedOn w:val="Normal"/>
    <w:next w:val="Normal"/>
    <w:link w:val="NoteHeadingChar"/>
    <w:unhideWhenUsed/>
    <w:rsid w:val="004C4D62"/>
    <w:pPr>
      <w:spacing w:after="240" w:line="240" w:lineRule="auto"/>
      <w:jc w:val="both"/>
    </w:pPr>
    <w:rPr>
      <w:rFonts w:ascii="Times New Roman" w:eastAsia="Times New Roman" w:hAnsi="Times New Roman" w:cs="Times New Roman"/>
      <w:sz w:val="24"/>
      <w:lang w:val="x-none" w:eastAsia="x-none"/>
    </w:rPr>
  </w:style>
  <w:style w:type="character" w:customStyle="1" w:styleId="NoteHeadingChar">
    <w:name w:val="Note Heading Char"/>
    <w:basedOn w:val="DefaultParagraphFont"/>
    <w:link w:val="NoteHeading"/>
    <w:rsid w:val="004C4D62"/>
    <w:rPr>
      <w:rFonts w:ascii="Times New Roman" w:eastAsia="Times New Roman" w:hAnsi="Times New Roman" w:cs="Times New Roman"/>
      <w:sz w:val="24"/>
      <w:szCs w:val="20"/>
      <w:lang w:val="x-none" w:eastAsia="x-none"/>
    </w:rPr>
  </w:style>
  <w:style w:type="paragraph" w:styleId="BodyText2">
    <w:name w:val="Body Text 2"/>
    <w:basedOn w:val="BodyText"/>
    <w:link w:val="BodyText2Char"/>
    <w:unhideWhenUsed/>
    <w:rsid w:val="004C4D62"/>
    <w:pPr>
      <w:numPr>
        <w:ilvl w:val="2"/>
      </w:numPr>
    </w:pPr>
    <w:rPr>
      <w:lang w:val="x-none"/>
    </w:rPr>
  </w:style>
  <w:style w:type="character" w:customStyle="1" w:styleId="BodyText2Char">
    <w:name w:val="Body Text 2 Char"/>
    <w:basedOn w:val="DefaultParagraphFont"/>
    <w:link w:val="BodyText2"/>
    <w:rsid w:val="004C4D62"/>
    <w:rPr>
      <w:rFonts w:ascii="Humnst777 Lt BT" w:eastAsia="Times New Roman" w:hAnsi="Humnst777 Lt BT" w:cs="Times New Roman"/>
      <w:sz w:val="20"/>
      <w:szCs w:val="24"/>
      <w:lang w:val="x-none" w:eastAsia="en-GB"/>
    </w:rPr>
  </w:style>
  <w:style w:type="paragraph" w:styleId="BodyText3">
    <w:name w:val="Body Text 3"/>
    <w:basedOn w:val="Normal"/>
    <w:link w:val="BodyText3Char"/>
    <w:uiPriority w:val="99"/>
    <w:unhideWhenUsed/>
    <w:rsid w:val="004C4D62"/>
    <w:pPr>
      <w:spacing w:line="240" w:lineRule="auto"/>
    </w:pPr>
    <w:rPr>
      <w:rFonts w:ascii="Calibri" w:hAnsi="Calibri" w:cs="Times New Roman"/>
      <w:sz w:val="16"/>
      <w:szCs w:val="24"/>
      <w:lang w:val="x-none" w:eastAsia="x-none"/>
    </w:rPr>
  </w:style>
  <w:style w:type="character" w:customStyle="1" w:styleId="BodyText3Char">
    <w:name w:val="Body Text 3 Char"/>
    <w:basedOn w:val="DefaultParagraphFont"/>
    <w:link w:val="BodyText3"/>
    <w:uiPriority w:val="99"/>
    <w:rsid w:val="004C4D62"/>
    <w:rPr>
      <w:rFonts w:ascii="Calibri" w:hAnsi="Calibri" w:cs="Times New Roman"/>
      <w:sz w:val="16"/>
      <w:szCs w:val="24"/>
      <w:lang w:val="x-none" w:eastAsia="x-none"/>
    </w:rPr>
  </w:style>
  <w:style w:type="paragraph" w:styleId="BodyTextIndent2">
    <w:name w:val="Body Text Indent 2"/>
    <w:basedOn w:val="Normal"/>
    <w:link w:val="BodyTextIndent2Char"/>
    <w:unhideWhenUsed/>
    <w:rsid w:val="004C4D62"/>
    <w:pPr>
      <w:spacing w:after="0" w:line="240" w:lineRule="auto"/>
      <w:ind w:left="360"/>
    </w:pPr>
    <w:rPr>
      <w:rFonts w:ascii="Times New Roman" w:eastAsia="Times New Roman" w:hAnsi="Times New Roman" w:cs="Times New Roman"/>
      <w:sz w:val="24"/>
      <w:lang w:val="en-US" w:eastAsia="x-none"/>
    </w:rPr>
  </w:style>
  <w:style w:type="character" w:customStyle="1" w:styleId="BodyTextIndent2Char">
    <w:name w:val="Body Text Indent 2 Char"/>
    <w:basedOn w:val="DefaultParagraphFont"/>
    <w:link w:val="BodyTextIndent2"/>
    <w:rsid w:val="004C4D62"/>
    <w:rPr>
      <w:rFonts w:ascii="Times New Roman" w:eastAsia="Times New Roman" w:hAnsi="Times New Roman" w:cs="Times New Roman"/>
      <w:sz w:val="24"/>
      <w:szCs w:val="20"/>
      <w:lang w:val="en-US" w:eastAsia="x-none"/>
    </w:rPr>
  </w:style>
  <w:style w:type="paragraph" w:styleId="BodyTextIndent3">
    <w:name w:val="Body Text Indent 3"/>
    <w:basedOn w:val="Normal"/>
    <w:link w:val="BodyTextIndent3Char"/>
    <w:unhideWhenUsed/>
    <w:rsid w:val="004C4D62"/>
    <w:pPr>
      <w:tabs>
        <w:tab w:val="left" w:pos="0"/>
        <w:tab w:val="left" w:pos="540"/>
        <w:tab w:val="left" w:pos="851"/>
        <w:tab w:val="left" w:pos="9072"/>
        <w:tab w:val="left" w:pos="9360"/>
      </w:tabs>
      <w:suppressAutoHyphens/>
      <w:spacing w:after="0" w:line="240" w:lineRule="auto"/>
      <w:ind w:left="993" w:hanging="284"/>
    </w:pPr>
    <w:rPr>
      <w:rFonts w:ascii="Arial" w:eastAsia="Times New Roman" w:hAnsi="Arial" w:cs="Times New Roman"/>
      <w:spacing w:val="-3"/>
      <w:sz w:val="24"/>
      <w:lang w:val="x-none" w:eastAsia="x-none"/>
    </w:rPr>
  </w:style>
  <w:style w:type="character" w:customStyle="1" w:styleId="BodyTextIndent3Char">
    <w:name w:val="Body Text Indent 3 Char"/>
    <w:basedOn w:val="DefaultParagraphFont"/>
    <w:link w:val="BodyTextIndent3"/>
    <w:rsid w:val="004C4D62"/>
    <w:rPr>
      <w:rFonts w:ascii="Arial" w:eastAsia="Times New Roman" w:hAnsi="Arial" w:cs="Times New Roman"/>
      <w:spacing w:val="-3"/>
      <w:sz w:val="24"/>
      <w:szCs w:val="20"/>
      <w:lang w:val="x-none" w:eastAsia="x-none"/>
    </w:rPr>
  </w:style>
  <w:style w:type="paragraph" w:styleId="BlockText">
    <w:name w:val="Block Text"/>
    <w:basedOn w:val="Normal"/>
    <w:unhideWhenUsed/>
    <w:rsid w:val="004C4D62"/>
    <w:pPr>
      <w:spacing w:after="0" w:line="240" w:lineRule="auto"/>
      <w:ind w:left="426" w:right="-335"/>
      <w:jc w:val="both"/>
    </w:pPr>
    <w:rPr>
      <w:rFonts w:ascii="Times New Roman" w:eastAsia="Times New Roman" w:hAnsi="Times New Roman" w:cs="Times New Roman"/>
      <w:sz w:val="24"/>
    </w:rPr>
  </w:style>
  <w:style w:type="paragraph" w:styleId="DocumentMap">
    <w:name w:val="Document Map"/>
    <w:basedOn w:val="Normal"/>
    <w:link w:val="DocumentMapChar"/>
    <w:semiHidden/>
    <w:unhideWhenUsed/>
    <w:rsid w:val="004C4D62"/>
    <w:pPr>
      <w:shd w:val="clear" w:color="auto" w:fill="000080"/>
      <w:spacing w:after="0" w:line="240" w:lineRule="auto"/>
    </w:pPr>
    <w:rPr>
      <w:rFonts w:ascii="Tahoma" w:eastAsia="Times New Roman" w:hAnsi="Tahoma" w:cs="Times New Roman"/>
      <w:sz w:val="24"/>
      <w:lang w:val="x-none" w:eastAsia="x-none"/>
    </w:rPr>
  </w:style>
  <w:style w:type="character" w:customStyle="1" w:styleId="DocumentMapChar">
    <w:name w:val="Document Map Char"/>
    <w:basedOn w:val="DefaultParagraphFont"/>
    <w:link w:val="DocumentMap"/>
    <w:semiHidden/>
    <w:rsid w:val="004C4D62"/>
    <w:rPr>
      <w:rFonts w:ascii="Tahoma" w:eastAsia="Times New Roman" w:hAnsi="Tahoma" w:cs="Times New Roman"/>
      <w:sz w:val="24"/>
      <w:szCs w:val="20"/>
      <w:shd w:val="clear" w:color="auto" w:fill="000080"/>
      <w:lang w:val="x-none" w:eastAsia="x-none"/>
    </w:rPr>
  </w:style>
  <w:style w:type="paragraph" w:styleId="PlainText">
    <w:name w:val="Plain Text"/>
    <w:basedOn w:val="Normal"/>
    <w:link w:val="PlainTextChar"/>
    <w:uiPriority w:val="99"/>
    <w:unhideWhenUsed/>
    <w:rsid w:val="004C4D62"/>
    <w:pPr>
      <w:spacing w:after="0" w:line="240" w:lineRule="auto"/>
    </w:pPr>
    <w:rPr>
      <w:rFonts w:ascii="Consolas" w:hAnsi="Consolas" w:cs="Times New Roman"/>
      <w:color w:val="000000"/>
      <w:sz w:val="21"/>
      <w:szCs w:val="21"/>
      <w:lang w:val="x-none" w:eastAsia="x-none"/>
    </w:rPr>
  </w:style>
  <w:style w:type="character" w:customStyle="1" w:styleId="PlainTextChar">
    <w:name w:val="Plain Text Char"/>
    <w:basedOn w:val="DefaultParagraphFont"/>
    <w:link w:val="PlainText"/>
    <w:uiPriority w:val="99"/>
    <w:rsid w:val="004C4D62"/>
    <w:rPr>
      <w:rFonts w:ascii="Consolas" w:hAnsi="Consolas" w:cs="Times New Roman"/>
      <w:color w:val="000000"/>
      <w:sz w:val="21"/>
      <w:szCs w:val="21"/>
      <w:lang w:val="x-none" w:eastAsia="x-none"/>
    </w:rPr>
  </w:style>
  <w:style w:type="paragraph" w:styleId="NoSpacing">
    <w:name w:val="No Spacing"/>
    <w:uiPriority w:val="1"/>
    <w:qFormat/>
    <w:rsid w:val="003428AB"/>
    <w:pPr>
      <w:spacing w:after="0" w:line="240" w:lineRule="auto"/>
    </w:pPr>
  </w:style>
  <w:style w:type="paragraph" w:styleId="Revision">
    <w:name w:val="Revision"/>
    <w:uiPriority w:val="99"/>
    <w:semiHidden/>
    <w:rsid w:val="004C4D62"/>
    <w:pPr>
      <w:spacing w:after="0" w:line="240" w:lineRule="auto"/>
    </w:pPr>
    <w:rPr>
      <w:rFonts w:ascii="Calibri" w:eastAsia="Calibri" w:hAnsi="Calibri" w:cs="Times New Roman"/>
      <w:color w:val="000000"/>
      <w:sz w:val="24"/>
      <w:szCs w:val="24"/>
    </w:rPr>
  </w:style>
  <w:style w:type="character" w:customStyle="1" w:styleId="ListParagraphChar">
    <w:name w:val="List Paragraph Char"/>
    <w:aliases w:val="Bullets Char,List Bullet Mary Char,List Paragraph (numbered (a)) Char,body bullets Char,Liste 1 Char,Paragraphe  revu Char,List Paragraph nowy Char,Numbered Paragraph Char,Dot pt Char,F5 List Paragraph Char,No Spacing1 Char"/>
    <w:link w:val="ListParagraph"/>
    <w:uiPriority w:val="34"/>
    <w:locked/>
    <w:rsid w:val="004C4D62"/>
  </w:style>
  <w:style w:type="paragraph" w:styleId="ListParagraph">
    <w:name w:val="List Paragraph"/>
    <w:aliases w:val="Bullets,List Bullet Mary,List Paragraph (numbered (a)),body bullets,Liste 1,Paragraphe  revu,List Paragraph nowy,Numbered Paragraph,Dot pt,F5 List Paragraph,No Spacing1,List Paragraph Char Char Char,Indicator Text,Numbered Para 1"/>
    <w:basedOn w:val="Normal"/>
    <w:link w:val="ListParagraphChar"/>
    <w:uiPriority w:val="34"/>
    <w:qFormat/>
    <w:rsid w:val="004C4D62"/>
    <w:pPr>
      <w:ind w:left="720"/>
      <w:contextualSpacing/>
    </w:pPr>
  </w:style>
  <w:style w:type="paragraph" w:styleId="TOCHeading">
    <w:name w:val="TOC Heading"/>
    <w:basedOn w:val="Heading1"/>
    <w:next w:val="Normal"/>
    <w:uiPriority w:val="39"/>
    <w:unhideWhenUsed/>
    <w:qFormat/>
    <w:rsid w:val="003428AB"/>
    <w:pPr>
      <w:outlineLvl w:val="9"/>
    </w:pPr>
  </w:style>
  <w:style w:type="paragraph" w:customStyle="1" w:styleId="Default">
    <w:name w:val="Default"/>
    <w:link w:val="DefaultChar"/>
    <w:rsid w:val="004C4D62"/>
    <w:pPr>
      <w:autoSpaceDE w:val="0"/>
      <w:autoSpaceDN w:val="0"/>
      <w:adjustRightInd w:val="0"/>
      <w:spacing w:after="0" w:line="240" w:lineRule="auto"/>
    </w:pPr>
    <w:rPr>
      <w:rFonts w:ascii="Univers 55" w:eastAsia="Calibri" w:hAnsi="Univers 55" w:cs="Univers 55"/>
      <w:color w:val="000000"/>
      <w:sz w:val="24"/>
      <w:szCs w:val="24"/>
    </w:rPr>
  </w:style>
  <w:style w:type="paragraph" w:customStyle="1" w:styleId="BoxHeading">
    <w:name w:val="Box Heading"/>
    <w:next w:val="BodyText3"/>
    <w:uiPriority w:val="99"/>
    <w:rsid w:val="004C4D62"/>
    <w:pPr>
      <w:keepNext/>
      <w:numPr>
        <w:ilvl w:val="3"/>
        <w:numId w:val="3"/>
      </w:numPr>
      <w:spacing w:after="165" w:line="260" w:lineRule="atLeast"/>
    </w:pPr>
    <w:rPr>
      <w:rFonts w:ascii="Humnst777 BT" w:eastAsia="Times New Roman" w:hAnsi="Humnst777 BT" w:cs="Times New Roman"/>
      <w:b/>
      <w:color w:val="C40012"/>
      <w:szCs w:val="24"/>
      <w:lang w:eastAsia="en-GB"/>
    </w:rPr>
  </w:style>
  <w:style w:type="paragraph" w:customStyle="1" w:styleId="FigureHeading">
    <w:name w:val="Figure Heading"/>
    <w:uiPriority w:val="99"/>
    <w:rsid w:val="004C4D62"/>
    <w:pPr>
      <w:keepNext/>
      <w:numPr>
        <w:ilvl w:val="4"/>
        <w:numId w:val="3"/>
      </w:numPr>
      <w:spacing w:after="57" w:line="240" w:lineRule="atLeast"/>
    </w:pPr>
    <w:rPr>
      <w:rFonts w:ascii="Humnst777 BT" w:eastAsia="Times New Roman" w:hAnsi="Humnst777 BT" w:cs="Times New Roman"/>
      <w:b/>
      <w:color w:val="C40012"/>
      <w:szCs w:val="24"/>
      <w:lang w:eastAsia="en-GB"/>
    </w:rPr>
  </w:style>
  <w:style w:type="paragraph" w:customStyle="1" w:styleId="TableHeading">
    <w:name w:val="Table Heading"/>
    <w:basedOn w:val="FigureHeading"/>
    <w:uiPriority w:val="99"/>
    <w:rsid w:val="004C4D62"/>
    <w:pPr>
      <w:numPr>
        <w:ilvl w:val="5"/>
      </w:numPr>
    </w:pPr>
  </w:style>
  <w:style w:type="paragraph" w:customStyle="1" w:styleId="ChartHeading">
    <w:name w:val="Chart Heading"/>
    <w:basedOn w:val="FigureHeading"/>
    <w:uiPriority w:val="99"/>
    <w:rsid w:val="004C4D62"/>
    <w:pPr>
      <w:numPr>
        <w:ilvl w:val="6"/>
      </w:numPr>
    </w:pPr>
  </w:style>
  <w:style w:type="paragraph" w:customStyle="1" w:styleId="Sub1">
    <w:name w:val="Sub 1"/>
    <w:basedOn w:val="Normal"/>
    <w:rsid w:val="004C4D62"/>
    <w:pPr>
      <w:spacing w:after="0" w:line="240" w:lineRule="auto"/>
    </w:pPr>
    <w:rPr>
      <w:rFonts w:ascii="Arial" w:hAnsi="Arial" w:cs="Arial"/>
      <w:b/>
      <w:color w:val="0070C0"/>
      <w:sz w:val="24"/>
      <w:szCs w:val="24"/>
    </w:rPr>
  </w:style>
  <w:style w:type="paragraph" w:customStyle="1" w:styleId="Sub2">
    <w:name w:val="Sub 2"/>
    <w:basedOn w:val="Normal"/>
    <w:rsid w:val="004C4D62"/>
    <w:pPr>
      <w:spacing w:after="0" w:line="240" w:lineRule="auto"/>
    </w:pPr>
    <w:rPr>
      <w:rFonts w:ascii="Arial" w:eastAsia="Times New Roman" w:hAnsi="Arial" w:cs="Times New Roman"/>
      <w:b/>
      <w:sz w:val="24"/>
      <w:szCs w:val="24"/>
      <w:lang w:eastAsia="en-GB"/>
    </w:rPr>
  </w:style>
  <w:style w:type="paragraph" w:customStyle="1" w:styleId="Bullet1">
    <w:name w:val="Bullet 1"/>
    <w:basedOn w:val="Normal"/>
    <w:rsid w:val="004C4D62"/>
    <w:pPr>
      <w:numPr>
        <w:numId w:val="4"/>
      </w:numPr>
      <w:spacing w:after="0" w:line="240" w:lineRule="auto"/>
      <w:contextualSpacing/>
    </w:pPr>
    <w:rPr>
      <w:rFonts w:ascii="Arial" w:hAnsi="Arial" w:cs="Times New Roman"/>
      <w:color w:val="000000"/>
      <w:sz w:val="24"/>
      <w:szCs w:val="24"/>
      <w:lang w:val="en"/>
    </w:rPr>
  </w:style>
  <w:style w:type="paragraph" w:customStyle="1" w:styleId="TableText">
    <w:name w:val="Table Text"/>
    <w:rsid w:val="004C4D62"/>
    <w:pPr>
      <w:snapToGrid w:val="0"/>
      <w:spacing w:after="0" w:line="240" w:lineRule="auto"/>
    </w:pPr>
    <w:rPr>
      <w:rFonts w:ascii="Times New Roman" w:eastAsia="Times New Roman" w:hAnsi="Times New Roman" w:cs="Times New Roman"/>
      <w:color w:val="000000"/>
      <w:sz w:val="24"/>
    </w:rPr>
  </w:style>
  <w:style w:type="paragraph" w:customStyle="1" w:styleId="ReportBodyText">
    <w:name w:val="Report Body Text"/>
    <w:basedOn w:val="Normal"/>
    <w:rsid w:val="004C4D62"/>
    <w:pPr>
      <w:spacing w:line="240" w:lineRule="auto"/>
      <w:jc w:val="both"/>
    </w:pPr>
    <w:rPr>
      <w:rFonts w:ascii="Arial" w:eastAsia="Times New Roman" w:hAnsi="Arial" w:cs="Times New Roman"/>
    </w:rPr>
  </w:style>
  <w:style w:type="paragraph" w:customStyle="1" w:styleId="ReportHead1">
    <w:name w:val="Report Head 1"/>
    <w:basedOn w:val="Normal"/>
    <w:next w:val="Normal"/>
    <w:rsid w:val="004C4D62"/>
    <w:pPr>
      <w:numPr>
        <w:numId w:val="5"/>
      </w:numPr>
      <w:spacing w:after="240" w:line="240" w:lineRule="auto"/>
      <w:jc w:val="both"/>
      <w:outlineLvl w:val="0"/>
    </w:pPr>
    <w:rPr>
      <w:rFonts w:ascii="Arial" w:eastAsia="Times New Roman" w:hAnsi="Arial" w:cs="Times New Roman"/>
      <w:b/>
      <w:caps/>
      <w:sz w:val="24"/>
    </w:rPr>
  </w:style>
  <w:style w:type="paragraph" w:customStyle="1" w:styleId="ReportHead2">
    <w:name w:val="Report Head 2"/>
    <w:basedOn w:val="Normal"/>
    <w:next w:val="Normal"/>
    <w:rsid w:val="004C4D62"/>
    <w:pPr>
      <w:numPr>
        <w:ilvl w:val="1"/>
        <w:numId w:val="6"/>
      </w:numPr>
      <w:spacing w:after="240" w:line="240" w:lineRule="auto"/>
      <w:jc w:val="both"/>
      <w:outlineLvl w:val="1"/>
    </w:pPr>
    <w:rPr>
      <w:rFonts w:ascii="Arial" w:eastAsia="Times New Roman" w:hAnsi="Arial" w:cs="Times New Roman"/>
      <w:b/>
      <w:sz w:val="24"/>
    </w:rPr>
  </w:style>
  <w:style w:type="paragraph" w:customStyle="1" w:styleId="ReportHead3">
    <w:name w:val="Report Head 3"/>
    <w:basedOn w:val="Normal"/>
    <w:next w:val="Normal"/>
    <w:rsid w:val="004C4D62"/>
    <w:pPr>
      <w:numPr>
        <w:ilvl w:val="1"/>
        <w:numId w:val="5"/>
      </w:numPr>
      <w:spacing w:line="240" w:lineRule="auto"/>
      <w:jc w:val="both"/>
      <w:outlineLvl w:val="1"/>
    </w:pPr>
    <w:rPr>
      <w:rFonts w:ascii="Arial" w:eastAsia="Times New Roman" w:hAnsi="Arial" w:cs="Times New Roman"/>
      <w:sz w:val="24"/>
    </w:rPr>
  </w:style>
  <w:style w:type="paragraph" w:customStyle="1" w:styleId="ReportHead4">
    <w:name w:val="Report Head 4"/>
    <w:basedOn w:val="Normal"/>
    <w:rsid w:val="004C4D62"/>
    <w:pPr>
      <w:numPr>
        <w:ilvl w:val="2"/>
        <w:numId w:val="5"/>
      </w:numPr>
      <w:spacing w:line="240" w:lineRule="auto"/>
      <w:jc w:val="both"/>
      <w:outlineLvl w:val="2"/>
    </w:pPr>
    <w:rPr>
      <w:rFonts w:ascii="Arial" w:eastAsia="Times New Roman" w:hAnsi="Arial" w:cs="Times New Roman"/>
      <w:sz w:val="24"/>
    </w:rPr>
  </w:style>
  <w:style w:type="paragraph" w:customStyle="1" w:styleId="ReportHead5">
    <w:name w:val="Report Head 5"/>
    <w:basedOn w:val="Normal"/>
    <w:rsid w:val="004C4D62"/>
    <w:pPr>
      <w:tabs>
        <w:tab w:val="num" w:pos="851"/>
      </w:tabs>
      <w:spacing w:line="240" w:lineRule="auto"/>
      <w:ind w:left="851" w:hanging="851"/>
      <w:jc w:val="both"/>
      <w:outlineLvl w:val="3"/>
    </w:pPr>
    <w:rPr>
      <w:rFonts w:ascii="Arial" w:eastAsia="Times New Roman" w:hAnsi="Arial" w:cs="Times New Roman"/>
      <w:sz w:val="24"/>
    </w:rPr>
  </w:style>
  <w:style w:type="paragraph" w:customStyle="1" w:styleId="ReportHead6">
    <w:name w:val="Report Head 6"/>
    <w:basedOn w:val="Normal"/>
    <w:rsid w:val="004C4D62"/>
    <w:pPr>
      <w:tabs>
        <w:tab w:val="num" w:pos="850"/>
      </w:tabs>
      <w:spacing w:line="240" w:lineRule="auto"/>
      <w:ind w:left="850" w:hanging="850"/>
      <w:jc w:val="both"/>
      <w:outlineLvl w:val="4"/>
    </w:pPr>
    <w:rPr>
      <w:rFonts w:ascii="Arial" w:eastAsia="Times New Roman" w:hAnsi="Arial" w:cs="Times New Roman"/>
      <w:sz w:val="24"/>
    </w:rPr>
  </w:style>
  <w:style w:type="paragraph" w:customStyle="1" w:styleId="lefttext">
    <w:name w:val="lefttext"/>
    <w:basedOn w:val="Normal"/>
    <w:rsid w:val="004C4D62"/>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customStyle="1" w:styleId="ListBullet1">
    <w:name w:val="List Bullet 1"/>
    <w:basedOn w:val="Normal"/>
    <w:rsid w:val="004C4D62"/>
    <w:pPr>
      <w:numPr>
        <w:numId w:val="7"/>
      </w:numPr>
      <w:spacing w:after="240" w:line="240" w:lineRule="auto"/>
      <w:jc w:val="both"/>
    </w:pPr>
    <w:rPr>
      <w:rFonts w:ascii="Times New Roman" w:eastAsia="Times New Roman" w:hAnsi="Times New Roman" w:cs="Times New Roman"/>
      <w:sz w:val="24"/>
    </w:rPr>
  </w:style>
  <w:style w:type="paragraph" w:customStyle="1" w:styleId="Text1">
    <w:name w:val="Text 1"/>
    <w:basedOn w:val="Normal"/>
    <w:rsid w:val="004C4D62"/>
    <w:pPr>
      <w:spacing w:after="240" w:line="240" w:lineRule="auto"/>
      <w:ind w:left="482"/>
      <w:jc w:val="both"/>
    </w:pPr>
    <w:rPr>
      <w:rFonts w:ascii="Times New Roman" w:eastAsia="Times New Roman" w:hAnsi="Times New Roman" w:cs="Times New Roman"/>
      <w:sz w:val="24"/>
    </w:rPr>
  </w:style>
  <w:style w:type="paragraph" w:customStyle="1" w:styleId="Text3">
    <w:name w:val="Text 3"/>
    <w:basedOn w:val="Normal"/>
    <w:rsid w:val="004C4D62"/>
    <w:pPr>
      <w:tabs>
        <w:tab w:val="left" w:pos="2302"/>
      </w:tabs>
      <w:spacing w:after="240" w:line="240" w:lineRule="auto"/>
      <w:ind w:left="1916"/>
      <w:jc w:val="both"/>
    </w:pPr>
    <w:rPr>
      <w:rFonts w:ascii="Times New Roman" w:eastAsia="Times New Roman" w:hAnsi="Times New Roman" w:cs="Times New Roman"/>
      <w:sz w:val="24"/>
    </w:rPr>
  </w:style>
  <w:style w:type="paragraph" w:customStyle="1" w:styleId="questionsub">
    <w:name w:val="question sub"/>
    <w:basedOn w:val="Normal"/>
    <w:rsid w:val="004C4D62"/>
    <w:pPr>
      <w:spacing w:line="240" w:lineRule="auto"/>
      <w:ind w:left="576" w:hanging="288"/>
    </w:pPr>
    <w:rPr>
      <w:rFonts w:ascii="Times New Roman" w:eastAsia="Times New Roman" w:hAnsi="Times New Roman" w:cs="Times New Roman"/>
      <w:lang w:val="en-US"/>
    </w:rPr>
  </w:style>
  <w:style w:type="paragraph" w:customStyle="1" w:styleId="TableauNormal1">
    <w:name w:val="Tableau Normal1"/>
    <w:basedOn w:val="Header"/>
    <w:rsid w:val="004C4D62"/>
    <w:pPr>
      <w:tabs>
        <w:tab w:val="clear" w:pos="4513"/>
        <w:tab w:val="clear" w:pos="9026"/>
        <w:tab w:val="center" w:pos="4253"/>
        <w:tab w:val="right" w:pos="8505"/>
      </w:tabs>
      <w:spacing w:before="60" w:after="60"/>
    </w:pPr>
    <w:rPr>
      <w:rFonts w:ascii="Times New Roman" w:eastAsia="Times New Roman" w:hAnsi="Times New Roman" w:cs="Times New Roman"/>
      <w:sz w:val="16"/>
      <w:szCs w:val="20"/>
    </w:rPr>
  </w:style>
  <w:style w:type="paragraph" w:customStyle="1" w:styleId="Ballontekst">
    <w:name w:val="Ballontekst"/>
    <w:basedOn w:val="Normal"/>
    <w:semiHidden/>
    <w:rsid w:val="004C4D62"/>
    <w:pPr>
      <w:spacing w:after="0" w:line="240" w:lineRule="auto"/>
    </w:pPr>
    <w:rPr>
      <w:rFonts w:ascii="Tahoma" w:eastAsia="Times New Roman" w:hAnsi="Tahoma" w:cs="Tahoma"/>
      <w:sz w:val="16"/>
      <w:szCs w:val="24"/>
    </w:rPr>
  </w:style>
  <w:style w:type="paragraph" w:customStyle="1" w:styleId="MSStandardLevel2">
    <w:name w:val="MS Standard Level 2"/>
    <w:basedOn w:val="Normal"/>
    <w:rsid w:val="004C4D62"/>
    <w:pPr>
      <w:tabs>
        <w:tab w:val="num" w:pos="850"/>
      </w:tabs>
      <w:spacing w:line="240" w:lineRule="auto"/>
      <w:ind w:left="850" w:hanging="850"/>
      <w:jc w:val="both"/>
      <w:outlineLvl w:val="1"/>
    </w:pPr>
    <w:rPr>
      <w:rFonts w:ascii="Arial" w:eastAsia="Times New Roman" w:hAnsi="Arial" w:cs="Times New Roman"/>
      <w:sz w:val="24"/>
    </w:rPr>
  </w:style>
  <w:style w:type="paragraph" w:customStyle="1" w:styleId="MSStandardLevel3">
    <w:name w:val="MS Standard Level 3"/>
    <w:basedOn w:val="Normal"/>
    <w:rsid w:val="004C4D62"/>
    <w:pPr>
      <w:tabs>
        <w:tab w:val="num" w:pos="850"/>
      </w:tabs>
      <w:spacing w:line="240" w:lineRule="auto"/>
      <w:ind w:left="850" w:hanging="850"/>
      <w:jc w:val="both"/>
      <w:outlineLvl w:val="2"/>
    </w:pPr>
    <w:rPr>
      <w:rFonts w:ascii="Arial" w:eastAsia="Times New Roman" w:hAnsi="Arial" w:cs="Times New Roman"/>
      <w:sz w:val="24"/>
    </w:rPr>
  </w:style>
  <w:style w:type="paragraph" w:customStyle="1" w:styleId="MSStandardLevel4">
    <w:name w:val="MS Standard Level 4"/>
    <w:basedOn w:val="Normal"/>
    <w:rsid w:val="004C4D62"/>
    <w:pPr>
      <w:tabs>
        <w:tab w:val="num" w:pos="1134"/>
      </w:tabs>
      <w:spacing w:line="240" w:lineRule="auto"/>
      <w:ind w:left="1134" w:hanging="1134"/>
      <w:jc w:val="both"/>
      <w:outlineLvl w:val="3"/>
    </w:pPr>
    <w:rPr>
      <w:rFonts w:ascii="Arial" w:eastAsia="Times New Roman" w:hAnsi="Arial" w:cs="Times New Roman"/>
      <w:sz w:val="24"/>
    </w:rPr>
  </w:style>
  <w:style w:type="paragraph" w:customStyle="1" w:styleId="MSStandardLevel5">
    <w:name w:val="MS Standard Level 5"/>
    <w:basedOn w:val="Normal"/>
    <w:rsid w:val="004C4D62"/>
    <w:pPr>
      <w:tabs>
        <w:tab w:val="left" w:pos="1134"/>
        <w:tab w:val="num" w:pos="1440"/>
      </w:tabs>
      <w:spacing w:line="240" w:lineRule="auto"/>
      <w:ind w:left="1134" w:hanging="1134"/>
      <w:jc w:val="both"/>
      <w:outlineLvl w:val="4"/>
    </w:pPr>
    <w:rPr>
      <w:rFonts w:ascii="Arial" w:eastAsia="Times New Roman" w:hAnsi="Arial" w:cs="Times New Roman"/>
      <w:sz w:val="24"/>
    </w:rPr>
  </w:style>
  <w:style w:type="paragraph" w:customStyle="1" w:styleId="MSStandardLevel6">
    <w:name w:val="MS Standard Level 6"/>
    <w:basedOn w:val="Normal"/>
    <w:rsid w:val="004C4D62"/>
    <w:pPr>
      <w:tabs>
        <w:tab w:val="left" w:pos="1134"/>
        <w:tab w:val="num" w:pos="1440"/>
      </w:tabs>
      <w:spacing w:line="240" w:lineRule="auto"/>
      <w:ind w:left="1134" w:hanging="1134"/>
      <w:jc w:val="both"/>
      <w:outlineLvl w:val="5"/>
    </w:pPr>
    <w:rPr>
      <w:rFonts w:ascii="Arial" w:eastAsia="Times New Roman" w:hAnsi="Arial" w:cs="Times New Roman"/>
      <w:sz w:val="24"/>
    </w:rPr>
  </w:style>
  <w:style w:type="paragraph" w:customStyle="1" w:styleId="MSStandardLevel7">
    <w:name w:val="MS Standard Level 7"/>
    <w:basedOn w:val="Normal"/>
    <w:rsid w:val="004C4D62"/>
    <w:pPr>
      <w:tabs>
        <w:tab w:val="left" w:pos="1418"/>
        <w:tab w:val="num" w:pos="1797"/>
      </w:tabs>
      <w:spacing w:line="240" w:lineRule="auto"/>
      <w:ind w:left="1417" w:hanging="1417"/>
      <w:jc w:val="both"/>
      <w:outlineLvl w:val="6"/>
    </w:pPr>
    <w:rPr>
      <w:rFonts w:ascii="Arial" w:eastAsia="Times New Roman" w:hAnsi="Arial" w:cs="Times New Roman"/>
      <w:sz w:val="24"/>
    </w:rPr>
  </w:style>
  <w:style w:type="paragraph" w:customStyle="1" w:styleId="MSHouseLevel2">
    <w:name w:val="MS House Level 2"/>
    <w:basedOn w:val="Normal"/>
    <w:rsid w:val="004C4D62"/>
    <w:pPr>
      <w:numPr>
        <w:ilvl w:val="1"/>
        <w:numId w:val="8"/>
      </w:numPr>
      <w:spacing w:line="240" w:lineRule="auto"/>
      <w:jc w:val="both"/>
      <w:outlineLvl w:val="1"/>
    </w:pPr>
    <w:rPr>
      <w:rFonts w:ascii="Arial" w:eastAsia="Times New Roman" w:hAnsi="Arial" w:cs="Times New Roman"/>
      <w:sz w:val="24"/>
    </w:rPr>
  </w:style>
  <w:style w:type="paragraph" w:customStyle="1" w:styleId="MSHouseLevel3">
    <w:name w:val="MS House Level 3"/>
    <w:basedOn w:val="Normal"/>
    <w:rsid w:val="004C4D62"/>
    <w:pPr>
      <w:spacing w:line="240" w:lineRule="auto"/>
      <w:jc w:val="both"/>
      <w:outlineLvl w:val="2"/>
    </w:pPr>
    <w:rPr>
      <w:rFonts w:ascii="Arial" w:eastAsia="Times New Roman" w:hAnsi="Arial" w:cs="Times New Roman"/>
      <w:sz w:val="24"/>
    </w:rPr>
  </w:style>
  <w:style w:type="paragraph" w:customStyle="1" w:styleId="MSHouseLevel4">
    <w:name w:val="MS House Level 4"/>
    <w:basedOn w:val="Normal"/>
    <w:rsid w:val="004C4D62"/>
    <w:pPr>
      <w:tabs>
        <w:tab w:val="num" w:pos="851"/>
      </w:tabs>
      <w:spacing w:line="240" w:lineRule="auto"/>
      <w:ind w:left="851" w:hanging="851"/>
      <w:jc w:val="both"/>
      <w:outlineLvl w:val="3"/>
    </w:pPr>
    <w:rPr>
      <w:rFonts w:ascii="Arial" w:eastAsia="Times New Roman" w:hAnsi="Arial" w:cs="Times New Roman"/>
      <w:sz w:val="24"/>
    </w:rPr>
  </w:style>
  <w:style w:type="paragraph" w:customStyle="1" w:styleId="MSHouseLevel5">
    <w:name w:val="MS House Level 5"/>
    <w:basedOn w:val="Normal"/>
    <w:rsid w:val="004C4D62"/>
    <w:pPr>
      <w:tabs>
        <w:tab w:val="num" w:pos="851"/>
      </w:tabs>
      <w:spacing w:line="240" w:lineRule="auto"/>
      <w:ind w:left="851" w:hanging="851"/>
      <w:jc w:val="both"/>
      <w:outlineLvl w:val="4"/>
    </w:pPr>
    <w:rPr>
      <w:rFonts w:ascii="Arial" w:eastAsia="Times New Roman" w:hAnsi="Arial" w:cs="Times New Roman"/>
      <w:sz w:val="24"/>
    </w:rPr>
  </w:style>
  <w:style w:type="paragraph" w:customStyle="1" w:styleId="MSHouseLevel6">
    <w:name w:val="MS House Level 6"/>
    <w:basedOn w:val="Normal"/>
    <w:rsid w:val="004C4D62"/>
    <w:pPr>
      <w:tabs>
        <w:tab w:val="num" w:pos="1418"/>
      </w:tabs>
      <w:spacing w:line="240" w:lineRule="auto"/>
      <w:ind w:left="1418" w:hanging="567"/>
      <w:jc w:val="both"/>
      <w:outlineLvl w:val="5"/>
    </w:pPr>
    <w:rPr>
      <w:rFonts w:ascii="Arial" w:eastAsia="Times New Roman" w:hAnsi="Arial" w:cs="Times New Roman"/>
      <w:sz w:val="24"/>
    </w:rPr>
  </w:style>
  <w:style w:type="paragraph" w:customStyle="1" w:styleId="MSHouseLevel7">
    <w:name w:val="MS House Level 7"/>
    <w:basedOn w:val="Normal"/>
    <w:rsid w:val="004C4D62"/>
    <w:pPr>
      <w:tabs>
        <w:tab w:val="num" w:pos="1985"/>
      </w:tabs>
      <w:spacing w:line="240" w:lineRule="auto"/>
      <w:ind w:left="1985" w:hanging="567"/>
      <w:jc w:val="both"/>
      <w:outlineLvl w:val="6"/>
    </w:pPr>
    <w:rPr>
      <w:rFonts w:ascii="Arial" w:eastAsia="Times New Roman" w:hAnsi="Arial" w:cs="Times New Roman"/>
      <w:sz w:val="24"/>
    </w:rPr>
  </w:style>
  <w:style w:type="paragraph" w:customStyle="1" w:styleId="MSLetterLevel1">
    <w:name w:val="MS Letter Level 1"/>
    <w:basedOn w:val="Normal"/>
    <w:rsid w:val="004C4D62"/>
    <w:pPr>
      <w:tabs>
        <w:tab w:val="num" w:pos="360"/>
      </w:tabs>
      <w:spacing w:line="240" w:lineRule="auto"/>
      <w:ind w:left="360" w:hanging="360"/>
      <w:jc w:val="both"/>
    </w:pPr>
    <w:rPr>
      <w:rFonts w:ascii="Arial" w:eastAsia="Times New Roman" w:hAnsi="Arial" w:cs="Times New Roman"/>
      <w:sz w:val="24"/>
    </w:rPr>
  </w:style>
  <w:style w:type="paragraph" w:customStyle="1" w:styleId="Subject">
    <w:name w:val="Subject"/>
    <w:basedOn w:val="Normal"/>
    <w:next w:val="Normal"/>
    <w:rsid w:val="004C4D62"/>
    <w:pPr>
      <w:spacing w:after="480" w:line="240" w:lineRule="auto"/>
      <w:ind w:left="1191" w:hanging="1191"/>
    </w:pPr>
    <w:rPr>
      <w:rFonts w:ascii="Times New Roman" w:eastAsia="Times New Roman" w:hAnsi="Times New Roman" w:cs="Times New Roman"/>
      <w:b/>
      <w:sz w:val="24"/>
    </w:rPr>
  </w:style>
  <w:style w:type="paragraph" w:customStyle="1" w:styleId="NoteHead">
    <w:name w:val="NoteHead"/>
    <w:basedOn w:val="Normal"/>
    <w:next w:val="Subject"/>
    <w:rsid w:val="004C4D62"/>
    <w:pPr>
      <w:spacing w:before="720" w:after="720" w:line="240" w:lineRule="auto"/>
      <w:jc w:val="center"/>
    </w:pPr>
    <w:rPr>
      <w:rFonts w:ascii="Times New Roman" w:eastAsia="Times New Roman" w:hAnsi="Times New Roman" w:cs="Times New Roman"/>
      <w:b/>
      <w:smallCaps/>
      <w:sz w:val="24"/>
    </w:rPr>
  </w:style>
  <w:style w:type="paragraph" w:customStyle="1" w:styleId="AddressTR">
    <w:name w:val="AddressTR"/>
    <w:basedOn w:val="Normal"/>
    <w:next w:val="Normal"/>
    <w:rsid w:val="004C4D62"/>
    <w:pPr>
      <w:spacing w:after="720" w:line="240" w:lineRule="auto"/>
      <w:ind w:left="5103"/>
    </w:pPr>
    <w:rPr>
      <w:rFonts w:ascii="Times New Roman" w:eastAsia="Times New Roman" w:hAnsi="Times New Roman" w:cs="Times New Roman"/>
      <w:sz w:val="24"/>
    </w:rPr>
  </w:style>
  <w:style w:type="paragraph" w:customStyle="1" w:styleId="References">
    <w:name w:val="References"/>
    <w:basedOn w:val="Normal"/>
    <w:next w:val="AddressTR"/>
    <w:rsid w:val="004C4D62"/>
    <w:pPr>
      <w:spacing w:after="240" w:line="240" w:lineRule="auto"/>
      <w:ind w:left="5103"/>
    </w:pPr>
    <w:rPr>
      <w:rFonts w:ascii="Times New Roman" w:eastAsia="Times New Roman" w:hAnsi="Times New Roman" w:cs="Times New Roman"/>
      <w:sz w:val="24"/>
    </w:rPr>
  </w:style>
  <w:style w:type="paragraph" w:customStyle="1" w:styleId="SubTitle2">
    <w:name w:val="SubTitle 2"/>
    <w:basedOn w:val="Normal"/>
    <w:rsid w:val="004C4D62"/>
    <w:pPr>
      <w:spacing w:after="240" w:line="240" w:lineRule="auto"/>
      <w:jc w:val="center"/>
    </w:pPr>
    <w:rPr>
      <w:rFonts w:ascii="Times New Roman" w:eastAsia="Times New Roman" w:hAnsi="Times New Roman" w:cs="Times New Roman"/>
      <w:b/>
      <w:sz w:val="32"/>
    </w:rPr>
  </w:style>
  <w:style w:type="paragraph" w:customStyle="1" w:styleId="Text2">
    <w:name w:val="Text 2"/>
    <w:basedOn w:val="Normal"/>
    <w:rsid w:val="004C4D62"/>
    <w:pPr>
      <w:tabs>
        <w:tab w:val="left" w:pos="2161"/>
      </w:tabs>
      <w:spacing w:after="240" w:line="240" w:lineRule="auto"/>
      <w:ind w:left="1202"/>
      <w:jc w:val="both"/>
    </w:pPr>
    <w:rPr>
      <w:rFonts w:ascii="Times New Roman" w:eastAsia="Times New Roman" w:hAnsi="Times New Roman" w:cs="Times New Roman"/>
      <w:sz w:val="24"/>
    </w:rPr>
  </w:style>
  <w:style w:type="paragraph" w:customStyle="1" w:styleId="SectionTitle">
    <w:name w:val="SectionTitle"/>
    <w:basedOn w:val="Normal"/>
    <w:next w:val="Heading1"/>
    <w:rsid w:val="004C4D62"/>
    <w:pPr>
      <w:keepNext/>
      <w:spacing w:after="480" w:line="240" w:lineRule="auto"/>
      <w:jc w:val="center"/>
    </w:pPr>
    <w:rPr>
      <w:rFonts w:ascii="Times New Roman" w:eastAsia="Times New Roman" w:hAnsi="Times New Roman" w:cs="Times New Roman"/>
      <w:b/>
      <w:smallCaps/>
      <w:sz w:val="28"/>
    </w:rPr>
  </w:style>
  <w:style w:type="paragraph" w:customStyle="1" w:styleId="ChapterTitle">
    <w:name w:val="ChapterTitle"/>
    <w:basedOn w:val="Normal"/>
    <w:next w:val="SectionTitle"/>
    <w:rsid w:val="004C4D62"/>
    <w:pPr>
      <w:keepNext/>
      <w:spacing w:after="480" w:line="240" w:lineRule="auto"/>
      <w:jc w:val="center"/>
    </w:pPr>
    <w:rPr>
      <w:rFonts w:ascii="Times New Roman" w:eastAsia="Times New Roman" w:hAnsi="Times New Roman" w:cs="Times New Roman"/>
      <w:b/>
      <w:sz w:val="32"/>
    </w:rPr>
  </w:style>
  <w:style w:type="paragraph" w:customStyle="1" w:styleId="MSHouseLevel1">
    <w:name w:val="MS House Level 1"/>
    <w:basedOn w:val="Normal"/>
    <w:rsid w:val="004C4D62"/>
    <w:pPr>
      <w:numPr>
        <w:numId w:val="8"/>
      </w:numPr>
      <w:spacing w:after="240" w:line="240" w:lineRule="auto"/>
      <w:jc w:val="both"/>
      <w:outlineLvl w:val="0"/>
    </w:pPr>
    <w:rPr>
      <w:rFonts w:ascii="Arial" w:eastAsia="Times New Roman" w:hAnsi="Arial" w:cs="Times New Roman"/>
      <w:b/>
      <w:caps/>
    </w:rPr>
  </w:style>
  <w:style w:type="paragraph" w:customStyle="1" w:styleId="MSBulletLevel1">
    <w:name w:val="MS Bullet Level 1"/>
    <w:basedOn w:val="Normal"/>
    <w:rsid w:val="004C4D62"/>
    <w:pPr>
      <w:numPr>
        <w:numId w:val="9"/>
      </w:numPr>
      <w:spacing w:line="240" w:lineRule="auto"/>
      <w:jc w:val="both"/>
    </w:pPr>
    <w:rPr>
      <w:rFonts w:ascii="Arial" w:eastAsia="Times New Roman" w:hAnsi="Arial" w:cs="Times New Roman"/>
      <w:sz w:val="24"/>
    </w:rPr>
  </w:style>
  <w:style w:type="paragraph" w:customStyle="1" w:styleId="MSBulletLevel2">
    <w:name w:val="MS Bullet Level 2"/>
    <w:basedOn w:val="Normal"/>
    <w:rsid w:val="004C4D62"/>
    <w:pPr>
      <w:numPr>
        <w:ilvl w:val="1"/>
        <w:numId w:val="10"/>
      </w:numPr>
      <w:spacing w:line="240" w:lineRule="auto"/>
      <w:jc w:val="both"/>
    </w:pPr>
    <w:rPr>
      <w:rFonts w:ascii="Arial" w:eastAsia="Times New Roman" w:hAnsi="Arial" w:cs="Times New Roman"/>
      <w:sz w:val="24"/>
    </w:rPr>
  </w:style>
  <w:style w:type="paragraph" w:customStyle="1" w:styleId="MSBulletLevel3">
    <w:name w:val="MS Bullet Level 3"/>
    <w:basedOn w:val="Normal"/>
    <w:rsid w:val="004C4D62"/>
    <w:pPr>
      <w:numPr>
        <w:ilvl w:val="2"/>
        <w:numId w:val="10"/>
      </w:numPr>
      <w:spacing w:line="240" w:lineRule="auto"/>
      <w:jc w:val="both"/>
    </w:pPr>
    <w:rPr>
      <w:rFonts w:ascii="Arial" w:eastAsia="Times New Roman" w:hAnsi="Arial" w:cs="Times New Roman"/>
      <w:sz w:val="24"/>
    </w:rPr>
  </w:style>
  <w:style w:type="paragraph" w:customStyle="1" w:styleId="ListNumber3Level2">
    <w:name w:val="List Number 3 (Level 2)"/>
    <w:basedOn w:val="Text3"/>
    <w:rsid w:val="004C4D62"/>
    <w:pPr>
      <w:numPr>
        <w:ilvl w:val="1"/>
        <w:numId w:val="11"/>
      </w:numPr>
      <w:tabs>
        <w:tab w:val="clear" w:pos="2302"/>
      </w:tabs>
    </w:pPr>
  </w:style>
  <w:style w:type="paragraph" w:customStyle="1" w:styleId="ListNumber3Level3">
    <w:name w:val="List Number 3 (Level 3)"/>
    <w:basedOn w:val="Text3"/>
    <w:rsid w:val="004C4D62"/>
    <w:pPr>
      <w:numPr>
        <w:ilvl w:val="2"/>
        <w:numId w:val="11"/>
      </w:numPr>
      <w:tabs>
        <w:tab w:val="clear" w:pos="2302"/>
      </w:tabs>
    </w:pPr>
  </w:style>
  <w:style w:type="paragraph" w:customStyle="1" w:styleId="ListNumber3Level4">
    <w:name w:val="List Number 3 (Level 4)"/>
    <w:basedOn w:val="Text3"/>
    <w:rsid w:val="004C4D62"/>
    <w:pPr>
      <w:numPr>
        <w:ilvl w:val="3"/>
        <w:numId w:val="11"/>
      </w:numPr>
      <w:tabs>
        <w:tab w:val="clear" w:pos="2302"/>
      </w:tabs>
    </w:pPr>
  </w:style>
  <w:style w:type="paragraph" w:customStyle="1" w:styleId="ListParagraph1">
    <w:name w:val="List Paragraph1"/>
    <w:basedOn w:val="Normal"/>
    <w:uiPriority w:val="34"/>
    <w:rsid w:val="004C4D62"/>
    <w:pPr>
      <w:spacing w:after="200" w:line="276" w:lineRule="auto"/>
      <w:ind w:left="720"/>
      <w:contextualSpacing/>
    </w:pPr>
    <w:rPr>
      <w:rFonts w:ascii="Calibri" w:hAnsi="Calibri" w:cs="Times New Roman"/>
      <w:szCs w:val="24"/>
    </w:rPr>
  </w:style>
  <w:style w:type="paragraph" w:customStyle="1" w:styleId="Heading">
    <w:name w:val="Heading"/>
    <w:next w:val="Normal"/>
    <w:rsid w:val="004C4D62"/>
    <w:pPr>
      <w:keepNext/>
      <w:spacing w:after="0" w:line="240" w:lineRule="auto"/>
    </w:pPr>
    <w:rPr>
      <w:rFonts w:ascii="Calibri Bold" w:eastAsia="ヒラギノ角ゴ Pro W3" w:hAnsi="Calibri Bold" w:cs="Times New Roman"/>
      <w:color w:val="000000"/>
      <w:sz w:val="28"/>
    </w:rPr>
  </w:style>
  <w:style w:type="paragraph" w:customStyle="1" w:styleId="Body">
    <w:name w:val="Body"/>
    <w:rsid w:val="004C4D62"/>
    <w:pPr>
      <w:spacing w:after="0" w:line="240" w:lineRule="auto"/>
      <w:jc w:val="both"/>
    </w:pPr>
    <w:rPr>
      <w:rFonts w:ascii="Calibri" w:eastAsia="ヒラギノ角ゴ Pro W3" w:hAnsi="Calibri" w:cs="Times New Roman"/>
      <w:color w:val="000000"/>
      <w:sz w:val="24"/>
    </w:rPr>
  </w:style>
  <w:style w:type="paragraph" w:customStyle="1" w:styleId="Pa5">
    <w:name w:val="Pa5"/>
    <w:basedOn w:val="Normal"/>
    <w:next w:val="Normal"/>
    <w:uiPriority w:val="99"/>
    <w:rsid w:val="004C4D62"/>
    <w:pPr>
      <w:autoSpaceDE w:val="0"/>
      <w:autoSpaceDN w:val="0"/>
      <w:adjustRightInd w:val="0"/>
      <w:spacing w:after="0" w:line="201" w:lineRule="atLeast"/>
    </w:pPr>
    <w:rPr>
      <w:rFonts w:ascii="Myriad Pro SemiCond" w:eastAsia="Times New Roman" w:hAnsi="Myriad Pro SemiCond" w:cs="Times New Roman"/>
      <w:sz w:val="24"/>
      <w:szCs w:val="24"/>
      <w:lang w:val="fr-FR" w:eastAsia="fr-FR"/>
    </w:rPr>
  </w:style>
  <w:style w:type="paragraph" w:customStyle="1" w:styleId="Pa6">
    <w:name w:val="Pa6"/>
    <w:basedOn w:val="Default"/>
    <w:next w:val="Default"/>
    <w:uiPriority w:val="99"/>
    <w:rsid w:val="004C4D62"/>
    <w:pPr>
      <w:spacing w:line="201" w:lineRule="atLeast"/>
    </w:pPr>
    <w:rPr>
      <w:rFonts w:ascii="Times New Roman" w:eastAsia="Times New Roman" w:hAnsi="Times New Roman" w:cs="Times New Roman"/>
      <w:color w:val="auto"/>
      <w:lang w:val="fr-FR" w:eastAsia="fr-FR"/>
    </w:rPr>
  </w:style>
  <w:style w:type="paragraph" w:customStyle="1" w:styleId="font5">
    <w:name w:val="font5"/>
    <w:basedOn w:val="Normal"/>
    <w:rsid w:val="004C4D62"/>
    <w:pPr>
      <w:spacing w:before="100" w:beforeAutospacing="1" w:after="100" w:afterAutospacing="1" w:line="240" w:lineRule="auto"/>
    </w:pPr>
    <w:rPr>
      <w:rFonts w:ascii="Calibri" w:eastAsia="Times New Roman" w:hAnsi="Calibri" w:cs="Times New Roman"/>
      <w:color w:val="000000"/>
      <w:sz w:val="24"/>
      <w:lang w:val="fr-FR" w:eastAsia="fr-FR"/>
    </w:rPr>
  </w:style>
  <w:style w:type="paragraph" w:customStyle="1" w:styleId="xl65">
    <w:name w:val="xl65"/>
    <w:basedOn w:val="Normal"/>
    <w:rsid w:val="004C4D62"/>
    <w:pPr>
      <w:shd w:val="clear" w:color="auto" w:fill="244061"/>
      <w:spacing w:before="100" w:beforeAutospacing="1" w:after="100" w:afterAutospacing="1" w:line="240" w:lineRule="auto"/>
      <w:jc w:val="center"/>
    </w:pPr>
    <w:rPr>
      <w:rFonts w:ascii="Arial" w:eastAsia="Times New Roman" w:hAnsi="Arial" w:cs="Arial"/>
      <w:b/>
      <w:bCs/>
      <w:color w:val="FFFFFF"/>
      <w:sz w:val="16"/>
      <w:szCs w:val="24"/>
      <w:lang w:val="fr-FR" w:eastAsia="fr-FR"/>
    </w:rPr>
  </w:style>
  <w:style w:type="paragraph" w:customStyle="1" w:styleId="xl66">
    <w:name w:val="xl66"/>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7">
    <w:name w:val="xl67"/>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68">
    <w:name w:val="xl68"/>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69">
    <w:name w:val="xl69"/>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0">
    <w:name w:val="xl70"/>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1">
    <w:name w:val="xl71"/>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2">
    <w:name w:val="xl72"/>
    <w:basedOn w:val="Normal"/>
    <w:rsid w:val="004C4D6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l73">
    <w:name w:val="xl73"/>
    <w:basedOn w:val="Normal"/>
    <w:rsid w:val="004C4D62"/>
    <w:pPr>
      <w:pBdr>
        <w:top w:val="single" w:sz="8" w:space="0" w:color="2F75B5"/>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4">
    <w:name w:val="xl7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5">
    <w:name w:val="xl75"/>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76">
    <w:name w:val="xl76"/>
    <w:basedOn w:val="Normal"/>
    <w:rsid w:val="004C4D62"/>
    <w:pPr>
      <w:pBdr>
        <w:top w:val="single" w:sz="8" w:space="0" w:color="2F75B5"/>
      </w:pBd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7">
    <w:name w:val="xl77"/>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8">
    <w:name w:val="xl78"/>
    <w:basedOn w:val="Normal"/>
    <w:rsid w:val="004C4D62"/>
    <w:pPr>
      <w:shd w:val="clear" w:color="auto" w:fill="B8CCE4"/>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79">
    <w:name w:val="xl79"/>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0">
    <w:name w:val="xl80"/>
    <w:basedOn w:val="Normal"/>
    <w:rsid w:val="004C4D6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xl81">
    <w:name w:val="xl81"/>
    <w:basedOn w:val="Normal"/>
    <w:rsid w:val="004C4D62"/>
    <w:pP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2">
    <w:name w:val="xl82"/>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3">
    <w:name w:val="xl83"/>
    <w:basedOn w:val="Normal"/>
    <w:rsid w:val="004C4D62"/>
    <w:pPr>
      <w:pBdr>
        <w:right w:val="single" w:sz="12" w:space="0" w:color="808080"/>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4">
    <w:name w:val="xl84"/>
    <w:basedOn w:val="Normal"/>
    <w:rsid w:val="004C4D62"/>
    <w:pPr>
      <w:pBdr>
        <w:top w:val="single" w:sz="12" w:space="0" w:color="4F81BD"/>
      </w:pBdr>
      <w:shd w:val="clear" w:color="auto" w:fill="B8CCE4"/>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5">
    <w:name w:val="xl8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86">
    <w:name w:val="xl8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7">
    <w:name w:val="xl87"/>
    <w:basedOn w:val="Normal"/>
    <w:rsid w:val="004C4D62"/>
    <w:pPr>
      <w:pBdr>
        <w:right w:val="single" w:sz="12" w:space="0" w:color="808080"/>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8">
    <w:name w:val="xl88"/>
    <w:basedOn w:val="Normal"/>
    <w:rsid w:val="004C4D62"/>
    <w:pPr>
      <w:pBdr>
        <w:bottom w:val="single" w:sz="12" w:space="0" w:color="4F81BD"/>
      </w:pBd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89">
    <w:name w:val="xl89"/>
    <w:basedOn w:val="Normal"/>
    <w:rsid w:val="004C4D62"/>
    <w:pPr>
      <w:pBdr>
        <w:top w:val="single" w:sz="12" w:space="0" w:color="4F81BD"/>
      </w:pBdr>
      <w:shd w:val="clear" w:color="auto" w:fill="BFBFBF"/>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0">
    <w:name w:val="xl90"/>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1">
    <w:name w:val="xl91"/>
    <w:basedOn w:val="Normal"/>
    <w:rsid w:val="004C4D62"/>
    <w:pPr>
      <w:pBdr>
        <w:top w:val="single" w:sz="12" w:space="0" w:color="4F81BD"/>
      </w:pBdr>
      <w:shd w:val="clear" w:color="auto" w:fill="BFBFBF"/>
      <w:spacing w:before="100" w:beforeAutospacing="1" w:after="100" w:afterAutospacing="1" w:line="240" w:lineRule="auto"/>
    </w:pPr>
    <w:rPr>
      <w:rFonts w:ascii="Arial" w:eastAsia="Times New Roman" w:hAnsi="Arial" w:cs="Arial"/>
      <w:b/>
      <w:bCs/>
      <w:sz w:val="16"/>
      <w:szCs w:val="24"/>
      <w:lang w:val="fr-FR" w:eastAsia="fr-FR"/>
    </w:rPr>
  </w:style>
  <w:style w:type="paragraph" w:customStyle="1" w:styleId="xl92">
    <w:name w:val="xl92"/>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3">
    <w:name w:val="xl93"/>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4">
    <w:name w:val="xl94"/>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5">
    <w:name w:val="xl95"/>
    <w:basedOn w:val="Normal"/>
    <w:rsid w:val="004C4D62"/>
    <w:pPr>
      <w:spacing w:before="100" w:beforeAutospacing="1" w:after="100" w:afterAutospacing="1" w:line="240" w:lineRule="auto"/>
      <w:jc w:val="center"/>
    </w:pPr>
    <w:rPr>
      <w:rFonts w:ascii="Arial" w:eastAsia="Times New Roman" w:hAnsi="Arial" w:cs="Arial"/>
      <w:sz w:val="16"/>
      <w:szCs w:val="24"/>
      <w:lang w:val="fr-FR" w:eastAsia="fr-FR"/>
    </w:rPr>
  </w:style>
  <w:style w:type="paragraph" w:customStyle="1" w:styleId="xl96">
    <w:name w:val="xl96"/>
    <w:basedOn w:val="Normal"/>
    <w:rsid w:val="004C4D62"/>
    <w:pPr>
      <w:spacing w:before="100" w:beforeAutospacing="1" w:after="100" w:afterAutospacing="1" w:line="240" w:lineRule="auto"/>
    </w:pPr>
    <w:rPr>
      <w:rFonts w:ascii="Arial" w:eastAsia="Times New Roman" w:hAnsi="Arial" w:cs="Arial"/>
      <w:sz w:val="16"/>
      <w:szCs w:val="24"/>
      <w:lang w:val="fr-FR" w:eastAsia="fr-FR"/>
    </w:rPr>
  </w:style>
  <w:style w:type="paragraph" w:customStyle="1" w:styleId="xl97">
    <w:name w:val="xl97"/>
    <w:basedOn w:val="Normal"/>
    <w:rsid w:val="004C4D62"/>
    <w:pPr>
      <w:spacing w:before="100" w:beforeAutospacing="1" w:after="100" w:afterAutospacing="1" w:line="240" w:lineRule="auto"/>
      <w:jc w:val="right"/>
    </w:pPr>
    <w:rPr>
      <w:rFonts w:ascii="Arial" w:eastAsia="Times New Roman" w:hAnsi="Arial" w:cs="Arial"/>
      <w:i/>
      <w:iCs/>
      <w:sz w:val="16"/>
      <w:szCs w:val="24"/>
      <w:lang w:val="fr-FR" w:eastAsia="fr-FR"/>
    </w:rPr>
  </w:style>
  <w:style w:type="paragraph" w:customStyle="1" w:styleId="xl1961">
    <w:name w:val="xl1961"/>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2">
    <w:name w:val="xl1962"/>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3">
    <w:name w:val="xl1963"/>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4">
    <w:name w:val="xl1964"/>
    <w:basedOn w:val="Normal"/>
    <w:rsid w:val="004C4D62"/>
    <w:pPr>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65">
    <w:name w:val="xl1965"/>
    <w:basedOn w:val="Normal"/>
    <w:rsid w:val="004C4D62"/>
    <w:pPr>
      <w:pBdr>
        <w:bottom w:val="single" w:sz="12" w:space="0" w:color="4F81BD"/>
      </w:pBdr>
      <w:shd w:val="clear" w:color="auto" w:fill="244062"/>
      <w:spacing w:before="100" w:beforeAutospacing="1" w:after="100" w:afterAutospacing="1" w:line="240" w:lineRule="auto"/>
      <w:jc w:val="center"/>
    </w:pPr>
    <w:rPr>
      <w:rFonts w:ascii="Times New Roman" w:eastAsia="Times New Roman" w:hAnsi="Times New Roman" w:cs="Times New Roman"/>
      <w:b/>
      <w:bCs/>
      <w:color w:val="FFFFFF"/>
      <w:sz w:val="16"/>
      <w:szCs w:val="24"/>
      <w:lang w:eastAsia="en-GB"/>
    </w:rPr>
  </w:style>
  <w:style w:type="paragraph" w:customStyle="1" w:styleId="xl1966">
    <w:name w:val="xl1966"/>
    <w:basedOn w:val="Normal"/>
    <w:rsid w:val="004C4D62"/>
    <w:pPr>
      <w:pBdr>
        <w:top w:val="single" w:sz="12" w:space="0" w:color="4F81BD"/>
      </w:pBdr>
      <w:shd w:val="clear" w:color="auto" w:fill="BFBFBF"/>
      <w:spacing w:before="100" w:beforeAutospacing="1" w:after="100" w:afterAutospacing="1" w:line="240" w:lineRule="auto"/>
    </w:pPr>
    <w:rPr>
      <w:rFonts w:ascii="Times New Roman" w:eastAsia="Times New Roman" w:hAnsi="Times New Roman" w:cs="Times New Roman"/>
      <w:b/>
      <w:bCs/>
      <w:color w:val="000000"/>
      <w:sz w:val="16"/>
      <w:szCs w:val="24"/>
      <w:lang w:eastAsia="en-GB"/>
    </w:rPr>
  </w:style>
  <w:style w:type="paragraph" w:customStyle="1" w:styleId="xl1967">
    <w:name w:val="xl1967"/>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8">
    <w:name w:val="xl1968"/>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69">
    <w:name w:val="xl1969"/>
    <w:basedOn w:val="Normal"/>
    <w:rsid w:val="004C4D62"/>
    <w:pPr>
      <w:spacing w:before="100" w:beforeAutospacing="1" w:after="100" w:afterAutospacing="1" w:line="240" w:lineRule="auto"/>
    </w:pPr>
    <w:rPr>
      <w:rFonts w:ascii="Times New Roman" w:eastAsia="Times New Roman" w:hAnsi="Times New Roman" w:cs="Times New Roman"/>
      <w:color w:val="000000"/>
      <w:sz w:val="16"/>
      <w:szCs w:val="24"/>
      <w:lang w:eastAsia="en-GB"/>
    </w:rPr>
  </w:style>
  <w:style w:type="paragraph" w:customStyle="1" w:styleId="xl1970">
    <w:name w:val="xl1970"/>
    <w:basedOn w:val="Normal"/>
    <w:rsid w:val="004C4D62"/>
    <w:pPr>
      <w:spacing w:before="100" w:beforeAutospacing="1" w:after="100" w:afterAutospacing="1" w:line="240" w:lineRule="auto"/>
      <w:jc w:val="right"/>
    </w:pPr>
    <w:rPr>
      <w:rFonts w:ascii="Times New Roman" w:eastAsia="Times New Roman" w:hAnsi="Times New Roman" w:cs="Times New Roman"/>
      <w:i/>
      <w:iCs/>
      <w:color w:val="000000"/>
      <w:sz w:val="16"/>
      <w:szCs w:val="24"/>
      <w:lang w:eastAsia="en-GB"/>
    </w:rPr>
  </w:style>
  <w:style w:type="paragraph" w:customStyle="1" w:styleId="xl1971">
    <w:name w:val="xl1971"/>
    <w:basedOn w:val="Normal"/>
    <w:rsid w:val="004C4D62"/>
    <w:pPr>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2">
    <w:name w:val="xl1972"/>
    <w:basedOn w:val="Normal"/>
    <w:rsid w:val="004C4D62"/>
    <w:pPr>
      <w:spacing w:before="100" w:beforeAutospacing="1" w:after="100" w:afterAutospacing="1" w:line="240" w:lineRule="auto"/>
    </w:pPr>
    <w:rPr>
      <w:rFonts w:ascii="Calibri" w:eastAsia="Times New Roman" w:hAnsi="Calibri" w:cs="Times New Roman"/>
      <w:sz w:val="16"/>
      <w:szCs w:val="24"/>
      <w:lang w:eastAsia="en-GB"/>
    </w:rPr>
  </w:style>
  <w:style w:type="paragraph" w:customStyle="1" w:styleId="xl1973">
    <w:name w:val="xl1973"/>
    <w:basedOn w:val="Normal"/>
    <w:rsid w:val="004C4D62"/>
    <w:pPr>
      <w:shd w:val="clear" w:color="auto" w:fill="B8CCE4"/>
      <w:spacing w:before="100" w:beforeAutospacing="1" w:after="100" w:afterAutospacing="1" w:line="240" w:lineRule="auto"/>
      <w:ind w:firstLineChars="100" w:firstLine="100"/>
    </w:pPr>
    <w:rPr>
      <w:rFonts w:ascii="Times New Roman" w:eastAsia="Times New Roman" w:hAnsi="Times New Roman" w:cs="Times New Roman"/>
      <w:sz w:val="16"/>
      <w:szCs w:val="24"/>
      <w:lang w:eastAsia="en-GB"/>
    </w:rPr>
  </w:style>
  <w:style w:type="paragraph" w:customStyle="1" w:styleId="xl1974">
    <w:name w:val="xl1974"/>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xl1975">
    <w:name w:val="xl1975"/>
    <w:basedOn w:val="Normal"/>
    <w:rsid w:val="004C4D62"/>
    <w:pPr>
      <w:shd w:val="clear" w:color="auto" w:fill="B8CCE4"/>
      <w:spacing w:before="100" w:beforeAutospacing="1" w:after="100" w:afterAutospacing="1" w:line="240" w:lineRule="auto"/>
    </w:pPr>
    <w:rPr>
      <w:rFonts w:ascii="Times New Roman" w:eastAsia="Times New Roman" w:hAnsi="Times New Roman" w:cs="Times New Roman"/>
      <w:sz w:val="16"/>
      <w:szCs w:val="24"/>
      <w:lang w:eastAsia="en-GB"/>
    </w:rPr>
  </w:style>
  <w:style w:type="paragraph" w:customStyle="1" w:styleId="Pa9">
    <w:name w:val="Pa9"/>
    <w:basedOn w:val="Normal"/>
    <w:next w:val="Normal"/>
    <w:uiPriority w:val="99"/>
    <w:rsid w:val="004C4D62"/>
    <w:pPr>
      <w:autoSpaceDE w:val="0"/>
      <w:autoSpaceDN w:val="0"/>
      <w:adjustRightInd w:val="0"/>
      <w:spacing w:after="0" w:line="201" w:lineRule="atLeast"/>
    </w:pPr>
    <w:rPr>
      <w:rFonts w:ascii="ITC Charter Com" w:eastAsia="Times New Roman" w:hAnsi="ITC Charter Com" w:cs="Times New Roman"/>
      <w:sz w:val="24"/>
      <w:szCs w:val="24"/>
      <w:lang w:eastAsia="en-GB"/>
    </w:rPr>
  </w:style>
  <w:style w:type="character" w:customStyle="1" w:styleId="BDODisclaimerChar">
    <w:name w:val="~BDODisclaimer Char"/>
    <w:basedOn w:val="DefaultParagraphFont"/>
    <w:link w:val="BDODisclaimer"/>
    <w:locked/>
    <w:rsid w:val="004C4D62"/>
    <w:rPr>
      <w:rFonts w:ascii="Trebuchet MS" w:eastAsia="Times New Roman" w:hAnsi="Trebuchet MS"/>
      <w:b/>
      <w:iCs/>
      <w:color w:val="ED1A3B"/>
      <w:kern w:val="16"/>
      <w:sz w:val="32"/>
      <w:szCs w:val="28"/>
      <w:lang w:eastAsia="en-GB"/>
    </w:rPr>
  </w:style>
  <w:style w:type="paragraph" w:customStyle="1" w:styleId="BDODisclaimer">
    <w:name w:val="~BDODisclaimer"/>
    <w:link w:val="BDODisclaimerChar"/>
    <w:rsid w:val="004C4D62"/>
    <w:pPr>
      <w:spacing w:after="0"/>
      <w:ind w:left="142" w:right="170"/>
      <w:jc w:val="center"/>
    </w:pPr>
    <w:rPr>
      <w:rFonts w:ascii="Trebuchet MS" w:eastAsia="Times New Roman" w:hAnsi="Trebuchet MS"/>
      <w:b/>
      <w:iCs/>
      <w:color w:val="ED1A3B"/>
      <w:kern w:val="16"/>
      <w:sz w:val="32"/>
      <w:szCs w:val="28"/>
      <w:lang w:eastAsia="en-GB"/>
    </w:rPr>
  </w:style>
  <w:style w:type="character" w:customStyle="1" w:styleId="NumHeadingChar">
    <w:name w:val="~NumHeading Char"/>
    <w:basedOn w:val="DefaultParagraphFont"/>
    <w:link w:val="NumHeading"/>
    <w:locked/>
    <w:rsid w:val="004C4D62"/>
    <w:rPr>
      <w:rFonts w:ascii="Trebuchet MS" w:eastAsia="SimSun" w:hAnsi="Trebuchet MS" w:cs="Times New Roman"/>
      <w:b/>
      <w:bCs/>
      <w:caps/>
      <w:color w:val="ED1A3B"/>
      <w:kern w:val="16"/>
      <w:sz w:val="56"/>
      <w:szCs w:val="28"/>
      <w:lang w:eastAsia="en-GB"/>
    </w:rPr>
  </w:style>
  <w:style w:type="paragraph" w:customStyle="1" w:styleId="NumHeading">
    <w:name w:val="~NumHeading"/>
    <w:basedOn w:val="Heading1"/>
    <w:next w:val="Heading2"/>
    <w:link w:val="NumHeadingChar"/>
    <w:rsid w:val="004C4D62"/>
    <w:pPr>
      <w:keepNext w:val="0"/>
      <w:keepLines w:val="0"/>
      <w:pageBreakBefore/>
      <w:spacing w:line="264" w:lineRule="auto"/>
    </w:pPr>
    <w:rPr>
      <w:rFonts w:ascii="Trebuchet MS" w:eastAsia="SimSun" w:hAnsi="Trebuchet MS"/>
      <w:color w:val="ED1A3B"/>
      <w:kern w:val="16"/>
      <w:sz w:val="56"/>
      <w:lang w:eastAsia="en-GB"/>
    </w:rPr>
  </w:style>
  <w:style w:type="character" w:customStyle="1" w:styleId="Headin1Char">
    <w:name w:val="Headin 1 Char"/>
    <w:basedOn w:val="Heading3Char"/>
    <w:link w:val="Headin1"/>
    <w:locked/>
    <w:rsid w:val="004C4D62"/>
    <w:rPr>
      <w:rFonts w:asciiTheme="majorHAnsi" w:eastAsiaTheme="majorEastAsia" w:hAnsiTheme="majorHAnsi" w:cstheme="majorBidi"/>
      <w:b/>
      <w:color w:val="17365D" w:themeColor="text2" w:themeShade="BF"/>
      <w:sz w:val="40"/>
      <w:szCs w:val="36"/>
    </w:rPr>
  </w:style>
  <w:style w:type="paragraph" w:customStyle="1" w:styleId="Headin1">
    <w:name w:val="Headin 1"/>
    <w:basedOn w:val="Heading3"/>
    <w:link w:val="Headin1Char"/>
    <w:rsid w:val="004C4D62"/>
    <w:pPr>
      <w:keepNext w:val="0"/>
      <w:keepLines w:val="0"/>
      <w:spacing w:before="0" w:after="180"/>
      <w:jc w:val="both"/>
    </w:pPr>
    <w:rPr>
      <w:b/>
      <w:color w:val="17365D" w:themeColor="text2" w:themeShade="BF"/>
      <w:sz w:val="40"/>
      <w:szCs w:val="36"/>
    </w:rPr>
  </w:style>
  <w:style w:type="character" w:customStyle="1" w:styleId="Heading21Char">
    <w:name w:val="Heading 2.1 Char"/>
    <w:basedOn w:val="Heading3Char"/>
    <w:link w:val="Heading21"/>
    <w:locked/>
    <w:rsid w:val="004C4D62"/>
    <w:rPr>
      <w:rFonts w:asciiTheme="majorHAnsi" w:eastAsiaTheme="majorEastAsia" w:hAnsiTheme="majorHAnsi" w:cstheme="majorBidi"/>
      <w:b/>
      <w:color w:val="0070C0"/>
      <w:sz w:val="28"/>
      <w:szCs w:val="24"/>
    </w:rPr>
  </w:style>
  <w:style w:type="paragraph" w:customStyle="1" w:styleId="Heading21">
    <w:name w:val="Heading 2.1"/>
    <w:basedOn w:val="Heading3"/>
    <w:link w:val="Heading21Char"/>
    <w:rsid w:val="004C4D62"/>
    <w:pPr>
      <w:keepNext w:val="0"/>
      <w:keepLines w:val="0"/>
      <w:spacing w:before="0" w:after="180"/>
      <w:jc w:val="both"/>
    </w:pPr>
    <w:rPr>
      <w:b/>
      <w:color w:val="0070C0"/>
      <w:sz w:val="28"/>
    </w:rPr>
  </w:style>
  <w:style w:type="character" w:customStyle="1" w:styleId="Heading31Char">
    <w:name w:val="Heading 3.1 Char"/>
    <w:basedOn w:val="Heading4Char"/>
    <w:link w:val="Heading31"/>
    <w:locked/>
    <w:rsid w:val="004C4D62"/>
    <w:rPr>
      <w:rFonts w:ascii="Calibri" w:eastAsia="Calibri" w:hAnsi="Calibri" w:cs="Times New Roman"/>
      <w:b w:val="0"/>
      <w:bCs w:val="0"/>
      <w:iCs w:val="0"/>
      <w:sz w:val="28"/>
      <w:szCs w:val="18"/>
      <w:lang w:val="x-none" w:eastAsia="x-none"/>
    </w:rPr>
  </w:style>
  <w:style w:type="paragraph" w:customStyle="1" w:styleId="Heading31">
    <w:name w:val="Heading 3.1"/>
    <w:basedOn w:val="Heading4"/>
    <w:link w:val="Heading31Char"/>
    <w:rsid w:val="004C4D62"/>
    <w:pPr>
      <w:spacing w:after="240"/>
    </w:pPr>
    <w:rPr>
      <w:rFonts w:ascii="Calibri" w:eastAsia="Calibri" w:hAnsi="Calibri"/>
      <w:szCs w:val="18"/>
    </w:rPr>
  </w:style>
  <w:style w:type="character" w:styleId="FootnoteReference">
    <w:name w:val="footnote reference"/>
    <w:aliases w:val="Error-Fußnotenzeichen5,Error-Fußnotenzeichen6,Error-Fußnotenzeichen3"/>
    <w:uiPriority w:val="99"/>
    <w:unhideWhenUsed/>
    <w:rsid w:val="004C4D62"/>
    <w:rPr>
      <w:vertAlign w:val="superscript"/>
    </w:rPr>
  </w:style>
  <w:style w:type="character" w:styleId="EndnoteReference">
    <w:name w:val="endnote reference"/>
    <w:uiPriority w:val="99"/>
    <w:semiHidden/>
    <w:unhideWhenUsed/>
    <w:rsid w:val="004C4D62"/>
    <w:rPr>
      <w:vertAlign w:val="superscript"/>
    </w:rPr>
  </w:style>
  <w:style w:type="character" w:customStyle="1" w:styleId="apple-converted-space">
    <w:name w:val="apple-converted-space"/>
    <w:basedOn w:val="DefaultParagraphFont"/>
    <w:rsid w:val="004C4D62"/>
  </w:style>
  <w:style w:type="character" w:customStyle="1" w:styleId="personname2">
    <w:name w:val="person_name2"/>
    <w:basedOn w:val="DefaultParagraphFont"/>
    <w:rsid w:val="004C4D62"/>
  </w:style>
  <w:style w:type="character" w:customStyle="1" w:styleId="A12">
    <w:name w:val="A12"/>
    <w:uiPriority w:val="99"/>
    <w:rsid w:val="004C4D62"/>
    <w:rPr>
      <w:rFonts w:ascii="Myriad Pro SemiCond" w:hAnsi="Myriad Pro SemiCond" w:cs="Myriad Pro SemiCond" w:hint="default"/>
      <w:color w:val="211D1E"/>
      <w:sz w:val="19"/>
      <w:szCs w:val="19"/>
    </w:rPr>
  </w:style>
  <w:style w:type="character" w:customStyle="1" w:styleId="hps">
    <w:name w:val="hps"/>
    <w:basedOn w:val="DefaultParagraphFont"/>
    <w:rsid w:val="004C4D62"/>
  </w:style>
  <w:style w:type="character" w:customStyle="1" w:styleId="Mention1">
    <w:name w:val="Mention1"/>
    <w:basedOn w:val="DefaultParagraphFont"/>
    <w:uiPriority w:val="99"/>
    <w:semiHidden/>
    <w:rsid w:val="004C4D62"/>
    <w:rPr>
      <w:color w:val="2B579A"/>
      <w:shd w:val="clear" w:color="auto" w:fill="E6E6E6"/>
    </w:rPr>
  </w:style>
  <w:style w:type="character" w:customStyle="1" w:styleId="UnresolvedMention1">
    <w:name w:val="Unresolved Mention1"/>
    <w:basedOn w:val="DefaultParagraphFont"/>
    <w:uiPriority w:val="99"/>
    <w:semiHidden/>
    <w:rsid w:val="004C4D62"/>
    <w:rPr>
      <w:color w:val="808080"/>
      <w:shd w:val="clear" w:color="auto" w:fill="E6E6E6"/>
    </w:rPr>
  </w:style>
  <w:style w:type="character" w:customStyle="1" w:styleId="UnresolvedMention2">
    <w:name w:val="Unresolved Mention2"/>
    <w:basedOn w:val="DefaultParagraphFont"/>
    <w:uiPriority w:val="99"/>
    <w:semiHidden/>
    <w:rsid w:val="004C4D62"/>
    <w:rPr>
      <w:color w:val="808080"/>
      <w:shd w:val="clear" w:color="auto" w:fill="E6E6E6"/>
    </w:rPr>
  </w:style>
  <w:style w:type="character" w:customStyle="1" w:styleId="Mentionnonrsolue1">
    <w:name w:val="Mention non résolue1"/>
    <w:basedOn w:val="DefaultParagraphFont"/>
    <w:uiPriority w:val="99"/>
    <w:semiHidden/>
    <w:rsid w:val="004C4D62"/>
    <w:rPr>
      <w:color w:val="808080"/>
      <w:shd w:val="clear" w:color="auto" w:fill="E6E6E6"/>
    </w:rPr>
  </w:style>
  <w:style w:type="character" w:customStyle="1" w:styleId="UnresolvedMention3">
    <w:name w:val="Unresolved Mention3"/>
    <w:basedOn w:val="DefaultParagraphFont"/>
    <w:uiPriority w:val="99"/>
    <w:semiHidden/>
    <w:rsid w:val="004C4D62"/>
    <w:rPr>
      <w:color w:val="808080"/>
      <w:shd w:val="clear" w:color="auto" w:fill="E6E6E6"/>
    </w:rPr>
  </w:style>
  <w:style w:type="character" w:customStyle="1" w:styleId="normaltextrun">
    <w:name w:val="normaltextrun"/>
    <w:basedOn w:val="DefaultParagraphFont"/>
    <w:rsid w:val="004C4D62"/>
  </w:style>
  <w:style w:type="character" w:customStyle="1" w:styleId="eop">
    <w:name w:val="eop"/>
    <w:basedOn w:val="DefaultParagraphFont"/>
    <w:rsid w:val="004C4D62"/>
  </w:style>
  <w:style w:type="character" w:customStyle="1" w:styleId="e24kjd">
    <w:name w:val="e24kjd"/>
    <w:basedOn w:val="DefaultParagraphFont"/>
    <w:rsid w:val="004C4D62"/>
  </w:style>
  <w:style w:type="table" w:styleId="TableGrid">
    <w:name w:val="Table Grid"/>
    <w:basedOn w:val="TableNormal"/>
    <w:uiPriority w:val="39"/>
    <w:rsid w:val="004C4D62"/>
    <w:pPr>
      <w:spacing w:after="0" w:line="240" w:lineRule="auto"/>
    </w:pPr>
    <w:rPr>
      <w:rFonts w:ascii="Calibri" w:eastAsia="Calibri" w:hAnsi="Calibri" w:cs="Times New Roman"/>
      <w:color w:val="00000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semiHidden/>
    <w:unhideWhenUsed/>
    <w:rsid w:val="004C4D62"/>
    <w:pPr>
      <w:spacing w:after="0" w:line="240" w:lineRule="auto"/>
    </w:pPr>
    <w:rPr>
      <w:rFonts w:ascii="Cambria" w:eastAsia="Times New Roman" w:hAnsi="Cambria" w:cs="Times New Roman"/>
      <w:color w:val="000000"/>
      <w:lang w:val="fr-FR"/>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uiPriority w:val="39"/>
    <w:rsid w:val="004C4D6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4C4D62"/>
    <w:pPr>
      <w:spacing w:after="0" w:line="240" w:lineRule="auto"/>
    </w:pPr>
    <w:rPr>
      <w:rFonts w:ascii="Calibri" w:eastAsia="Calibri" w:hAnsi="Calibri" w:cs="Times New Roman"/>
      <w:color w:val="00000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
    <w:name w:val="Medium List 2 - Accent 11"/>
    <w:basedOn w:val="TableNormal"/>
    <w:uiPriority w:val="66"/>
    <w:rsid w:val="004C4D62"/>
    <w:pPr>
      <w:spacing w:after="0" w:line="240" w:lineRule="auto"/>
    </w:pPr>
    <w:rPr>
      <w:rFonts w:ascii="Arial" w:hAnsi="Arial" w:cs="Arial"/>
      <w:sz w:val="24"/>
      <w:szCs w:val="24"/>
    </w:rPr>
    <w:tbl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style>
  <w:style w:type="paragraph" w:styleId="ListNumber3">
    <w:name w:val="List Number 3"/>
    <w:basedOn w:val="Text3"/>
    <w:unhideWhenUsed/>
    <w:rsid w:val="004C4D62"/>
    <w:pPr>
      <w:numPr>
        <w:numId w:val="11"/>
      </w:numPr>
      <w:tabs>
        <w:tab w:val="clear" w:pos="2302"/>
      </w:tabs>
    </w:pPr>
  </w:style>
  <w:style w:type="paragraph" w:customStyle="1" w:styleId="MSLetterLevel2">
    <w:name w:val="MS Letter Level 2"/>
    <w:basedOn w:val="MSLetterLevel1"/>
    <w:rsid w:val="004C4D62"/>
  </w:style>
  <w:style w:type="paragraph" w:customStyle="1" w:styleId="MSLetterLevel3">
    <w:name w:val="MS Letter Level 3"/>
    <w:basedOn w:val="MSLetterLevel2"/>
    <w:rsid w:val="004C4D62"/>
    <w:pPr>
      <w:tabs>
        <w:tab w:val="left" w:pos="1134"/>
      </w:tabs>
    </w:pPr>
  </w:style>
  <w:style w:type="numbering" w:customStyle="1" w:styleId="Style2">
    <w:name w:val="Style2"/>
    <w:uiPriority w:val="99"/>
    <w:rsid w:val="004C4D62"/>
    <w:pPr>
      <w:numPr>
        <w:numId w:val="13"/>
      </w:numPr>
    </w:pPr>
  </w:style>
  <w:style w:type="numbering" w:customStyle="1" w:styleId="Style1">
    <w:name w:val="Style1"/>
    <w:uiPriority w:val="99"/>
    <w:rsid w:val="004C4D62"/>
    <w:pPr>
      <w:numPr>
        <w:numId w:val="15"/>
      </w:numPr>
    </w:pPr>
  </w:style>
  <w:style w:type="paragraph" w:customStyle="1" w:styleId="paragraph">
    <w:name w:val="paragraph"/>
    <w:basedOn w:val="Normal"/>
    <w:rsid w:val="00B535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428AB"/>
    <w:rPr>
      <w:i/>
      <w:iCs/>
    </w:rPr>
  </w:style>
  <w:style w:type="character" w:customStyle="1" w:styleId="DefaultChar">
    <w:name w:val="Default Char"/>
    <w:basedOn w:val="DefaultParagraphFont"/>
    <w:link w:val="Default"/>
    <w:rsid w:val="00B53518"/>
    <w:rPr>
      <w:rFonts w:ascii="Univers 55" w:eastAsia="Calibri" w:hAnsi="Univers 55" w:cs="Univers 55"/>
      <w:color w:val="000000"/>
      <w:sz w:val="24"/>
      <w:szCs w:val="24"/>
    </w:rPr>
  </w:style>
  <w:style w:type="character" w:customStyle="1" w:styleId="UnresolvedMention4">
    <w:name w:val="Unresolved Mention4"/>
    <w:basedOn w:val="DefaultParagraphFont"/>
    <w:uiPriority w:val="99"/>
    <w:semiHidden/>
    <w:unhideWhenUsed/>
    <w:rsid w:val="00EB1FB4"/>
    <w:rPr>
      <w:color w:val="605E5C"/>
      <w:shd w:val="clear" w:color="auto" w:fill="E1DFDD"/>
    </w:rPr>
  </w:style>
  <w:style w:type="table" w:customStyle="1" w:styleId="TableGrid3">
    <w:name w:val="Table Grid3"/>
    <w:basedOn w:val="TableNormal"/>
    <w:next w:val="TableGrid"/>
    <w:uiPriority w:val="39"/>
    <w:rsid w:val="00022E0E"/>
    <w:pPr>
      <w:spacing w:after="0" w:line="240" w:lineRule="auto"/>
    </w:pPr>
    <w:rPr>
      <w:rFonts w:ascii="Calibri" w:eastAsia="Calibri" w:hAnsi="Calibri" w:cs="Times New Roman"/>
      <w:color w:val="00000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22E0E"/>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022E0E"/>
    <w:pPr>
      <w:numPr>
        <w:numId w:val="19"/>
      </w:numPr>
    </w:pPr>
  </w:style>
  <w:style w:type="character" w:styleId="Strong">
    <w:name w:val="Strong"/>
    <w:basedOn w:val="DefaultParagraphFont"/>
    <w:uiPriority w:val="22"/>
    <w:qFormat/>
    <w:rsid w:val="003428AB"/>
    <w:rPr>
      <w:b/>
      <w:bCs/>
    </w:rPr>
  </w:style>
  <w:style w:type="character" w:styleId="PageNumber">
    <w:name w:val="page number"/>
    <w:basedOn w:val="DefaultParagraphFont"/>
    <w:rsid w:val="00022E0E"/>
  </w:style>
  <w:style w:type="table" w:customStyle="1" w:styleId="MediumList2-Accent12">
    <w:name w:val="Medium List 2 - Accent 12"/>
    <w:basedOn w:val="TableNormal"/>
    <w:next w:val="MediumList2-Accent1"/>
    <w:uiPriority w:val="66"/>
    <w:rsid w:val="00022E0E"/>
    <w:pPr>
      <w:spacing w:after="0" w:line="240" w:lineRule="auto"/>
    </w:pPr>
    <w:rPr>
      <w:rFonts w:ascii="Cambria" w:eastAsia="Times New Roman" w:hAnsi="Cambria" w:cs="Times New Roman"/>
      <w:color w:val="00000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numbering" w:customStyle="1" w:styleId="IFIAlgeriastyle1">
    <w:name w:val="IFI Algeria style1"/>
    <w:rsid w:val="00022E0E"/>
    <w:pPr>
      <w:numPr>
        <w:numId w:val="14"/>
      </w:numPr>
    </w:pPr>
  </w:style>
  <w:style w:type="numbering" w:customStyle="1" w:styleId="Style21">
    <w:name w:val="Style21"/>
    <w:uiPriority w:val="99"/>
    <w:rsid w:val="00022E0E"/>
    <w:pPr>
      <w:numPr>
        <w:numId w:val="16"/>
      </w:numPr>
    </w:pPr>
  </w:style>
  <w:style w:type="table" w:customStyle="1" w:styleId="TableGrid21">
    <w:name w:val="Table Grid21"/>
    <w:basedOn w:val="TableNormal"/>
    <w:next w:val="TableGrid"/>
    <w:uiPriority w:val="39"/>
    <w:rsid w:val="00022E0E"/>
    <w:pPr>
      <w:spacing w:after="0" w:line="240" w:lineRule="auto"/>
    </w:pPr>
    <w:rPr>
      <w:rFonts w:ascii="Calibri" w:eastAsia="Calibri" w:hAnsi="Calibri" w:cs="Times New Roman"/>
      <w:color w:val="000000"/>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11">
    <w:name w:val="Medium List 2 - Accent 111"/>
    <w:basedOn w:val="TableNormal"/>
    <w:next w:val="MediumList2-Accent1"/>
    <w:uiPriority w:val="66"/>
    <w:rsid w:val="00022E0E"/>
    <w:pPr>
      <w:spacing w:after="0" w:line="240" w:lineRule="auto"/>
    </w:pPr>
    <w:rPr>
      <w:rFonts w:ascii="Cambria" w:eastAsia="Times New Roman" w:hAnsi="Cambria" w:cs="Times New Roman"/>
      <w:color w:val="000000"/>
      <w:lang w:val="fr-FR"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UnresolvedMention5">
    <w:name w:val="Unresolved Mention5"/>
    <w:basedOn w:val="DefaultParagraphFont"/>
    <w:uiPriority w:val="99"/>
    <w:semiHidden/>
    <w:unhideWhenUsed/>
    <w:rsid w:val="00310A92"/>
    <w:rPr>
      <w:color w:val="605E5C"/>
      <w:shd w:val="clear" w:color="auto" w:fill="E1DFDD"/>
    </w:rPr>
  </w:style>
  <w:style w:type="paragraph" w:styleId="Subtitle">
    <w:name w:val="Subtitle"/>
    <w:basedOn w:val="Normal"/>
    <w:next w:val="Normal"/>
    <w:link w:val="SubtitleChar"/>
    <w:uiPriority w:val="11"/>
    <w:qFormat/>
    <w:rsid w:val="003428A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28AB"/>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3428A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28AB"/>
    <w:rPr>
      <w:i/>
      <w:iCs/>
      <w:color w:val="404040" w:themeColor="text1" w:themeTint="BF"/>
    </w:rPr>
  </w:style>
  <w:style w:type="paragraph" w:styleId="IntenseQuote">
    <w:name w:val="Intense Quote"/>
    <w:basedOn w:val="Normal"/>
    <w:next w:val="Normal"/>
    <w:link w:val="IntenseQuoteChar"/>
    <w:uiPriority w:val="30"/>
    <w:qFormat/>
    <w:rsid w:val="003428AB"/>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428AB"/>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428AB"/>
    <w:rPr>
      <w:i/>
      <w:iCs/>
      <w:color w:val="404040" w:themeColor="text1" w:themeTint="BF"/>
    </w:rPr>
  </w:style>
  <w:style w:type="character" w:styleId="IntenseEmphasis">
    <w:name w:val="Intense Emphasis"/>
    <w:basedOn w:val="DefaultParagraphFont"/>
    <w:uiPriority w:val="21"/>
    <w:qFormat/>
    <w:rsid w:val="003428AB"/>
    <w:rPr>
      <w:b/>
      <w:bCs/>
      <w:i/>
      <w:iCs/>
    </w:rPr>
  </w:style>
  <w:style w:type="character" w:styleId="SubtleReference">
    <w:name w:val="Subtle Reference"/>
    <w:basedOn w:val="DefaultParagraphFont"/>
    <w:uiPriority w:val="31"/>
    <w:qFormat/>
    <w:rsid w:val="003428A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28AB"/>
    <w:rPr>
      <w:b/>
      <w:bCs/>
      <w:smallCaps/>
      <w:spacing w:val="5"/>
      <w:u w:val="single"/>
    </w:rPr>
  </w:style>
  <w:style w:type="character" w:styleId="BookTitle">
    <w:name w:val="Book Title"/>
    <w:basedOn w:val="DefaultParagraphFont"/>
    <w:uiPriority w:val="33"/>
    <w:qFormat/>
    <w:rsid w:val="003428AB"/>
    <w:rPr>
      <w:b/>
      <w:bCs/>
      <w:smallCaps/>
    </w:rPr>
  </w:style>
  <w:style w:type="character" w:styleId="UnresolvedMention">
    <w:name w:val="Unresolved Mention"/>
    <w:basedOn w:val="DefaultParagraphFont"/>
    <w:uiPriority w:val="99"/>
    <w:semiHidden/>
    <w:unhideWhenUsed/>
    <w:rsid w:val="009F2CD1"/>
    <w:rPr>
      <w:color w:val="605E5C"/>
      <w:shd w:val="clear" w:color="auto" w:fill="E1DFDD"/>
    </w:rPr>
  </w:style>
  <w:style w:type="paragraph" w:customStyle="1" w:styleId="Style3">
    <w:name w:val="Style3"/>
    <w:basedOn w:val="Headin1"/>
    <w:link w:val="Style3Char"/>
    <w:qFormat/>
    <w:rsid w:val="007D7DDF"/>
    <w:pPr>
      <w:spacing w:line="480" w:lineRule="auto"/>
    </w:pPr>
    <w:rPr>
      <w:rFonts w:ascii="Arial" w:hAnsi="Arial" w:cs="Arial"/>
      <w:sz w:val="52"/>
      <w:szCs w:val="52"/>
      <w:lang w:eastAsia="en-GB"/>
    </w:rPr>
  </w:style>
  <w:style w:type="paragraph" w:customStyle="1" w:styleId="TableOfContentsHeader">
    <w:name w:val="~TableOfContentsHeader"/>
    <w:next w:val="Normal"/>
    <w:link w:val="TableOfContentsHeaderChar"/>
    <w:qFormat/>
    <w:rsid w:val="00661D2C"/>
    <w:pPr>
      <w:spacing w:after="600" w:line="288" w:lineRule="auto"/>
    </w:pPr>
    <w:rPr>
      <w:rFonts w:ascii="Trebuchet MS" w:hAnsi="Trebuchet MS"/>
      <w:b/>
      <w:caps/>
      <w:color w:val="4F81BD" w:themeColor="accent1"/>
      <w:kern w:val="16"/>
      <w:sz w:val="56"/>
      <w:szCs w:val="56"/>
      <w:lang w:eastAsia="en-GB"/>
    </w:rPr>
  </w:style>
  <w:style w:type="character" w:customStyle="1" w:styleId="Style3Char">
    <w:name w:val="Style3 Char"/>
    <w:basedOn w:val="Headin1Char"/>
    <w:link w:val="Style3"/>
    <w:rsid w:val="007D7DDF"/>
    <w:rPr>
      <w:rFonts w:ascii="Arial" w:eastAsiaTheme="majorEastAsia" w:hAnsi="Arial" w:cs="Arial"/>
      <w:b/>
      <w:color w:val="17365D" w:themeColor="text2" w:themeShade="BF"/>
      <w:sz w:val="52"/>
      <w:szCs w:val="52"/>
      <w:lang w:eastAsia="en-GB"/>
    </w:rPr>
  </w:style>
  <w:style w:type="character" w:customStyle="1" w:styleId="TableOfContentsHeaderChar">
    <w:name w:val="~TableOfContentsHeader Char"/>
    <w:basedOn w:val="DefaultParagraphFont"/>
    <w:link w:val="TableOfContentsHeader"/>
    <w:rsid w:val="00661D2C"/>
    <w:rPr>
      <w:rFonts w:ascii="Trebuchet MS" w:hAnsi="Trebuchet MS"/>
      <w:b/>
      <w:caps/>
      <w:color w:val="4F81BD" w:themeColor="accent1"/>
      <w:kern w:val="16"/>
      <w:sz w:val="56"/>
      <w:szCs w:val="56"/>
      <w:lang w:eastAsia="en-GB"/>
    </w:rPr>
  </w:style>
  <w:style w:type="paragraph" w:customStyle="1" w:styleId="BodyText0">
    <w:name w:val="~BodyText"/>
    <w:basedOn w:val="Normal"/>
    <w:link w:val="BodyTextChar0"/>
    <w:qFormat/>
    <w:rsid w:val="009C13B4"/>
    <w:pPr>
      <w:spacing w:after="200" w:line="288" w:lineRule="auto"/>
    </w:pPr>
    <w:rPr>
      <w:sz w:val="21"/>
      <w:szCs w:val="21"/>
      <w:lang w:eastAsia="en-GB"/>
    </w:rPr>
  </w:style>
  <w:style w:type="character" w:customStyle="1" w:styleId="BodyTextChar0">
    <w:name w:val="~BodyText Char"/>
    <w:basedOn w:val="DefaultParagraphFont"/>
    <w:link w:val="BodyText0"/>
    <w:rsid w:val="009C13B4"/>
    <w:rPr>
      <w:sz w:val="21"/>
      <w:szCs w:val="21"/>
      <w:lang w:eastAsia="en-GB"/>
    </w:rPr>
  </w:style>
  <w:style w:type="character" w:styleId="Mention">
    <w:name w:val="Mention"/>
    <w:basedOn w:val="DefaultParagraphFont"/>
    <w:uiPriority w:val="99"/>
    <w:unhideWhenUsed/>
    <w:rsid w:val="00F8780C"/>
    <w:rPr>
      <w:color w:val="2B579A"/>
      <w:shd w:val="clear" w:color="auto" w:fill="E1DFDD"/>
    </w:rPr>
  </w:style>
  <w:style w:type="character" w:customStyle="1" w:styleId="data-table-row-cellvalue">
    <w:name w:val="data-table-row-cell__value"/>
    <w:basedOn w:val="DefaultParagraphFont"/>
    <w:rsid w:val="00556D44"/>
  </w:style>
  <w:style w:type="character" w:customStyle="1" w:styleId="ui-provider">
    <w:name w:val="ui-provider"/>
    <w:basedOn w:val="DefaultParagraphFont"/>
    <w:rsid w:val="00B04A19"/>
  </w:style>
  <w:style w:type="character" w:customStyle="1" w:styleId="ng-star-inserted">
    <w:name w:val="ng-star-inserted"/>
    <w:basedOn w:val="DefaultParagraphFont"/>
    <w:rsid w:val="00781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0100">
      <w:bodyDiv w:val="1"/>
      <w:marLeft w:val="0"/>
      <w:marRight w:val="0"/>
      <w:marTop w:val="0"/>
      <w:marBottom w:val="0"/>
      <w:divBdr>
        <w:top w:val="none" w:sz="0" w:space="0" w:color="auto"/>
        <w:left w:val="none" w:sz="0" w:space="0" w:color="auto"/>
        <w:bottom w:val="none" w:sz="0" w:space="0" w:color="auto"/>
        <w:right w:val="none" w:sz="0" w:space="0" w:color="auto"/>
      </w:divBdr>
    </w:div>
    <w:div w:id="24525679">
      <w:bodyDiv w:val="1"/>
      <w:marLeft w:val="0"/>
      <w:marRight w:val="0"/>
      <w:marTop w:val="0"/>
      <w:marBottom w:val="0"/>
      <w:divBdr>
        <w:top w:val="none" w:sz="0" w:space="0" w:color="auto"/>
        <w:left w:val="none" w:sz="0" w:space="0" w:color="auto"/>
        <w:bottom w:val="none" w:sz="0" w:space="0" w:color="auto"/>
        <w:right w:val="none" w:sz="0" w:space="0" w:color="auto"/>
      </w:divBdr>
    </w:div>
    <w:div w:id="25759328">
      <w:bodyDiv w:val="1"/>
      <w:marLeft w:val="0"/>
      <w:marRight w:val="0"/>
      <w:marTop w:val="0"/>
      <w:marBottom w:val="0"/>
      <w:divBdr>
        <w:top w:val="none" w:sz="0" w:space="0" w:color="auto"/>
        <w:left w:val="none" w:sz="0" w:space="0" w:color="auto"/>
        <w:bottom w:val="none" w:sz="0" w:space="0" w:color="auto"/>
        <w:right w:val="none" w:sz="0" w:space="0" w:color="auto"/>
      </w:divBdr>
    </w:div>
    <w:div w:id="37441336">
      <w:bodyDiv w:val="1"/>
      <w:marLeft w:val="0"/>
      <w:marRight w:val="0"/>
      <w:marTop w:val="0"/>
      <w:marBottom w:val="0"/>
      <w:divBdr>
        <w:top w:val="none" w:sz="0" w:space="0" w:color="auto"/>
        <w:left w:val="none" w:sz="0" w:space="0" w:color="auto"/>
        <w:bottom w:val="none" w:sz="0" w:space="0" w:color="auto"/>
        <w:right w:val="none" w:sz="0" w:space="0" w:color="auto"/>
      </w:divBdr>
    </w:div>
    <w:div w:id="39980604">
      <w:bodyDiv w:val="1"/>
      <w:marLeft w:val="0"/>
      <w:marRight w:val="0"/>
      <w:marTop w:val="0"/>
      <w:marBottom w:val="0"/>
      <w:divBdr>
        <w:top w:val="none" w:sz="0" w:space="0" w:color="auto"/>
        <w:left w:val="none" w:sz="0" w:space="0" w:color="auto"/>
        <w:bottom w:val="none" w:sz="0" w:space="0" w:color="auto"/>
        <w:right w:val="none" w:sz="0" w:space="0" w:color="auto"/>
      </w:divBdr>
    </w:div>
    <w:div w:id="66732169">
      <w:bodyDiv w:val="1"/>
      <w:marLeft w:val="0"/>
      <w:marRight w:val="0"/>
      <w:marTop w:val="0"/>
      <w:marBottom w:val="0"/>
      <w:divBdr>
        <w:top w:val="none" w:sz="0" w:space="0" w:color="auto"/>
        <w:left w:val="none" w:sz="0" w:space="0" w:color="auto"/>
        <w:bottom w:val="none" w:sz="0" w:space="0" w:color="auto"/>
        <w:right w:val="none" w:sz="0" w:space="0" w:color="auto"/>
      </w:divBdr>
    </w:div>
    <w:div w:id="72897586">
      <w:bodyDiv w:val="1"/>
      <w:marLeft w:val="0"/>
      <w:marRight w:val="0"/>
      <w:marTop w:val="0"/>
      <w:marBottom w:val="0"/>
      <w:divBdr>
        <w:top w:val="none" w:sz="0" w:space="0" w:color="auto"/>
        <w:left w:val="none" w:sz="0" w:space="0" w:color="auto"/>
        <w:bottom w:val="none" w:sz="0" w:space="0" w:color="auto"/>
        <w:right w:val="none" w:sz="0" w:space="0" w:color="auto"/>
      </w:divBdr>
    </w:div>
    <w:div w:id="95831249">
      <w:bodyDiv w:val="1"/>
      <w:marLeft w:val="0"/>
      <w:marRight w:val="0"/>
      <w:marTop w:val="0"/>
      <w:marBottom w:val="0"/>
      <w:divBdr>
        <w:top w:val="none" w:sz="0" w:space="0" w:color="auto"/>
        <w:left w:val="none" w:sz="0" w:space="0" w:color="auto"/>
        <w:bottom w:val="none" w:sz="0" w:space="0" w:color="auto"/>
        <w:right w:val="none" w:sz="0" w:space="0" w:color="auto"/>
      </w:divBdr>
    </w:div>
    <w:div w:id="99030225">
      <w:bodyDiv w:val="1"/>
      <w:marLeft w:val="0"/>
      <w:marRight w:val="0"/>
      <w:marTop w:val="0"/>
      <w:marBottom w:val="0"/>
      <w:divBdr>
        <w:top w:val="none" w:sz="0" w:space="0" w:color="auto"/>
        <w:left w:val="none" w:sz="0" w:space="0" w:color="auto"/>
        <w:bottom w:val="none" w:sz="0" w:space="0" w:color="auto"/>
        <w:right w:val="none" w:sz="0" w:space="0" w:color="auto"/>
      </w:divBdr>
    </w:div>
    <w:div w:id="101581700">
      <w:bodyDiv w:val="1"/>
      <w:marLeft w:val="0"/>
      <w:marRight w:val="0"/>
      <w:marTop w:val="0"/>
      <w:marBottom w:val="0"/>
      <w:divBdr>
        <w:top w:val="none" w:sz="0" w:space="0" w:color="auto"/>
        <w:left w:val="none" w:sz="0" w:space="0" w:color="auto"/>
        <w:bottom w:val="none" w:sz="0" w:space="0" w:color="auto"/>
        <w:right w:val="none" w:sz="0" w:space="0" w:color="auto"/>
      </w:divBdr>
    </w:div>
    <w:div w:id="118037152">
      <w:bodyDiv w:val="1"/>
      <w:marLeft w:val="0"/>
      <w:marRight w:val="0"/>
      <w:marTop w:val="0"/>
      <w:marBottom w:val="0"/>
      <w:divBdr>
        <w:top w:val="none" w:sz="0" w:space="0" w:color="auto"/>
        <w:left w:val="none" w:sz="0" w:space="0" w:color="auto"/>
        <w:bottom w:val="none" w:sz="0" w:space="0" w:color="auto"/>
        <w:right w:val="none" w:sz="0" w:space="0" w:color="auto"/>
      </w:divBdr>
    </w:div>
    <w:div w:id="123082216">
      <w:bodyDiv w:val="1"/>
      <w:marLeft w:val="0"/>
      <w:marRight w:val="0"/>
      <w:marTop w:val="0"/>
      <w:marBottom w:val="0"/>
      <w:divBdr>
        <w:top w:val="none" w:sz="0" w:space="0" w:color="auto"/>
        <w:left w:val="none" w:sz="0" w:space="0" w:color="auto"/>
        <w:bottom w:val="none" w:sz="0" w:space="0" w:color="auto"/>
        <w:right w:val="none" w:sz="0" w:space="0" w:color="auto"/>
      </w:divBdr>
    </w:div>
    <w:div w:id="148906545">
      <w:bodyDiv w:val="1"/>
      <w:marLeft w:val="0"/>
      <w:marRight w:val="0"/>
      <w:marTop w:val="0"/>
      <w:marBottom w:val="0"/>
      <w:divBdr>
        <w:top w:val="none" w:sz="0" w:space="0" w:color="auto"/>
        <w:left w:val="none" w:sz="0" w:space="0" w:color="auto"/>
        <w:bottom w:val="none" w:sz="0" w:space="0" w:color="auto"/>
        <w:right w:val="none" w:sz="0" w:space="0" w:color="auto"/>
      </w:divBdr>
    </w:div>
    <w:div w:id="149450034">
      <w:bodyDiv w:val="1"/>
      <w:marLeft w:val="0"/>
      <w:marRight w:val="0"/>
      <w:marTop w:val="0"/>
      <w:marBottom w:val="0"/>
      <w:divBdr>
        <w:top w:val="none" w:sz="0" w:space="0" w:color="auto"/>
        <w:left w:val="none" w:sz="0" w:space="0" w:color="auto"/>
        <w:bottom w:val="none" w:sz="0" w:space="0" w:color="auto"/>
        <w:right w:val="none" w:sz="0" w:space="0" w:color="auto"/>
      </w:divBdr>
    </w:div>
    <w:div w:id="160314210">
      <w:bodyDiv w:val="1"/>
      <w:marLeft w:val="0"/>
      <w:marRight w:val="0"/>
      <w:marTop w:val="0"/>
      <w:marBottom w:val="0"/>
      <w:divBdr>
        <w:top w:val="none" w:sz="0" w:space="0" w:color="auto"/>
        <w:left w:val="none" w:sz="0" w:space="0" w:color="auto"/>
        <w:bottom w:val="none" w:sz="0" w:space="0" w:color="auto"/>
        <w:right w:val="none" w:sz="0" w:space="0" w:color="auto"/>
      </w:divBdr>
    </w:div>
    <w:div w:id="161161719">
      <w:bodyDiv w:val="1"/>
      <w:marLeft w:val="0"/>
      <w:marRight w:val="0"/>
      <w:marTop w:val="0"/>
      <w:marBottom w:val="0"/>
      <w:divBdr>
        <w:top w:val="none" w:sz="0" w:space="0" w:color="auto"/>
        <w:left w:val="none" w:sz="0" w:space="0" w:color="auto"/>
        <w:bottom w:val="none" w:sz="0" w:space="0" w:color="auto"/>
        <w:right w:val="none" w:sz="0" w:space="0" w:color="auto"/>
      </w:divBdr>
    </w:div>
    <w:div w:id="163131177">
      <w:bodyDiv w:val="1"/>
      <w:marLeft w:val="0"/>
      <w:marRight w:val="0"/>
      <w:marTop w:val="0"/>
      <w:marBottom w:val="0"/>
      <w:divBdr>
        <w:top w:val="none" w:sz="0" w:space="0" w:color="auto"/>
        <w:left w:val="none" w:sz="0" w:space="0" w:color="auto"/>
        <w:bottom w:val="none" w:sz="0" w:space="0" w:color="auto"/>
        <w:right w:val="none" w:sz="0" w:space="0" w:color="auto"/>
      </w:divBdr>
    </w:div>
    <w:div w:id="163935836">
      <w:bodyDiv w:val="1"/>
      <w:marLeft w:val="0"/>
      <w:marRight w:val="0"/>
      <w:marTop w:val="0"/>
      <w:marBottom w:val="0"/>
      <w:divBdr>
        <w:top w:val="none" w:sz="0" w:space="0" w:color="auto"/>
        <w:left w:val="none" w:sz="0" w:space="0" w:color="auto"/>
        <w:bottom w:val="none" w:sz="0" w:space="0" w:color="auto"/>
        <w:right w:val="none" w:sz="0" w:space="0" w:color="auto"/>
      </w:divBdr>
    </w:div>
    <w:div w:id="165904145">
      <w:bodyDiv w:val="1"/>
      <w:marLeft w:val="0"/>
      <w:marRight w:val="0"/>
      <w:marTop w:val="0"/>
      <w:marBottom w:val="0"/>
      <w:divBdr>
        <w:top w:val="none" w:sz="0" w:space="0" w:color="auto"/>
        <w:left w:val="none" w:sz="0" w:space="0" w:color="auto"/>
        <w:bottom w:val="none" w:sz="0" w:space="0" w:color="auto"/>
        <w:right w:val="none" w:sz="0" w:space="0" w:color="auto"/>
      </w:divBdr>
    </w:div>
    <w:div w:id="168369598">
      <w:bodyDiv w:val="1"/>
      <w:marLeft w:val="0"/>
      <w:marRight w:val="0"/>
      <w:marTop w:val="0"/>
      <w:marBottom w:val="0"/>
      <w:divBdr>
        <w:top w:val="none" w:sz="0" w:space="0" w:color="auto"/>
        <w:left w:val="none" w:sz="0" w:space="0" w:color="auto"/>
        <w:bottom w:val="none" w:sz="0" w:space="0" w:color="auto"/>
        <w:right w:val="none" w:sz="0" w:space="0" w:color="auto"/>
      </w:divBdr>
    </w:div>
    <w:div w:id="178593069">
      <w:bodyDiv w:val="1"/>
      <w:marLeft w:val="0"/>
      <w:marRight w:val="0"/>
      <w:marTop w:val="0"/>
      <w:marBottom w:val="0"/>
      <w:divBdr>
        <w:top w:val="none" w:sz="0" w:space="0" w:color="auto"/>
        <w:left w:val="none" w:sz="0" w:space="0" w:color="auto"/>
        <w:bottom w:val="none" w:sz="0" w:space="0" w:color="auto"/>
        <w:right w:val="none" w:sz="0" w:space="0" w:color="auto"/>
      </w:divBdr>
    </w:div>
    <w:div w:id="195385986">
      <w:bodyDiv w:val="1"/>
      <w:marLeft w:val="0"/>
      <w:marRight w:val="0"/>
      <w:marTop w:val="0"/>
      <w:marBottom w:val="0"/>
      <w:divBdr>
        <w:top w:val="none" w:sz="0" w:space="0" w:color="auto"/>
        <w:left w:val="none" w:sz="0" w:space="0" w:color="auto"/>
        <w:bottom w:val="none" w:sz="0" w:space="0" w:color="auto"/>
        <w:right w:val="none" w:sz="0" w:space="0" w:color="auto"/>
      </w:divBdr>
    </w:div>
    <w:div w:id="201207403">
      <w:bodyDiv w:val="1"/>
      <w:marLeft w:val="0"/>
      <w:marRight w:val="0"/>
      <w:marTop w:val="0"/>
      <w:marBottom w:val="0"/>
      <w:divBdr>
        <w:top w:val="none" w:sz="0" w:space="0" w:color="auto"/>
        <w:left w:val="none" w:sz="0" w:space="0" w:color="auto"/>
        <w:bottom w:val="none" w:sz="0" w:space="0" w:color="auto"/>
        <w:right w:val="none" w:sz="0" w:space="0" w:color="auto"/>
      </w:divBdr>
    </w:div>
    <w:div w:id="215553298">
      <w:bodyDiv w:val="1"/>
      <w:marLeft w:val="0"/>
      <w:marRight w:val="0"/>
      <w:marTop w:val="0"/>
      <w:marBottom w:val="0"/>
      <w:divBdr>
        <w:top w:val="none" w:sz="0" w:space="0" w:color="auto"/>
        <w:left w:val="none" w:sz="0" w:space="0" w:color="auto"/>
        <w:bottom w:val="none" w:sz="0" w:space="0" w:color="auto"/>
        <w:right w:val="none" w:sz="0" w:space="0" w:color="auto"/>
      </w:divBdr>
    </w:div>
    <w:div w:id="215973271">
      <w:bodyDiv w:val="1"/>
      <w:marLeft w:val="0"/>
      <w:marRight w:val="0"/>
      <w:marTop w:val="0"/>
      <w:marBottom w:val="0"/>
      <w:divBdr>
        <w:top w:val="none" w:sz="0" w:space="0" w:color="auto"/>
        <w:left w:val="none" w:sz="0" w:space="0" w:color="auto"/>
        <w:bottom w:val="none" w:sz="0" w:space="0" w:color="auto"/>
        <w:right w:val="none" w:sz="0" w:space="0" w:color="auto"/>
      </w:divBdr>
    </w:div>
    <w:div w:id="217403937">
      <w:bodyDiv w:val="1"/>
      <w:marLeft w:val="0"/>
      <w:marRight w:val="0"/>
      <w:marTop w:val="0"/>
      <w:marBottom w:val="0"/>
      <w:divBdr>
        <w:top w:val="none" w:sz="0" w:space="0" w:color="auto"/>
        <w:left w:val="none" w:sz="0" w:space="0" w:color="auto"/>
        <w:bottom w:val="none" w:sz="0" w:space="0" w:color="auto"/>
        <w:right w:val="none" w:sz="0" w:space="0" w:color="auto"/>
      </w:divBdr>
    </w:div>
    <w:div w:id="225456338">
      <w:bodyDiv w:val="1"/>
      <w:marLeft w:val="0"/>
      <w:marRight w:val="0"/>
      <w:marTop w:val="0"/>
      <w:marBottom w:val="0"/>
      <w:divBdr>
        <w:top w:val="none" w:sz="0" w:space="0" w:color="auto"/>
        <w:left w:val="none" w:sz="0" w:space="0" w:color="auto"/>
        <w:bottom w:val="none" w:sz="0" w:space="0" w:color="auto"/>
        <w:right w:val="none" w:sz="0" w:space="0" w:color="auto"/>
      </w:divBdr>
    </w:div>
    <w:div w:id="231351330">
      <w:bodyDiv w:val="1"/>
      <w:marLeft w:val="0"/>
      <w:marRight w:val="0"/>
      <w:marTop w:val="0"/>
      <w:marBottom w:val="0"/>
      <w:divBdr>
        <w:top w:val="none" w:sz="0" w:space="0" w:color="auto"/>
        <w:left w:val="none" w:sz="0" w:space="0" w:color="auto"/>
        <w:bottom w:val="none" w:sz="0" w:space="0" w:color="auto"/>
        <w:right w:val="none" w:sz="0" w:space="0" w:color="auto"/>
      </w:divBdr>
    </w:div>
    <w:div w:id="236789276">
      <w:bodyDiv w:val="1"/>
      <w:marLeft w:val="0"/>
      <w:marRight w:val="0"/>
      <w:marTop w:val="0"/>
      <w:marBottom w:val="0"/>
      <w:divBdr>
        <w:top w:val="none" w:sz="0" w:space="0" w:color="auto"/>
        <w:left w:val="none" w:sz="0" w:space="0" w:color="auto"/>
        <w:bottom w:val="none" w:sz="0" w:space="0" w:color="auto"/>
        <w:right w:val="none" w:sz="0" w:space="0" w:color="auto"/>
      </w:divBdr>
    </w:div>
    <w:div w:id="246228516">
      <w:bodyDiv w:val="1"/>
      <w:marLeft w:val="0"/>
      <w:marRight w:val="0"/>
      <w:marTop w:val="0"/>
      <w:marBottom w:val="0"/>
      <w:divBdr>
        <w:top w:val="none" w:sz="0" w:space="0" w:color="auto"/>
        <w:left w:val="none" w:sz="0" w:space="0" w:color="auto"/>
        <w:bottom w:val="none" w:sz="0" w:space="0" w:color="auto"/>
        <w:right w:val="none" w:sz="0" w:space="0" w:color="auto"/>
      </w:divBdr>
    </w:div>
    <w:div w:id="247421266">
      <w:bodyDiv w:val="1"/>
      <w:marLeft w:val="0"/>
      <w:marRight w:val="0"/>
      <w:marTop w:val="0"/>
      <w:marBottom w:val="0"/>
      <w:divBdr>
        <w:top w:val="none" w:sz="0" w:space="0" w:color="auto"/>
        <w:left w:val="none" w:sz="0" w:space="0" w:color="auto"/>
        <w:bottom w:val="none" w:sz="0" w:space="0" w:color="auto"/>
        <w:right w:val="none" w:sz="0" w:space="0" w:color="auto"/>
      </w:divBdr>
    </w:div>
    <w:div w:id="248081319">
      <w:bodyDiv w:val="1"/>
      <w:marLeft w:val="0"/>
      <w:marRight w:val="0"/>
      <w:marTop w:val="0"/>
      <w:marBottom w:val="0"/>
      <w:divBdr>
        <w:top w:val="none" w:sz="0" w:space="0" w:color="auto"/>
        <w:left w:val="none" w:sz="0" w:space="0" w:color="auto"/>
        <w:bottom w:val="none" w:sz="0" w:space="0" w:color="auto"/>
        <w:right w:val="none" w:sz="0" w:space="0" w:color="auto"/>
      </w:divBdr>
    </w:div>
    <w:div w:id="249003329">
      <w:bodyDiv w:val="1"/>
      <w:marLeft w:val="0"/>
      <w:marRight w:val="0"/>
      <w:marTop w:val="0"/>
      <w:marBottom w:val="0"/>
      <w:divBdr>
        <w:top w:val="none" w:sz="0" w:space="0" w:color="auto"/>
        <w:left w:val="none" w:sz="0" w:space="0" w:color="auto"/>
        <w:bottom w:val="none" w:sz="0" w:space="0" w:color="auto"/>
        <w:right w:val="none" w:sz="0" w:space="0" w:color="auto"/>
      </w:divBdr>
    </w:div>
    <w:div w:id="257951647">
      <w:bodyDiv w:val="1"/>
      <w:marLeft w:val="0"/>
      <w:marRight w:val="0"/>
      <w:marTop w:val="0"/>
      <w:marBottom w:val="0"/>
      <w:divBdr>
        <w:top w:val="none" w:sz="0" w:space="0" w:color="auto"/>
        <w:left w:val="none" w:sz="0" w:space="0" w:color="auto"/>
        <w:bottom w:val="none" w:sz="0" w:space="0" w:color="auto"/>
        <w:right w:val="none" w:sz="0" w:space="0" w:color="auto"/>
      </w:divBdr>
    </w:div>
    <w:div w:id="261762345">
      <w:bodyDiv w:val="1"/>
      <w:marLeft w:val="0"/>
      <w:marRight w:val="0"/>
      <w:marTop w:val="0"/>
      <w:marBottom w:val="0"/>
      <w:divBdr>
        <w:top w:val="none" w:sz="0" w:space="0" w:color="auto"/>
        <w:left w:val="none" w:sz="0" w:space="0" w:color="auto"/>
        <w:bottom w:val="none" w:sz="0" w:space="0" w:color="auto"/>
        <w:right w:val="none" w:sz="0" w:space="0" w:color="auto"/>
      </w:divBdr>
    </w:div>
    <w:div w:id="271207451">
      <w:bodyDiv w:val="1"/>
      <w:marLeft w:val="0"/>
      <w:marRight w:val="0"/>
      <w:marTop w:val="0"/>
      <w:marBottom w:val="0"/>
      <w:divBdr>
        <w:top w:val="none" w:sz="0" w:space="0" w:color="auto"/>
        <w:left w:val="none" w:sz="0" w:space="0" w:color="auto"/>
        <w:bottom w:val="none" w:sz="0" w:space="0" w:color="auto"/>
        <w:right w:val="none" w:sz="0" w:space="0" w:color="auto"/>
      </w:divBdr>
    </w:div>
    <w:div w:id="274483857">
      <w:bodyDiv w:val="1"/>
      <w:marLeft w:val="0"/>
      <w:marRight w:val="0"/>
      <w:marTop w:val="0"/>
      <w:marBottom w:val="0"/>
      <w:divBdr>
        <w:top w:val="none" w:sz="0" w:space="0" w:color="auto"/>
        <w:left w:val="none" w:sz="0" w:space="0" w:color="auto"/>
        <w:bottom w:val="none" w:sz="0" w:space="0" w:color="auto"/>
        <w:right w:val="none" w:sz="0" w:space="0" w:color="auto"/>
      </w:divBdr>
    </w:div>
    <w:div w:id="275454285">
      <w:bodyDiv w:val="1"/>
      <w:marLeft w:val="0"/>
      <w:marRight w:val="0"/>
      <w:marTop w:val="0"/>
      <w:marBottom w:val="0"/>
      <w:divBdr>
        <w:top w:val="none" w:sz="0" w:space="0" w:color="auto"/>
        <w:left w:val="none" w:sz="0" w:space="0" w:color="auto"/>
        <w:bottom w:val="none" w:sz="0" w:space="0" w:color="auto"/>
        <w:right w:val="none" w:sz="0" w:space="0" w:color="auto"/>
      </w:divBdr>
    </w:div>
    <w:div w:id="289097673">
      <w:bodyDiv w:val="1"/>
      <w:marLeft w:val="0"/>
      <w:marRight w:val="0"/>
      <w:marTop w:val="0"/>
      <w:marBottom w:val="0"/>
      <w:divBdr>
        <w:top w:val="none" w:sz="0" w:space="0" w:color="auto"/>
        <w:left w:val="none" w:sz="0" w:space="0" w:color="auto"/>
        <w:bottom w:val="none" w:sz="0" w:space="0" w:color="auto"/>
        <w:right w:val="none" w:sz="0" w:space="0" w:color="auto"/>
      </w:divBdr>
    </w:div>
    <w:div w:id="290593045">
      <w:bodyDiv w:val="1"/>
      <w:marLeft w:val="0"/>
      <w:marRight w:val="0"/>
      <w:marTop w:val="0"/>
      <w:marBottom w:val="0"/>
      <w:divBdr>
        <w:top w:val="none" w:sz="0" w:space="0" w:color="auto"/>
        <w:left w:val="none" w:sz="0" w:space="0" w:color="auto"/>
        <w:bottom w:val="none" w:sz="0" w:space="0" w:color="auto"/>
        <w:right w:val="none" w:sz="0" w:space="0" w:color="auto"/>
      </w:divBdr>
    </w:div>
    <w:div w:id="290944615">
      <w:bodyDiv w:val="1"/>
      <w:marLeft w:val="0"/>
      <w:marRight w:val="0"/>
      <w:marTop w:val="0"/>
      <w:marBottom w:val="0"/>
      <w:divBdr>
        <w:top w:val="none" w:sz="0" w:space="0" w:color="auto"/>
        <w:left w:val="none" w:sz="0" w:space="0" w:color="auto"/>
        <w:bottom w:val="none" w:sz="0" w:space="0" w:color="auto"/>
        <w:right w:val="none" w:sz="0" w:space="0" w:color="auto"/>
      </w:divBdr>
    </w:div>
    <w:div w:id="310327405">
      <w:bodyDiv w:val="1"/>
      <w:marLeft w:val="0"/>
      <w:marRight w:val="0"/>
      <w:marTop w:val="0"/>
      <w:marBottom w:val="0"/>
      <w:divBdr>
        <w:top w:val="none" w:sz="0" w:space="0" w:color="auto"/>
        <w:left w:val="none" w:sz="0" w:space="0" w:color="auto"/>
        <w:bottom w:val="none" w:sz="0" w:space="0" w:color="auto"/>
        <w:right w:val="none" w:sz="0" w:space="0" w:color="auto"/>
      </w:divBdr>
    </w:div>
    <w:div w:id="349572352">
      <w:bodyDiv w:val="1"/>
      <w:marLeft w:val="0"/>
      <w:marRight w:val="0"/>
      <w:marTop w:val="0"/>
      <w:marBottom w:val="0"/>
      <w:divBdr>
        <w:top w:val="none" w:sz="0" w:space="0" w:color="auto"/>
        <w:left w:val="none" w:sz="0" w:space="0" w:color="auto"/>
        <w:bottom w:val="none" w:sz="0" w:space="0" w:color="auto"/>
        <w:right w:val="none" w:sz="0" w:space="0" w:color="auto"/>
      </w:divBdr>
    </w:div>
    <w:div w:id="353649790">
      <w:bodyDiv w:val="1"/>
      <w:marLeft w:val="0"/>
      <w:marRight w:val="0"/>
      <w:marTop w:val="0"/>
      <w:marBottom w:val="0"/>
      <w:divBdr>
        <w:top w:val="none" w:sz="0" w:space="0" w:color="auto"/>
        <w:left w:val="none" w:sz="0" w:space="0" w:color="auto"/>
        <w:bottom w:val="none" w:sz="0" w:space="0" w:color="auto"/>
        <w:right w:val="none" w:sz="0" w:space="0" w:color="auto"/>
      </w:divBdr>
    </w:div>
    <w:div w:id="357197974">
      <w:bodyDiv w:val="1"/>
      <w:marLeft w:val="0"/>
      <w:marRight w:val="0"/>
      <w:marTop w:val="0"/>
      <w:marBottom w:val="0"/>
      <w:divBdr>
        <w:top w:val="none" w:sz="0" w:space="0" w:color="auto"/>
        <w:left w:val="none" w:sz="0" w:space="0" w:color="auto"/>
        <w:bottom w:val="none" w:sz="0" w:space="0" w:color="auto"/>
        <w:right w:val="none" w:sz="0" w:space="0" w:color="auto"/>
      </w:divBdr>
    </w:div>
    <w:div w:id="372772449">
      <w:bodyDiv w:val="1"/>
      <w:marLeft w:val="0"/>
      <w:marRight w:val="0"/>
      <w:marTop w:val="0"/>
      <w:marBottom w:val="0"/>
      <w:divBdr>
        <w:top w:val="none" w:sz="0" w:space="0" w:color="auto"/>
        <w:left w:val="none" w:sz="0" w:space="0" w:color="auto"/>
        <w:bottom w:val="none" w:sz="0" w:space="0" w:color="auto"/>
        <w:right w:val="none" w:sz="0" w:space="0" w:color="auto"/>
      </w:divBdr>
    </w:div>
    <w:div w:id="376318506">
      <w:bodyDiv w:val="1"/>
      <w:marLeft w:val="0"/>
      <w:marRight w:val="0"/>
      <w:marTop w:val="0"/>
      <w:marBottom w:val="0"/>
      <w:divBdr>
        <w:top w:val="none" w:sz="0" w:space="0" w:color="auto"/>
        <w:left w:val="none" w:sz="0" w:space="0" w:color="auto"/>
        <w:bottom w:val="none" w:sz="0" w:space="0" w:color="auto"/>
        <w:right w:val="none" w:sz="0" w:space="0" w:color="auto"/>
      </w:divBdr>
    </w:div>
    <w:div w:id="394857622">
      <w:bodyDiv w:val="1"/>
      <w:marLeft w:val="0"/>
      <w:marRight w:val="0"/>
      <w:marTop w:val="0"/>
      <w:marBottom w:val="0"/>
      <w:divBdr>
        <w:top w:val="none" w:sz="0" w:space="0" w:color="auto"/>
        <w:left w:val="none" w:sz="0" w:space="0" w:color="auto"/>
        <w:bottom w:val="none" w:sz="0" w:space="0" w:color="auto"/>
        <w:right w:val="none" w:sz="0" w:space="0" w:color="auto"/>
      </w:divBdr>
    </w:div>
    <w:div w:id="397750785">
      <w:bodyDiv w:val="1"/>
      <w:marLeft w:val="0"/>
      <w:marRight w:val="0"/>
      <w:marTop w:val="0"/>
      <w:marBottom w:val="0"/>
      <w:divBdr>
        <w:top w:val="none" w:sz="0" w:space="0" w:color="auto"/>
        <w:left w:val="none" w:sz="0" w:space="0" w:color="auto"/>
        <w:bottom w:val="none" w:sz="0" w:space="0" w:color="auto"/>
        <w:right w:val="none" w:sz="0" w:space="0" w:color="auto"/>
      </w:divBdr>
    </w:div>
    <w:div w:id="406075484">
      <w:bodyDiv w:val="1"/>
      <w:marLeft w:val="0"/>
      <w:marRight w:val="0"/>
      <w:marTop w:val="0"/>
      <w:marBottom w:val="0"/>
      <w:divBdr>
        <w:top w:val="none" w:sz="0" w:space="0" w:color="auto"/>
        <w:left w:val="none" w:sz="0" w:space="0" w:color="auto"/>
        <w:bottom w:val="none" w:sz="0" w:space="0" w:color="auto"/>
        <w:right w:val="none" w:sz="0" w:space="0" w:color="auto"/>
      </w:divBdr>
    </w:div>
    <w:div w:id="411513054">
      <w:bodyDiv w:val="1"/>
      <w:marLeft w:val="0"/>
      <w:marRight w:val="0"/>
      <w:marTop w:val="0"/>
      <w:marBottom w:val="0"/>
      <w:divBdr>
        <w:top w:val="none" w:sz="0" w:space="0" w:color="auto"/>
        <w:left w:val="none" w:sz="0" w:space="0" w:color="auto"/>
        <w:bottom w:val="none" w:sz="0" w:space="0" w:color="auto"/>
        <w:right w:val="none" w:sz="0" w:space="0" w:color="auto"/>
      </w:divBdr>
    </w:div>
    <w:div w:id="411972357">
      <w:bodyDiv w:val="1"/>
      <w:marLeft w:val="0"/>
      <w:marRight w:val="0"/>
      <w:marTop w:val="0"/>
      <w:marBottom w:val="0"/>
      <w:divBdr>
        <w:top w:val="none" w:sz="0" w:space="0" w:color="auto"/>
        <w:left w:val="none" w:sz="0" w:space="0" w:color="auto"/>
        <w:bottom w:val="none" w:sz="0" w:space="0" w:color="auto"/>
        <w:right w:val="none" w:sz="0" w:space="0" w:color="auto"/>
      </w:divBdr>
    </w:div>
    <w:div w:id="412047256">
      <w:bodyDiv w:val="1"/>
      <w:marLeft w:val="0"/>
      <w:marRight w:val="0"/>
      <w:marTop w:val="0"/>
      <w:marBottom w:val="0"/>
      <w:divBdr>
        <w:top w:val="none" w:sz="0" w:space="0" w:color="auto"/>
        <w:left w:val="none" w:sz="0" w:space="0" w:color="auto"/>
        <w:bottom w:val="none" w:sz="0" w:space="0" w:color="auto"/>
        <w:right w:val="none" w:sz="0" w:space="0" w:color="auto"/>
      </w:divBdr>
    </w:div>
    <w:div w:id="418068032">
      <w:bodyDiv w:val="1"/>
      <w:marLeft w:val="0"/>
      <w:marRight w:val="0"/>
      <w:marTop w:val="0"/>
      <w:marBottom w:val="0"/>
      <w:divBdr>
        <w:top w:val="none" w:sz="0" w:space="0" w:color="auto"/>
        <w:left w:val="none" w:sz="0" w:space="0" w:color="auto"/>
        <w:bottom w:val="none" w:sz="0" w:space="0" w:color="auto"/>
        <w:right w:val="none" w:sz="0" w:space="0" w:color="auto"/>
      </w:divBdr>
    </w:div>
    <w:div w:id="434061482">
      <w:bodyDiv w:val="1"/>
      <w:marLeft w:val="0"/>
      <w:marRight w:val="0"/>
      <w:marTop w:val="0"/>
      <w:marBottom w:val="0"/>
      <w:divBdr>
        <w:top w:val="none" w:sz="0" w:space="0" w:color="auto"/>
        <w:left w:val="none" w:sz="0" w:space="0" w:color="auto"/>
        <w:bottom w:val="none" w:sz="0" w:space="0" w:color="auto"/>
        <w:right w:val="none" w:sz="0" w:space="0" w:color="auto"/>
      </w:divBdr>
    </w:div>
    <w:div w:id="436759190">
      <w:bodyDiv w:val="1"/>
      <w:marLeft w:val="0"/>
      <w:marRight w:val="0"/>
      <w:marTop w:val="0"/>
      <w:marBottom w:val="0"/>
      <w:divBdr>
        <w:top w:val="none" w:sz="0" w:space="0" w:color="auto"/>
        <w:left w:val="none" w:sz="0" w:space="0" w:color="auto"/>
        <w:bottom w:val="none" w:sz="0" w:space="0" w:color="auto"/>
        <w:right w:val="none" w:sz="0" w:space="0" w:color="auto"/>
      </w:divBdr>
    </w:div>
    <w:div w:id="442648366">
      <w:bodyDiv w:val="1"/>
      <w:marLeft w:val="0"/>
      <w:marRight w:val="0"/>
      <w:marTop w:val="0"/>
      <w:marBottom w:val="0"/>
      <w:divBdr>
        <w:top w:val="none" w:sz="0" w:space="0" w:color="auto"/>
        <w:left w:val="none" w:sz="0" w:space="0" w:color="auto"/>
        <w:bottom w:val="none" w:sz="0" w:space="0" w:color="auto"/>
        <w:right w:val="none" w:sz="0" w:space="0" w:color="auto"/>
      </w:divBdr>
    </w:div>
    <w:div w:id="447552547">
      <w:bodyDiv w:val="1"/>
      <w:marLeft w:val="0"/>
      <w:marRight w:val="0"/>
      <w:marTop w:val="0"/>
      <w:marBottom w:val="0"/>
      <w:divBdr>
        <w:top w:val="none" w:sz="0" w:space="0" w:color="auto"/>
        <w:left w:val="none" w:sz="0" w:space="0" w:color="auto"/>
        <w:bottom w:val="none" w:sz="0" w:space="0" w:color="auto"/>
        <w:right w:val="none" w:sz="0" w:space="0" w:color="auto"/>
      </w:divBdr>
    </w:div>
    <w:div w:id="469828332">
      <w:bodyDiv w:val="1"/>
      <w:marLeft w:val="0"/>
      <w:marRight w:val="0"/>
      <w:marTop w:val="0"/>
      <w:marBottom w:val="0"/>
      <w:divBdr>
        <w:top w:val="none" w:sz="0" w:space="0" w:color="auto"/>
        <w:left w:val="none" w:sz="0" w:space="0" w:color="auto"/>
        <w:bottom w:val="none" w:sz="0" w:space="0" w:color="auto"/>
        <w:right w:val="none" w:sz="0" w:space="0" w:color="auto"/>
      </w:divBdr>
    </w:div>
    <w:div w:id="496657742">
      <w:bodyDiv w:val="1"/>
      <w:marLeft w:val="0"/>
      <w:marRight w:val="0"/>
      <w:marTop w:val="0"/>
      <w:marBottom w:val="0"/>
      <w:divBdr>
        <w:top w:val="none" w:sz="0" w:space="0" w:color="auto"/>
        <w:left w:val="none" w:sz="0" w:space="0" w:color="auto"/>
        <w:bottom w:val="none" w:sz="0" w:space="0" w:color="auto"/>
        <w:right w:val="none" w:sz="0" w:space="0" w:color="auto"/>
      </w:divBdr>
    </w:div>
    <w:div w:id="515072977">
      <w:bodyDiv w:val="1"/>
      <w:marLeft w:val="0"/>
      <w:marRight w:val="0"/>
      <w:marTop w:val="0"/>
      <w:marBottom w:val="0"/>
      <w:divBdr>
        <w:top w:val="none" w:sz="0" w:space="0" w:color="auto"/>
        <w:left w:val="none" w:sz="0" w:space="0" w:color="auto"/>
        <w:bottom w:val="none" w:sz="0" w:space="0" w:color="auto"/>
        <w:right w:val="none" w:sz="0" w:space="0" w:color="auto"/>
      </w:divBdr>
    </w:div>
    <w:div w:id="520238493">
      <w:bodyDiv w:val="1"/>
      <w:marLeft w:val="0"/>
      <w:marRight w:val="0"/>
      <w:marTop w:val="0"/>
      <w:marBottom w:val="0"/>
      <w:divBdr>
        <w:top w:val="none" w:sz="0" w:space="0" w:color="auto"/>
        <w:left w:val="none" w:sz="0" w:space="0" w:color="auto"/>
        <w:bottom w:val="none" w:sz="0" w:space="0" w:color="auto"/>
        <w:right w:val="none" w:sz="0" w:space="0" w:color="auto"/>
      </w:divBdr>
    </w:div>
    <w:div w:id="523978043">
      <w:bodyDiv w:val="1"/>
      <w:marLeft w:val="0"/>
      <w:marRight w:val="0"/>
      <w:marTop w:val="0"/>
      <w:marBottom w:val="0"/>
      <w:divBdr>
        <w:top w:val="none" w:sz="0" w:space="0" w:color="auto"/>
        <w:left w:val="none" w:sz="0" w:space="0" w:color="auto"/>
        <w:bottom w:val="none" w:sz="0" w:space="0" w:color="auto"/>
        <w:right w:val="none" w:sz="0" w:space="0" w:color="auto"/>
      </w:divBdr>
    </w:div>
    <w:div w:id="535120499">
      <w:bodyDiv w:val="1"/>
      <w:marLeft w:val="0"/>
      <w:marRight w:val="0"/>
      <w:marTop w:val="0"/>
      <w:marBottom w:val="0"/>
      <w:divBdr>
        <w:top w:val="none" w:sz="0" w:space="0" w:color="auto"/>
        <w:left w:val="none" w:sz="0" w:space="0" w:color="auto"/>
        <w:bottom w:val="none" w:sz="0" w:space="0" w:color="auto"/>
        <w:right w:val="none" w:sz="0" w:space="0" w:color="auto"/>
      </w:divBdr>
    </w:div>
    <w:div w:id="541138127">
      <w:bodyDiv w:val="1"/>
      <w:marLeft w:val="0"/>
      <w:marRight w:val="0"/>
      <w:marTop w:val="0"/>
      <w:marBottom w:val="0"/>
      <w:divBdr>
        <w:top w:val="none" w:sz="0" w:space="0" w:color="auto"/>
        <w:left w:val="none" w:sz="0" w:space="0" w:color="auto"/>
        <w:bottom w:val="none" w:sz="0" w:space="0" w:color="auto"/>
        <w:right w:val="none" w:sz="0" w:space="0" w:color="auto"/>
      </w:divBdr>
    </w:div>
    <w:div w:id="545946063">
      <w:bodyDiv w:val="1"/>
      <w:marLeft w:val="0"/>
      <w:marRight w:val="0"/>
      <w:marTop w:val="0"/>
      <w:marBottom w:val="0"/>
      <w:divBdr>
        <w:top w:val="none" w:sz="0" w:space="0" w:color="auto"/>
        <w:left w:val="none" w:sz="0" w:space="0" w:color="auto"/>
        <w:bottom w:val="none" w:sz="0" w:space="0" w:color="auto"/>
        <w:right w:val="none" w:sz="0" w:space="0" w:color="auto"/>
      </w:divBdr>
    </w:div>
    <w:div w:id="552279018">
      <w:bodyDiv w:val="1"/>
      <w:marLeft w:val="0"/>
      <w:marRight w:val="0"/>
      <w:marTop w:val="0"/>
      <w:marBottom w:val="0"/>
      <w:divBdr>
        <w:top w:val="none" w:sz="0" w:space="0" w:color="auto"/>
        <w:left w:val="none" w:sz="0" w:space="0" w:color="auto"/>
        <w:bottom w:val="none" w:sz="0" w:space="0" w:color="auto"/>
        <w:right w:val="none" w:sz="0" w:space="0" w:color="auto"/>
      </w:divBdr>
    </w:div>
    <w:div w:id="582301319">
      <w:bodyDiv w:val="1"/>
      <w:marLeft w:val="0"/>
      <w:marRight w:val="0"/>
      <w:marTop w:val="0"/>
      <w:marBottom w:val="0"/>
      <w:divBdr>
        <w:top w:val="none" w:sz="0" w:space="0" w:color="auto"/>
        <w:left w:val="none" w:sz="0" w:space="0" w:color="auto"/>
        <w:bottom w:val="none" w:sz="0" w:space="0" w:color="auto"/>
        <w:right w:val="none" w:sz="0" w:space="0" w:color="auto"/>
      </w:divBdr>
    </w:div>
    <w:div w:id="585383798">
      <w:bodyDiv w:val="1"/>
      <w:marLeft w:val="0"/>
      <w:marRight w:val="0"/>
      <w:marTop w:val="0"/>
      <w:marBottom w:val="0"/>
      <w:divBdr>
        <w:top w:val="none" w:sz="0" w:space="0" w:color="auto"/>
        <w:left w:val="none" w:sz="0" w:space="0" w:color="auto"/>
        <w:bottom w:val="none" w:sz="0" w:space="0" w:color="auto"/>
        <w:right w:val="none" w:sz="0" w:space="0" w:color="auto"/>
      </w:divBdr>
    </w:div>
    <w:div w:id="587614669">
      <w:bodyDiv w:val="1"/>
      <w:marLeft w:val="0"/>
      <w:marRight w:val="0"/>
      <w:marTop w:val="0"/>
      <w:marBottom w:val="0"/>
      <w:divBdr>
        <w:top w:val="none" w:sz="0" w:space="0" w:color="auto"/>
        <w:left w:val="none" w:sz="0" w:space="0" w:color="auto"/>
        <w:bottom w:val="none" w:sz="0" w:space="0" w:color="auto"/>
        <w:right w:val="none" w:sz="0" w:space="0" w:color="auto"/>
      </w:divBdr>
    </w:div>
    <w:div w:id="591354237">
      <w:bodyDiv w:val="1"/>
      <w:marLeft w:val="0"/>
      <w:marRight w:val="0"/>
      <w:marTop w:val="0"/>
      <w:marBottom w:val="0"/>
      <w:divBdr>
        <w:top w:val="none" w:sz="0" w:space="0" w:color="auto"/>
        <w:left w:val="none" w:sz="0" w:space="0" w:color="auto"/>
        <w:bottom w:val="none" w:sz="0" w:space="0" w:color="auto"/>
        <w:right w:val="none" w:sz="0" w:space="0" w:color="auto"/>
      </w:divBdr>
    </w:div>
    <w:div w:id="598411659">
      <w:bodyDiv w:val="1"/>
      <w:marLeft w:val="0"/>
      <w:marRight w:val="0"/>
      <w:marTop w:val="0"/>
      <w:marBottom w:val="0"/>
      <w:divBdr>
        <w:top w:val="none" w:sz="0" w:space="0" w:color="auto"/>
        <w:left w:val="none" w:sz="0" w:space="0" w:color="auto"/>
        <w:bottom w:val="none" w:sz="0" w:space="0" w:color="auto"/>
        <w:right w:val="none" w:sz="0" w:space="0" w:color="auto"/>
      </w:divBdr>
    </w:div>
    <w:div w:id="602736191">
      <w:bodyDiv w:val="1"/>
      <w:marLeft w:val="0"/>
      <w:marRight w:val="0"/>
      <w:marTop w:val="0"/>
      <w:marBottom w:val="0"/>
      <w:divBdr>
        <w:top w:val="none" w:sz="0" w:space="0" w:color="auto"/>
        <w:left w:val="none" w:sz="0" w:space="0" w:color="auto"/>
        <w:bottom w:val="none" w:sz="0" w:space="0" w:color="auto"/>
        <w:right w:val="none" w:sz="0" w:space="0" w:color="auto"/>
      </w:divBdr>
    </w:div>
    <w:div w:id="606472286">
      <w:bodyDiv w:val="1"/>
      <w:marLeft w:val="0"/>
      <w:marRight w:val="0"/>
      <w:marTop w:val="0"/>
      <w:marBottom w:val="0"/>
      <w:divBdr>
        <w:top w:val="none" w:sz="0" w:space="0" w:color="auto"/>
        <w:left w:val="none" w:sz="0" w:space="0" w:color="auto"/>
        <w:bottom w:val="none" w:sz="0" w:space="0" w:color="auto"/>
        <w:right w:val="none" w:sz="0" w:space="0" w:color="auto"/>
      </w:divBdr>
    </w:div>
    <w:div w:id="608240631">
      <w:bodyDiv w:val="1"/>
      <w:marLeft w:val="0"/>
      <w:marRight w:val="0"/>
      <w:marTop w:val="0"/>
      <w:marBottom w:val="0"/>
      <w:divBdr>
        <w:top w:val="none" w:sz="0" w:space="0" w:color="auto"/>
        <w:left w:val="none" w:sz="0" w:space="0" w:color="auto"/>
        <w:bottom w:val="none" w:sz="0" w:space="0" w:color="auto"/>
        <w:right w:val="none" w:sz="0" w:space="0" w:color="auto"/>
      </w:divBdr>
    </w:div>
    <w:div w:id="608925879">
      <w:bodyDiv w:val="1"/>
      <w:marLeft w:val="0"/>
      <w:marRight w:val="0"/>
      <w:marTop w:val="0"/>
      <w:marBottom w:val="0"/>
      <w:divBdr>
        <w:top w:val="none" w:sz="0" w:space="0" w:color="auto"/>
        <w:left w:val="none" w:sz="0" w:space="0" w:color="auto"/>
        <w:bottom w:val="none" w:sz="0" w:space="0" w:color="auto"/>
        <w:right w:val="none" w:sz="0" w:space="0" w:color="auto"/>
      </w:divBdr>
    </w:div>
    <w:div w:id="609700558">
      <w:bodyDiv w:val="1"/>
      <w:marLeft w:val="0"/>
      <w:marRight w:val="0"/>
      <w:marTop w:val="0"/>
      <w:marBottom w:val="0"/>
      <w:divBdr>
        <w:top w:val="none" w:sz="0" w:space="0" w:color="auto"/>
        <w:left w:val="none" w:sz="0" w:space="0" w:color="auto"/>
        <w:bottom w:val="none" w:sz="0" w:space="0" w:color="auto"/>
        <w:right w:val="none" w:sz="0" w:space="0" w:color="auto"/>
      </w:divBdr>
    </w:div>
    <w:div w:id="610358231">
      <w:bodyDiv w:val="1"/>
      <w:marLeft w:val="0"/>
      <w:marRight w:val="0"/>
      <w:marTop w:val="0"/>
      <w:marBottom w:val="0"/>
      <w:divBdr>
        <w:top w:val="none" w:sz="0" w:space="0" w:color="auto"/>
        <w:left w:val="none" w:sz="0" w:space="0" w:color="auto"/>
        <w:bottom w:val="none" w:sz="0" w:space="0" w:color="auto"/>
        <w:right w:val="none" w:sz="0" w:space="0" w:color="auto"/>
      </w:divBdr>
    </w:div>
    <w:div w:id="610672192">
      <w:bodyDiv w:val="1"/>
      <w:marLeft w:val="0"/>
      <w:marRight w:val="0"/>
      <w:marTop w:val="0"/>
      <w:marBottom w:val="0"/>
      <w:divBdr>
        <w:top w:val="none" w:sz="0" w:space="0" w:color="auto"/>
        <w:left w:val="none" w:sz="0" w:space="0" w:color="auto"/>
        <w:bottom w:val="none" w:sz="0" w:space="0" w:color="auto"/>
        <w:right w:val="none" w:sz="0" w:space="0" w:color="auto"/>
      </w:divBdr>
    </w:div>
    <w:div w:id="618798193">
      <w:bodyDiv w:val="1"/>
      <w:marLeft w:val="0"/>
      <w:marRight w:val="0"/>
      <w:marTop w:val="0"/>
      <w:marBottom w:val="0"/>
      <w:divBdr>
        <w:top w:val="none" w:sz="0" w:space="0" w:color="auto"/>
        <w:left w:val="none" w:sz="0" w:space="0" w:color="auto"/>
        <w:bottom w:val="none" w:sz="0" w:space="0" w:color="auto"/>
        <w:right w:val="none" w:sz="0" w:space="0" w:color="auto"/>
      </w:divBdr>
    </w:div>
    <w:div w:id="641891397">
      <w:bodyDiv w:val="1"/>
      <w:marLeft w:val="0"/>
      <w:marRight w:val="0"/>
      <w:marTop w:val="0"/>
      <w:marBottom w:val="0"/>
      <w:divBdr>
        <w:top w:val="none" w:sz="0" w:space="0" w:color="auto"/>
        <w:left w:val="none" w:sz="0" w:space="0" w:color="auto"/>
        <w:bottom w:val="none" w:sz="0" w:space="0" w:color="auto"/>
        <w:right w:val="none" w:sz="0" w:space="0" w:color="auto"/>
      </w:divBdr>
    </w:div>
    <w:div w:id="647826494">
      <w:bodyDiv w:val="1"/>
      <w:marLeft w:val="0"/>
      <w:marRight w:val="0"/>
      <w:marTop w:val="0"/>
      <w:marBottom w:val="0"/>
      <w:divBdr>
        <w:top w:val="none" w:sz="0" w:space="0" w:color="auto"/>
        <w:left w:val="none" w:sz="0" w:space="0" w:color="auto"/>
        <w:bottom w:val="none" w:sz="0" w:space="0" w:color="auto"/>
        <w:right w:val="none" w:sz="0" w:space="0" w:color="auto"/>
      </w:divBdr>
    </w:div>
    <w:div w:id="658777054">
      <w:bodyDiv w:val="1"/>
      <w:marLeft w:val="0"/>
      <w:marRight w:val="0"/>
      <w:marTop w:val="0"/>
      <w:marBottom w:val="0"/>
      <w:divBdr>
        <w:top w:val="none" w:sz="0" w:space="0" w:color="auto"/>
        <w:left w:val="none" w:sz="0" w:space="0" w:color="auto"/>
        <w:bottom w:val="none" w:sz="0" w:space="0" w:color="auto"/>
        <w:right w:val="none" w:sz="0" w:space="0" w:color="auto"/>
      </w:divBdr>
    </w:div>
    <w:div w:id="664867029">
      <w:bodyDiv w:val="1"/>
      <w:marLeft w:val="0"/>
      <w:marRight w:val="0"/>
      <w:marTop w:val="0"/>
      <w:marBottom w:val="0"/>
      <w:divBdr>
        <w:top w:val="none" w:sz="0" w:space="0" w:color="auto"/>
        <w:left w:val="none" w:sz="0" w:space="0" w:color="auto"/>
        <w:bottom w:val="none" w:sz="0" w:space="0" w:color="auto"/>
        <w:right w:val="none" w:sz="0" w:space="0" w:color="auto"/>
      </w:divBdr>
    </w:div>
    <w:div w:id="666785671">
      <w:bodyDiv w:val="1"/>
      <w:marLeft w:val="0"/>
      <w:marRight w:val="0"/>
      <w:marTop w:val="0"/>
      <w:marBottom w:val="0"/>
      <w:divBdr>
        <w:top w:val="none" w:sz="0" w:space="0" w:color="auto"/>
        <w:left w:val="none" w:sz="0" w:space="0" w:color="auto"/>
        <w:bottom w:val="none" w:sz="0" w:space="0" w:color="auto"/>
        <w:right w:val="none" w:sz="0" w:space="0" w:color="auto"/>
      </w:divBdr>
    </w:div>
    <w:div w:id="668364923">
      <w:bodyDiv w:val="1"/>
      <w:marLeft w:val="0"/>
      <w:marRight w:val="0"/>
      <w:marTop w:val="0"/>
      <w:marBottom w:val="0"/>
      <w:divBdr>
        <w:top w:val="none" w:sz="0" w:space="0" w:color="auto"/>
        <w:left w:val="none" w:sz="0" w:space="0" w:color="auto"/>
        <w:bottom w:val="none" w:sz="0" w:space="0" w:color="auto"/>
        <w:right w:val="none" w:sz="0" w:space="0" w:color="auto"/>
      </w:divBdr>
    </w:div>
    <w:div w:id="670064335">
      <w:bodyDiv w:val="1"/>
      <w:marLeft w:val="0"/>
      <w:marRight w:val="0"/>
      <w:marTop w:val="0"/>
      <w:marBottom w:val="0"/>
      <w:divBdr>
        <w:top w:val="none" w:sz="0" w:space="0" w:color="auto"/>
        <w:left w:val="none" w:sz="0" w:space="0" w:color="auto"/>
        <w:bottom w:val="none" w:sz="0" w:space="0" w:color="auto"/>
        <w:right w:val="none" w:sz="0" w:space="0" w:color="auto"/>
      </w:divBdr>
    </w:div>
    <w:div w:id="670646611">
      <w:bodyDiv w:val="1"/>
      <w:marLeft w:val="0"/>
      <w:marRight w:val="0"/>
      <w:marTop w:val="0"/>
      <w:marBottom w:val="0"/>
      <w:divBdr>
        <w:top w:val="none" w:sz="0" w:space="0" w:color="auto"/>
        <w:left w:val="none" w:sz="0" w:space="0" w:color="auto"/>
        <w:bottom w:val="none" w:sz="0" w:space="0" w:color="auto"/>
        <w:right w:val="none" w:sz="0" w:space="0" w:color="auto"/>
      </w:divBdr>
    </w:div>
    <w:div w:id="698312773">
      <w:bodyDiv w:val="1"/>
      <w:marLeft w:val="0"/>
      <w:marRight w:val="0"/>
      <w:marTop w:val="0"/>
      <w:marBottom w:val="0"/>
      <w:divBdr>
        <w:top w:val="none" w:sz="0" w:space="0" w:color="auto"/>
        <w:left w:val="none" w:sz="0" w:space="0" w:color="auto"/>
        <w:bottom w:val="none" w:sz="0" w:space="0" w:color="auto"/>
        <w:right w:val="none" w:sz="0" w:space="0" w:color="auto"/>
      </w:divBdr>
    </w:div>
    <w:div w:id="718895916">
      <w:bodyDiv w:val="1"/>
      <w:marLeft w:val="0"/>
      <w:marRight w:val="0"/>
      <w:marTop w:val="0"/>
      <w:marBottom w:val="0"/>
      <w:divBdr>
        <w:top w:val="none" w:sz="0" w:space="0" w:color="auto"/>
        <w:left w:val="none" w:sz="0" w:space="0" w:color="auto"/>
        <w:bottom w:val="none" w:sz="0" w:space="0" w:color="auto"/>
        <w:right w:val="none" w:sz="0" w:space="0" w:color="auto"/>
      </w:divBdr>
    </w:div>
    <w:div w:id="722216365">
      <w:bodyDiv w:val="1"/>
      <w:marLeft w:val="0"/>
      <w:marRight w:val="0"/>
      <w:marTop w:val="0"/>
      <w:marBottom w:val="0"/>
      <w:divBdr>
        <w:top w:val="none" w:sz="0" w:space="0" w:color="auto"/>
        <w:left w:val="none" w:sz="0" w:space="0" w:color="auto"/>
        <w:bottom w:val="none" w:sz="0" w:space="0" w:color="auto"/>
        <w:right w:val="none" w:sz="0" w:space="0" w:color="auto"/>
      </w:divBdr>
    </w:div>
    <w:div w:id="727924915">
      <w:bodyDiv w:val="1"/>
      <w:marLeft w:val="0"/>
      <w:marRight w:val="0"/>
      <w:marTop w:val="0"/>
      <w:marBottom w:val="0"/>
      <w:divBdr>
        <w:top w:val="none" w:sz="0" w:space="0" w:color="auto"/>
        <w:left w:val="none" w:sz="0" w:space="0" w:color="auto"/>
        <w:bottom w:val="none" w:sz="0" w:space="0" w:color="auto"/>
        <w:right w:val="none" w:sz="0" w:space="0" w:color="auto"/>
      </w:divBdr>
    </w:div>
    <w:div w:id="731078821">
      <w:bodyDiv w:val="1"/>
      <w:marLeft w:val="0"/>
      <w:marRight w:val="0"/>
      <w:marTop w:val="0"/>
      <w:marBottom w:val="0"/>
      <w:divBdr>
        <w:top w:val="none" w:sz="0" w:space="0" w:color="auto"/>
        <w:left w:val="none" w:sz="0" w:space="0" w:color="auto"/>
        <w:bottom w:val="none" w:sz="0" w:space="0" w:color="auto"/>
        <w:right w:val="none" w:sz="0" w:space="0" w:color="auto"/>
      </w:divBdr>
    </w:div>
    <w:div w:id="735200323">
      <w:bodyDiv w:val="1"/>
      <w:marLeft w:val="0"/>
      <w:marRight w:val="0"/>
      <w:marTop w:val="0"/>
      <w:marBottom w:val="0"/>
      <w:divBdr>
        <w:top w:val="none" w:sz="0" w:space="0" w:color="auto"/>
        <w:left w:val="none" w:sz="0" w:space="0" w:color="auto"/>
        <w:bottom w:val="none" w:sz="0" w:space="0" w:color="auto"/>
        <w:right w:val="none" w:sz="0" w:space="0" w:color="auto"/>
      </w:divBdr>
    </w:div>
    <w:div w:id="738164571">
      <w:bodyDiv w:val="1"/>
      <w:marLeft w:val="0"/>
      <w:marRight w:val="0"/>
      <w:marTop w:val="0"/>
      <w:marBottom w:val="0"/>
      <w:divBdr>
        <w:top w:val="none" w:sz="0" w:space="0" w:color="auto"/>
        <w:left w:val="none" w:sz="0" w:space="0" w:color="auto"/>
        <w:bottom w:val="none" w:sz="0" w:space="0" w:color="auto"/>
        <w:right w:val="none" w:sz="0" w:space="0" w:color="auto"/>
      </w:divBdr>
    </w:div>
    <w:div w:id="740101415">
      <w:bodyDiv w:val="1"/>
      <w:marLeft w:val="0"/>
      <w:marRight w:val="0"/>
      <w:marTop w:val="0"/>
      <w:marBottom w:val="0"/>
      <w:divBdr>
        <w:top w:val="none" w:sz="0" w:space="0" w:color="auto"/>
        <w:left w:val="none" w:sz="0" w:space="0" w:color="auto"/>
        <w:bottom w:val="none" w:sz="0" w:space="0" w:color="auto"/>
        <w:right w:val="none" w:sz="0" w:space="0" w:color="auto"/>
      </w:divBdr>
    </w:div>
    <w:div w:id="755176802">
      <w:bodyDiv w:val="1"/>
      <w:marLeft w:val="0"/>
      <w:marRight w:val="0"/>
      <w:marTop w:val="0"/>
      <w:marBottom w:val="0"/>
      <w:divBdr>
        <w:top w:val="none" w:sz="0" w:space="0" w:color="auto"/>
        <w:left w:val="none" w:sz="0" w:space="0" w:color="auto"/>
        <w:bottom w:val="none" w:sz="0" w:space="0" w:color="auto"/>
        <w:right w:val="none" w:sz="0" w:space="0" w:color="auto"/>
      </w:divBdr>
    </w:div>
    <w:div w:id="785778692">
      <w:bodyDiv w:val="1"/>
      <w:marLeft w:val="0"/>
      <w:marRight w:val="0"/>
      <w:marTop w:val="0"/>
      <w:marBottom w:val="0"/>
      <w:divBdr>
        <w:top w:val="none" w:sz="0" w:space="0" w:color="auto"/>
        <w:left w:val="none" w:sz="0" w:space="0" w:color="auto"/>
        <w:bottom w:val="none" w:sz="0" w:space="0" w:color="auto"/>
        <w:right w:val="none" w:sz="0" w:space="0" w:color="auto"/>
      </w:divBdr>
    </w:div>
    <w:div w:id="789737509">
      <w:bodyDiv w:val="1"/>
      <w:marLeft w:val="0"/>
      <w:marRight w:val="0"/>
      <w:marTop w:val="0"/>
      <w:marBottom w:val="0"/>
      <w:divBdr>
        <w:top w:val="none" w:sz="0" w:space="0" w:color="auto"/>
        <w:left w:val="none" w:sz="0" w:space="0" w:color="auto"/>
        <w:bottom w:val="none" w:sz="0" w:space="0" w:color="auto"/>
        <w:right w:val="none" w:sz="0" w:space="0" w:color="auto"/>
      </w:divBdr>
    </w:div>
    <w:div w:id="815026396">
      <w:bodyDiv w:val="1"/>
      <w:marLeft w:val="0"/>
      <w:marRight w:val="0"/>
      <w:marTop w:val="0"/>
      <w:marBottom w:val="0"/>
      <w:divBdr>
        <w:top w:val="none" w:sz="0" w:space="0" w:color="auto"/>
        <w:left w:val="none" w:sz="0" w:space="0" w:color="auto"/>
        <w:bottom w:val="none" w:sz="0" w:space="0" w:color="auto"/>
        <w:right w:val="none" w:sz="0" w:space="0" w:color="auto"/>
      </w:divBdr>
    </w:div>
    <w:div w:id="819152724">
      <w:bodyDiv w:val="1"/>
      <w:marLeft w:val="0"/>
      <w:marRight w:val="0"/>
      <w:marTop w:val="0"/>
      <w:marBottom w:val="0"/>
      <w:divBdr>
        <w:top w:val="none" w:sz="0" w:space="0" w:color="auto"/>
        <w:left w:val="none" w:sz="0" w:space="0" w:color="auto"/>
        <w:bottom w:val="none" w:sz="0" w:space="0" w:color="auto"/>
        <w:right w:val="none" w:sz="0" w:space="0" w:color="auto"/>
      </w:divBdr>
    </w:div>
    <w:div w:id="824010062">
      <w:bodyDiv w:val="1"/>
      <w:marLeft w:val="0"/>
      <w:marRight w:val="0"/>
      <w:marTop w:val="0"/>
      <w:marBottom w:val="0"/>
      <w:divBdr>
        <w:top w:val="none" w:sz="0" w:space="0" w:color="auto"/>
        <w:left w:val="none" w:sz="0" w:space="0" w:color="auto"/>
        <w:bottom w:val="none" w:sz="0" w:space="0" w:color="auto"/>
        <w:right w:val="none" w:sz="0" w:space="0" w:color="auto"/>
      </w:divBdr>
    </w:div>
    <w:div w:id="829490170">
      <w:bodyDiv w:val="1"/>
      <w:marLeft w:val="0"/>
      <w:marRight w:val="0"/>
      <w:marTop w:val="0"/>
      <w:marBottom w:val="0"/>
      <w:divBdr>
        <w:top w:val="none" w:sz="0" w:space="0" w:color="auto"/>
        <w:left w:val="none" w:sz="0" w:space="0" w:color="auto"/>
        <w:bottom w:val="none" w:sz="0" w:space="0" w:color="auto"/>
        <w:right w:val="none" w:sz="0" w:space="0" w:color="auto"/>
      </w:divBdr>
    </w:div>
    <w:div w:id="834103213">
      <w:bodyDiv w:val="1"/>
      <w:marLeft w:val="0"/>
      <w:marRight w:val="0"/>
      <w:marTop w:val="0"/>
      <w:marBottom w:val="0"/>
      <w:divBdr>
        <w:top w:val="none" w:sz="0" w:space="0" w:color="auto"/>
        <w:left w:val="none" w:sz="0" w:space="0" w:color="auto"/>
        <w:bottom w:val="none" w:sz="0" w:space="0" w:color="auto"/>
        <w:right w:val="none" w:sz="0" w:space="0" w:color="auto"/>
      </w:divBdr>
    </w:div>
    <w:div w:id="837697245">
      <w:bodyDiv w:val="1"/>
      <w:marLeft w:val="0"/>
      <w:marRight w:val="0"/>
      <w:marTop w:val="0"/>
      <w:marBottom w:val="0"/>
      <w:divBdr>
        <w:top w:val="none" w:sz="0" w:space="0" w:color="auto"/>
        <w:left w:val="none" w:sz="0" w:space="0" w:color="auto"/>
        <w:bottom w:val="none" w:sz="0" w:space="0" w:color="auto"/>
        <w:right w:val="none" w:sz="0" w:space="0" w:color="auto"/>
      </w:divBdr>
    </w:div>
    <w:div w:id="849636799">
      <w:bodyDiv w:val="1"/>
      <w:marLeft w:val="0"/>
      <w:marRight w:val="0"/>
      <w:marTop w:val="0"/>
      <w:marBottom w:val="0"/>
      <w:divBdr>
        <w:top w:val="none" w:sz="0" w:space="0" w:color="auto"/>
        <w:left w:val="none" w:sz="0" w:space="0" w:color="auto"/>
        <w:bottom w:val="none" w:sz="0" w:space="0" w:color="auto"/>
        <w:right w:val="none" w:sz="0" w:space="0" w:color="auto"/>
      </w:divBdr>
    </w:div>
    <w:div w:id="862328092">
      <w:bodyDiv w:val="1"/>
      <w:marLeft w:val="0"/>
      <w:marRight w:val="0"/>
      <w:marTop w:val="0"/>
      <w:marBottom w:val="0"/>
      <w:divBdr>
        <w:top w:val="none" w:sz="0" w:space="0" w:color="auto"/>
        <w:left w:val="none" w:sz="0" w:space="0" w:color="auto"/>
        <w:bottom w:val="none" w:sz="0" w:space="0" w:color="auto"/>
        <w:right w:val="none" w:sz="0" w:space="0" w:color="auto"/>
      </w:divBdr>
    </w:div>
    <w:div w:id="866529957">
      <w:bodyDiv w:val="1"/>
      <w:marLeft w:val="0"/>
      <w:marRight w:val="0"/>
      <w:marTop w:val="0"/>
      <w:marBottom w:val="0"/>
      <w:divBdr>
        <w:top w:val="none" w:sz="0" w:space="0" w:color="auto"/>
        <w:left w:val="none" w:sz="0" w:space="0" w:color="auto"/>
        <w:bottom w:val="none" w:sz="0" w:space="0" w:color="auto"/>
        <w:right w:val="none" w:sz="0" w:space="0" w:color="auto"/>
      </w:divBdr>
    </w:div>
    <w:div w:id="880287428">
      <w:bodyDiv w:val="1"/>
      <w:marLeft w:val="0"/>
      <w:marRight w:val="0"/>
      <w:marTop w:val="0"/>
      <w:marBottom w:val="0"/>
      <w:divBdr>
        <w:top w:val="none" w:sz="0" w:space="0" w:color="auto"/>
        <w:left w:val="none" w:sz="0" w:space="0" w:color="auto"/>
        <w:bottom w:val="none" w:sz="0" w:space="0" w:color="auto"/>
        <w:right w:val="none" w:sz="0" w:space="0" w:color="auto"/>
      </w:divBdr>
    </w:div>
    <w:div w:id="881400568">
      <w:bodyDiv w:val="1"/>
      <w:marLeft w:val="0"/>
      <w:marRight w:val="0"/>
      <w:marTop w:val="0"/>
      <w:marBottom w:val="0"/>
      <w:divBdr>
        <w:top w:val="none" w:sz="0" w:space="0" w:color="auto"/>
        <w:left w:val="none" w:sz="0" w:space="0" w:color="auto"/>
        <w:bottom w:val="none" w:sz="0" w:space="0" w:color="auto"/>
        <w:right w:val="none" w:sz="0" w:space="0" w:color="auto"/>
      </w:divBdr>
    </w:div>
    <w:div w:id="906913138">
      <w:bodyDiv w:val="1"/>
      <w:marLeft w:val="0"/>
      <w:marRight w:val="0"/>
      <w:marTop w:val="0"/>
      <w:marBottom w:val="0"/>
      <w:divBdr>
        <w:top w:val="none" w:sz="0" w:space="0" w:color="auto"/>
        <w:left w:val="none" w:sz="0" w:space="0" w:color="auto"/>
        <w:bottom w:val="none" w:sz="0" w:space="0" w:color="auto"/>
        <w:right w:val="none" w:sz="0" w:space="0" w:color="auto"/>
      </w:divBdr>
    </w:div>
    <w:div w:id="924146400">
      <w:bodyDiv w:val="1"/>
      <w:marLeft w:val="0"/>
      <w:marRight w:val="0"/>
      <w:marTop w:val="0"/>
      <w:marBottom w:val="0"/>
      <w:divBdr>
        <w:top w:val="none" w:sz="0" w:space="0" w:color="auto"/>
        <w:left w:val="none" w:sz="0" w:space="0" w:color="auto"/>
        <w:bottom w:val="none" w:sz="0" w:space="0" w:color="auto"/>
        <w:right w:val="none" w:sz="0" w:space="0" w:color="auto"/>
      </w:divBdr>
    </w:div>
    <w:div w:id="932126362">
      <w:bodyDiv w:val="1"/>
      <w:marLeft w:val="0"/>
      <w:marRight w:val="0"/>
      <w:marTop w:val="0"/>
      <w:marBottom w:val="0"/>
      <w:divBdr>
        <w:top w:val="none" w:sz="0" w:space="0" w:color="auto"/>
        <w:left w:val="none" w:sz="0" w:space="0" w:color="auto"/>
        <w:bottom w:val="none" w:sz="0" w:space="0" w:color="auto"/>
        <w:right w:val="none" w:sz="0" w:space="0" w:color="auto"/>
      </w:divBdr>
    </w:div>
    <w:div w:id="936207652">
      <w:bodyDiv w:val="1"/>
      <w:marLeft w:val="0"/>
      <w:marRight w:val="0"/>
      <w:marTop w:val="0"/>
      <w:marBottom w:val="0"/>
      <w:divBdr>
        <w:top w:val="none" w:sz="0" w:space="0" w:color="auto"/>
        <w:left w:val="none" w:sz="0" w:space="0" w:color="auto"/>
        <w:bottom w:val="none" w:sz="0" w:space="0" w:color="auto"/>
        <w:right w:val="none" w:sz="0" w:space="0" w:color="auto"/>
      </w:divBdr>
    </w:div>
    <w:div w:id="936838184">
      <w:bodyDiv w:val="1"/>
      <w:marLeft w:val="0"/>
      <w:marRight w:val="0"/>
      <w:marTop w:val="0"/>
      <w:marBottom w:val="0"/>
      <w:divBdr>
        <w:top w:val="none" w:sz="0" w:space="0" w:color="auto"/>
        <w:left w:val="none" w:sz="0" w:space="0" w:color="auto"/>
        <w:bottom w:val="none" w:sz="0" w:space="0" w:color="auto"/>
        <w:right w:val="none" w:sz="0" w:space="0" w:color="auto"/>
      </w:divBdr>
    </w:div>
    <w:div w:id="939530711">
      <w:bodyDiv w:val="1"/>
      <w:marLeft w:val="0"/>
      <w:marRight w:val="0"/>
      <w:marTop w:val="0"/>
      <w:marBottom w:val="0"/>
      <w:divBdr>
        <w:top w:val="none" w:sz="0" w:space="0" w:color="auto"/>
        <w:left w:val="none" w:sz="0" w:space="0" w:color="auto"/>
        <w:bottom w:val="none" w:sz="0" w:space="0" w:color="auto"/>
        <w:right w:val="none" w:sz="0" w:space="0" w:color="auto"/>
      </w:divBdr>
    </w:div>
    <w:div w:id="941378889">
      <w:bodyDiv w:val="1"/>
      <w:marLeft w:val="0"/>
      <w:marRight w:val="0"/>
      <w:marTop w:val="0"/>
      <w:marBottom w:val="0"/>
      <w:divBdr>
        <w:top w:val="none" w:sz="0" w:space="0" w:color="auto"/>
        <w:left w:val="none" w:sz="0" w:space="0" w:color="auto"/>
        <w:bottom w:val="none" w:sz="0" w:space="0" w:color="auto"/>
        <w:right w:val="none" w:sz="0" w:space="0" w:color="auto"/>
      </w:divBdr>
    </w:div>
    <w:div w:id="959922409">
      <w:bodyDiv w:val="1"/>
      <w:marLeft w:val="0"/>
      <w:marRight w:val="0"/>
      <w:marTop w:val="0"/>
      <w:marBottom w:val="0"/>
      <w:divBdr>
        <w:top w:val="none" w:sz="0" w:space="0" w:color="auto"/>
        <w:left w:val="none" w:sz="0" w:space="0" w:color="auto"/>
        <w:bottom w:val="none" w:sz="0" w:space="0" w:color="auto"/>
        <w:right w:val="none" w:sz="0" w:space="0" w:color="auto"/>
      </w:divBdr>
    </w:div>
    <w:div w:id="968635391">
      <w:bodyDiv w:val="1"/>
      <w:marLeft w:val="0"/>
      <w:marRight w:val="0"/>
      <w:marTop w:val="0"/>
      <w:marBottom w:val="0"/>
      <w:divBdr>
        <w:top w:val="none" w:sz="0" w:space="0" w:color="auto"/>
        <w:left w:val="none" w:sz="0" w:space="0" w:color="auto"/>
        <w:bottom w:val="none" w:sz="0" w:space="0" w:color="auto"/>
        <w:right w:val="none" w:sz="0" w:space="0" w:color="auto"/>
      </w:divBdr>
    </w:div>
    <w:div w:id="974676313">
      <w:bodyDiv w:val="1"/>
      <w:marLeft w:val="0"/>
      <w:marRight w:val="0"/>
      <w:marTop w:val="0"/>
      <w:marBottom w:val="0"/>
      <w:divBdr>
        <w:top w:val="none" w:sz="0" w:space="0" w:color="auto"/>
        <w:left w:val="none" w:sz="0" w:space="0" w:color="auto"/>
        <w:bottom w:val="none" w:sz="0" w:space="0" w:color="auto"/>
        <w:right w:val="none" w:sz="0" w:space="0" w:color="auto"/>
      </w:divBdr>
    </w:div>
    <w:div w:id="981353826">
      <w:bodyDiv w:val="1"/>
      <w:marLeft w:val="0"/>
      <w:marRight w:val="0"/>
      <w:marTop w:val="0"/>
      <w:marBottom w:val="0"/>
      <w:divBdr>
        <w:top w:val="none" w:sz="0" w:space="0" w:color="auto"/>
        <w:left w:val="none" w:sz="0" w:space="0" w:color="auto"/>
        <w:bottom w:val="none" w:sz="0" w:space="0" w:color="auto"/>
        <w:right w:val="none" w:sz="0" w:space="0" w:color="auto"/>
      </w:divBdr>
    </w:div>
    <w:div w:id="986975248">
      <w:bodyDiv w:val="1"/>
      <w:marLeft w:val="0"/>
      <w:marRight w:val="0"/>
      <w:marTop w:val="0"/>
      <w:marBottom w:val="0"/>
      <w:divBdr>
        <w:top w:val="none" w:sz="0" w:space="0" w:color="auto"/>
        <w:left w:val="none" w:sz="0" w:space="0" w:color="auto"/>
        <w:bottom w:val="none" w:sz="0" w:space="0" w:color="auto"/>
        <w:right w:val="none" w:sz="0" w:space="0" w:color="auto"/>
      </w:divBdr>
    </w:div>
    <w:div w:id="990838961">
      <w:bodyDiv w:val="1"/>
      <w:marLeft w:val="0"/>
      <w:marRight w:val="0"/>
      <w:marTop w:val="0"/>
      <w:marBottom w:val="0"/>
      <w:divBdr>
        <w:top w:val="none" w:sz="0" w:space="0" w:color="auto"/>
        <w:left w:val="none" w:sz="0" w:space="0" w:color="auto"/>
        <w:bottom w:val="none" w:sz="0" w:space="0" w:color="auto"/>
        <w:right w:val="none" w:sz="0" w:space="0" w:color="auto"/>
      </w:divBdr>
    </w:div>
    <w:div w:id="994723097">
      <w:bodyDiv w:val="1"/>
      <w:marLeft w:val="0"/>
      <w:marRight w:val="0"/>
      <w:marTop w:val="0"/>
      <w:marBottom w:val="0"/>
      <w:divBdr>
        <w:top w:val="none" w:sz="0" w:space="0" w:color="auto"/>
        <w:left w:val="none" w:sz="0" w:space="0" w:color="auto"/>
        <w:bottom w:val="none" w:sz="0" w:space="0" w:color="auto"/>
        <w:right w:val="none" w:sz="0" w:space="0" w:color="auto"/>
      </w:divBdr>
    </w:div>
    <w:div w:id="997733633">
      <w:bodyDiv w:val="1"/>
      <w:marLeft w:val="0"/>
      <w:marRight w:val="0"/>
      <w:marTop w:val="0"/>
      <w:marBottom w:val="0"/>
      <w:divBdr>
        <w:top w:val="none" w:sz="0" w:space="0" w:color="auto"/>
        <w:left w:val="none" w:sz="0" w:space="0" w:color="auto"/>
        <w:bottom w:val="none" w:sz="0" w:space="0" w:color="auto"/>
        <w:right w:val="none" w:sz="0" w:space="0" w:color="auto"/>
      </w:divBdr>
    </w:div>
    <w:div w:id="998728702">
      <w:bodyDiv w:val="1"/>
      <w:marLeft w:val="0"/>
      <w:marRight w:val="0"/>
      <w:marTop w:val="0"/>
      <w:marBottom w:val="0"/>
      <w:divBdr>
        <w:top w:val="none" w:sz="0" w:space="0" w:color="auto"/>
        <w:left w:val="none" w:sz="0" w:space="0" w:color="auto"/>
        <w:bottom w:val="none" w:sz="0" w:space="0" w:color="auto"/>
        <w:right w:val="none" w:sz="0" w:space="0" w:color="auto"/>
      </w:divBdr>
    </w:div>
    <w:div w:id="1014498608">
      <w:bodyDiv w:val="1"/>
      <w:marLeft w:val="0"/>
      <w:marRight w:val="0"/>
      <w:marTop w:val="0"/>
      <w:marBottom w:val="0"/>
      <w:divBdr>
        <w:top w:val="none" w:sz="0" w:space="0" w:color="auto"/>
        <w:left w:val="none" w:sz="0" w:space="0" w:color="auto"/>
        <w:bottom w:val="none" w:sz="0" w:space="0" w:color="auto"/>
        <w:right w:val="none" w:sz="0" w:space="0" w:color="auto"/>
      </w:divBdr>
    </w:div>
    <w:div w:id="1017728236">
      <w:bodyDiv w:val="1"/>
      <w:marLeft w:val="0"/>
      <w:marRight w:val="0"/>
      <w:marTop w:val="0"/>
      <w:marBottom w:val="0"/>
      <w:divBdr>
        <w:top w:val="none" w:sz="0" w:space="0" w:color="auto"/>
        <w:left w:val="none" w:sz="0" w:space="0" w:color="auto"/>
        <w:bottom w:val="none" w:sz="0" w:space="0" w:color="auto"/>
        <w:right w:val="none" w:sz="0" w:space="0" w:color="auto"/>
      </w:divBdr>
    </w:div>
    <w:div w:id="1028680738">
      <w:bodyDiv w:val="1"/>
      <w:marLeft w:val="0"/>
      <w:marRight w:val="0"/>
      <w:marTop w:val="0"/>
      <w:marBottom w:val="0"/>
      <w:divBdr>
        <w:top w:val="none" w:sz="0" w:space="0" w:color="auto"/>
        <w:left w:val="none" w:sz="0" w:space="0" w:color="auto"/>
        <w:bottom w:val="none" w:sz="0" w:space="0" w:color="auto"/>
        <w:right w:val="none" w:sz="0" w:space="0" w:color="auto"/>
      </w:divBdr>
    </w:div>
    <w:div w:id="1030494968">
      <w:bodyDiv w:val="1"/>
      <w:marLeft w:val="0"/>
      <w:marRight w:val="0"/>
      <w:marTop w:val="0"/>
      <w:marBottom w:val="0"/>
      <w:divBdr>
        <w:top w:val="none" w:sz="0" w:space="0" w:color="auto"/>
        <w:left w:val="none" w:sz="0" w:space="0" w:color="auto"/>
        <w:bottom w:val="none" w:sz="0" w:space="0" w:color="auto"/>
        <w:right w:val="none" w:sz="0" w:space="0" w:color="auto"/>
      </w:divBdr>
    </w:div>
    <w:div w:id="1036389693">
      <w:bodyDiv w:val="1"/>
      <w:marLeft w:val="0"/>
      <w:marRight w:val="0"/>
      <w:marTop w:val="0"/>
      <w:marBottom w:val="0"/>
      <w:divBdr>
        <w:top w:val="none" w:sz="0" w:space="0" w:color="auto"/>
        <w:left w:val="none" w:sz="0" w:space="0" w:color="auto"/>
        <w:bottom w:val="none" w:sz="0" w:space="0" w:color="auto"/>
        <w:right w:val="none" w:sz="0" w:space="0" w:color="auto"/>
      </w:divBdr>
    </w:div>
    <w:div w:id="1056860729">
      <w:bodyDiv w:val="1"/>
      <w:marLeft w:val="0"/>
      <w:marRight w:val="0"/>
      <w:marTop w:val="0"/>
      <w:marBottom w:val="0"/>
      <w:divBdr>
        <w:top w:val="none" w:sz="0" w:space="0" w:color="auto"/>
        <w:left w:val="none" w:sz="0" w:space="0" w:color="auto"/>
        <w:bottom w:val="none" w:sz="0" w:space="0" w:color="auto"/>
        <w:right w:val="none" w:sz="0" w:space="0" w:color="auto"/>
      </w:divBdr>
    </w:div>
    <w:div w:id="1057440539">
      <w:bodyDiv w:val="1"/>
      <w:marLeft w:val="0"/>
      <w:marRight w:val="0"/>
      <w:marTop w:val="0"/>
      <w:marBottom w:val="0"/>
      <w:divBdr>
        <w:top w:val="none" w:sz="0" w:space="0" w:color="auto"/>
        <w:left w:val="none" w:sz="0" w:space="0" w:color="auto"/>
        <w:bottom w:val="none" w:sz="0" w:space="0" w:color="auto"/>
        <w:right w:val="none" w:sz="0" w:space="0" w:color="auto"/>
      </w:divBdr>
    </w:div>
    <w:div w:id="1075588882">
      <w:bodyDiv w:val="1"/>
      <w:marLeft w:val="0"/>
      <w:marRight w:val="0"/>
      <w:marTop w:val="0"/>
      <w:marBottom w:val="0"/>
      <w:divBdr>
        <w:top w:val="none" w:sz="0" w:space="0" w:color="auto"/>
        <w:left w:val="none" w:sz="0" w:space="0" w:color="auto"/>
        <w:bottom w:val="none" w:sz="0" w:space="0" w:color="auto"/>
        <w:right w:val="none" w:sz="0" w:space="0" w:color="auto"/>
      </w:divBdr>
    </w:div>
    <w:div w:id="1076591214">
      <w:bodyDiv w:val="1"/>
      <w:marLeft w:val="0"/>
      <w:marRight w:val="0"/>
      <w:marTop w:val="0"/>
      <w:marBottom w:val="0"/>
      <w:divBdr>
        <w:top w:val="none" w:sz="0" w:space="0" w:color="auto"/>
        <w:left w:val="none" w:sz="0" w:space="0" w:color="auto"/>
        <w:bottom w:val="none" w:sz="0" w:space="0" w:color="auto"/>
        <w:right w:val="none" w:sz="0" w:space="0" w:color="auto"/>
      </w:divBdr>
    </w:div>
    <w:div w:id="1078409179">
      <w:bodyDiv w:val="1"/>
      <w:marLeft w:val="0"/>
      <w:marRight w:val="0"/>
      <w:marTop w:val="0"/>
      <w:marBottom w:val="0"/>
      <w:divBdr>
        <w:top w:val="none" w:sz="0" w:space="0" w:color="auto"/>
        <w:left w:val="none" w:sz="0" w:space="0" w:color="auto"/>
        <w:bottom w:val="none" w:sz="0" w:space="0" w:color="auto"/>
        <w:right w:val="none" w:sz="0" w:space="0" w:color="auto"/>
      </w:divBdr>
    </w:div>
    <w:div w:id="1079139239">
      <w:bodyDiv w:val="1"/>
      <w:marLeft w:val="0"/>
      <w:marRight w:val="0"/>
      <w:marTop w:val="0"/>
      <w:marBottom w:val="0"/>
      <w:divBdr>
        <w:top w:val="none" w:sz="0" w:space="0" w:color="auto"/>
        <w:left w:val="none" w:sz="0" w:space="0" w:color="auto"/>
        <w:bottom w:val="none" w:sz="0" w:space="0" w:color="auto"/>
        <w:right w:val="none" w:sz="0" w:space="0" w:color="auto"/>
      </w:divBdr>
    </w:div>
    <w:div w:id="1087655184">
      <w:bodyDiv w:val="1"/>
      <w:marLeft w:val="0"/>
      <w:marRight w:val="0"/>
      <w:marTop w:val="0"/>
      <w:marBottom w:val="0"/>
      <w:divBdr>
        <w:top w:val="none" w:sz="0" w:space="0" w:color="auto"/>
        <w:left w:val="none" w:sz="0" w:space="0" w:color="auto"/>
        <w:bottom w:val="none" w:sz="0" w:space="0" w:color="auto"/>
        <w:right w:val="none" w:sz="0" w:space="0" w:color="auto"/>
      </w:divBdr>
    </w:div>
    <w:div w:id="1143541204">
      <w:bodyDiv w:val="1"/>
      <w:marLeft w:val="0"/>
      <w:marRight w:val="0"/>
      <w:marTop w:val="0"/>
      <w:marBottom w:val="0"/>
      <w:divBdr>
        <w:top w:val="none" w:sz="0" w:space="0" w:color="auto"/>
        <w:left w:val="none" w:sz="0" w:space="0" w:color="auto"/>
        <w:bottom w:val="none" w:sz="0" w:space="0" w:color="auto"/>
        <w:right w:val="none" w:sz="0" w:space="0" w:color="auto"/>
      </w:divBdr>
    </w:div>
    <w:div w:id="1158040128">
      <w:bodyDiv w:val="1"/>
      <w:marLeft w:val="0"/>
      <w:marRight w:val="0"/>
      <w:marTop w:val="0"/>
      <w:marBottom w:val="0"/>
      <w:divBdr>
        <w:top w:val="none" w:sz="0" w:space="0" w:color="auto"/>
        <w:left w:val="none" w:sz="0" w:space="0" w:color="auto"/>
        <w:bottom w:val="none" w:sz="0" w:space="0" w:color="auto"/>
        <w:right w:val="none" w:sz="0" w:space="0" w:color="auto"/>
      </w:divBdr>
    </w:div>
    <w:div w:id="1165513312">
      <w:bodyDiv w:val="1"/>
      <w:marLeft w:val="0"/>
      <w:marRight w:val="0"/>
      <w:marTop w:val="0"/>
      <w:marBottom w:val="0"/>
      <w:divBdr>
        <w:top w:val="none" w:sz="0" w:space="0" w:color="auto"/>
        <w:left w:val="none" w:sz="0" w:space="0" w:color="auto"/>
        <w:bottom w:val="none" w:sz="0" w:space="0" w:color="auto"/>
        <w:right w:val="none" w:sz="0" w:space="0" w:color="auto"/>
      </w:divBdr>
    </w:div>
    <w:div w:id="1167137961">
      <w:bodyDiv w:val="1"/>
      <w:marLeft w:val="0"/>
      <w:marRight w:val="0"/>
      <w:marTop w:val="0"/>
      <w:marBottom w:val="0"/>
      <w:divBdr>
        <w:top w:val="none" w:sz="0" w:space="0" w:color="auto"/>
        <w:left w:val="none" w:sz="0" w:space="0" w:color="auto"/>
        <w:bottom w:val="none" w:sz="0" w:space="0" w:color="auto"/>
        <w:right w:val="none" w:sz="0" w:space="0" w:color="auto"/>
      </w:divBdr>
    </w:div>
    <w:div w:id="1198926864">
      <w:bodyDiv w:val="1"/>
      <w:marLeft w:val="0"/>
      <w:marRight w:val="0"/>
      <w:marTop w:val="0"/>
      <w:marBottom w:val="0"/>
      <w:divBdr>
        <w:top w:val="none" w:sz="0" w:space="0" w:color="auto"/>
        <w:left w:val="none" w:sz="0" w:space="0" w:color="auto"/>
        <w:bottom w:val="none" w:sz="0" w:space="0" w:color="auto"/>
        <w:right w:val="none" w:sz="0" w:space="0" w:color="auto"/>
      </w:divBdr>
    </w:div>
    <w:div w:id="1201670692">
      <w:bodyDiv w:val="1"/>
      <w:marLeft w:val="0"/>
      <w:marRight w:val="0"/>
      <w:marTop w:val="0"/>
      <w:marBottom w:val="0"/>
      <w:divBdr>
        <w:top w:val="none" w:sz="0" w:space="0" w:color="auto"/>
        <w:left w:val="none" w:sz="0" w:space="0" w:color="auto"/>
        <w:bottom w:val="none" w:sz="0" w:space="0" w:color="auto"/>
        <w:right w:val="none" w:sz="0" w:space="0" w:color="auto"/>
      </w:divBdr>
    </w:div>
    <w:div w:id="1206601299">
      <w:bodyDiv w:val="1"/>
      <w:marLeft w:val="0"/>
      <w:marRight w:val="0"/>
      <w:marTop w:val="0"/>
      <w:marBottom w:val="0"/>
      <w:divBdr>
        <w:top w:val="none" w:sz="0" w:space="0" w:color="auto"/>
        <w:left w:val="none" w:sz="0" w:space="0" w:color="auto"/>
        <w:bottom w:val="none" w:sz="0" w:space="0" w:color="auto"/>
        <w:right w:val="none" w:sz="0" w:space="0" w:color="auto"/>
      </w:divBdr>
    </w:div>
    <w:div w:id="1207990379">
      <w:bodyDiv w:val="1"/>
      <w:marLeft w:val="0"/>
      <w:marRight w:val="0"/>
      <w:marTop w:val="0"/>
      <w:marBottom w:val="0"/>
      <w:divBdr>
        <w:top w:val="none" w:sz="0" w:space="0" w:color="auto"/>
        <w:left w:val="none" w:sz="0" w:space="0" w:color="auto"/>
        <w:bottom w:val="none" w:sz="0" w:space="0" w:color="auto"/>
        <w:right w:val="none" w:sz="0" w:space="0" w:color="auto"/>
      </w:divBdr>
    </w:div>
    <w:div w:id="1208175920">
      <w:bodyDiv w:val="1"/>
      <w:marLeft w:val="0"/>
      <w:marRight w:val="0"/>
      <w:marTop w:val="0"/>
      <w:marBottom w:val="0"/>
      <w:divBdr>
        <w:top w:val="none" w:sz="0" w:space="0" w:color="auto"/>
        <w:left w:val="none" w:sz="0" w:space="0" w:color="auto"/>
        <w:bottom w:val="none" w:sz="0" w:space="0" w:color="auto"/>
        <w:right w:val="none" w:sz="0" w:space="0" w:color="auto"/>
      </w:divBdr>
    </w:div>
    <w:div w:id="1210344266">
      <w:bodyDiv w:val="1"/>
      <w:marLeft w:val="0"/>
      <w:marRight w:val="0"/>
      <w:marTop w:val="0"/>
      <w:marBottom w:val="0"/>
      <w:divBdr>
        <w:top w:val="none" w:sz="0" w:space="0" w:color="auto"/>
        <w:left w:val="none" w:sz="0" w:space="0" w:color="auto"/>
        <w:bottom w:val="none" w:sz="0" w:space="0" w:color="auto"/>
        <w:right w:val="none" w:sz="0" w:space="0" w:color="auto"/>
      </w:divBdr>
    </w:div>
    <w:div w:id="1229921724">
      <w:bodyDiv w:val="1"/>
      <w:marLeft w:val="0"/>
      <w:marRight w:val="0"/>
      <w:marTop w:val="0"/>
      <w:marBottom w:val="0"/>
      <w:divBdr>
        <w:top w:val="none" w:sz="0" w:space="0" w:color="auto"/>
        <w:left w:val="none" w:sz="0" w:space="0" w:color="auto"/>
        <w:bottom w:val="none" w:sz="0" w:space="0" w:color="auto"/>
        <w:right w:val="none" w:sz="0" w:space="0" w:color="auto"/>
      </w:divBdr>
    </w:div>
    <w:div w:id="1238858144">
      <w:bodyDiv w:val="1"/>
      <w:marLeft w:val="0"/>
      <w:marRight w:val="0"/>
      <w:marTop w:val="0"/>
      <w:marBottom w:val="0"/>
      <w:divBdr>
        <w:top w:val="none" w:sz="0" w:space="0" w:color="auto"/>
        <w:left w:val="none" w:sz="0" w:space="0" w:color="auto"/>
        <w:bottom w:val="none" w:sz="0" w:space="0" w:color="auto"/>
        <w:right w:val="none" w:sz="0" w:space="0" w:color="auto"/>
      </w:divBdr>
    </w:div>
    <w:div w:id="1246257565">
      <w:bodyDiv w:val="1"/>
      <w:marLeft w:val="0"/>
      <w:marRight w:val="0"/>
      <w:marTop w:val="0"/>
      <w:marBottom w:val="0"/>
      <w:divBdr>
        <w:top w:val="none" w:sz="0" w:space="0" w:color="auto"/>
        <w:left w:val="none" w:sz="0" w:space="0" w:color="auto"/>
        <w:bottom w:val="none" w:sz="0" w:space="0" w:color="auto"/>
        <w:right w:val="none" w:sz="0" w:space="0" w:color="auto"/>
      </w:divBdr>
      <w:divsChild>
        <w:div w:id="1030305437">
          <w:marLeft w:val="0"/>
          <w:marRight w:val="0"/>
          <w:marTop w:val="0"/>
          <w:marBottom w:val="0"/>
          <w:divBdr>
            <w:top w:val="none" w:sz="0" w:space="0" w:color="auto"/>
            <w:left w:val="none" w:sz="0" w:space="0" w:color="auto"/>
            <w:bottom w:val="none" w:sz="0" w:space="0" w:color="auto"/>
            <w:right w:val="none" w:sz="0" w:space="0" w:color="auto"/>
          </w:divBdr>
          <w:divsChild>
            <w:div w:id="1249923569">
              <w:marLeft w:val="0"/>
              <w:marRight w:val="0"/>
              <w:marTop w:val="0"/>
              <w:marBottom w:val="0"/>
              <w:divBdr>
                <w:top w:val="none" w:sz="0" w:space="0" w:color="auto"/>
                <w:left w:val="none" w:sz="0" w:space="0" w:color="auto"/>
                <w:bottom w:val="none" w:sz="0" w:space="0" w:color="auto"/>
                <w:right w:val="none" w:sz="0" w:space="0" w:color="auto"/>
              </w:divBdr>
            </w:div>
            <w:div w:id="1339767016">
              <w:marLeft w:val="0"/>
              <w:marRight w:val="0"/>
              <w:marTop w:val="0"/>
              <w:marBottom w:val="0"/>
              <w:divBdr>
                <w:top w:val="none" w:sz="0" w:space="0" w:color="auto"/>
                <w:left w:val="none" w:sz="0" w:space="0" w:color="auto"/>
                <w:bottom w:val="none" w:sz="0" w:space="0" w:color="auto"/>
                <w:right w:val="none" w:sz="0" w:space="0" w:color="auto"/>
              </w:divBdr>
            </w:div>
            <w:div w:id="2062289863">
              <w:marLeft w:val="0"/>
              <w:marRight w:val="0"/>
              <w:marTop w:val="0"/>
              <w:marBottom w:val="0"/>
              <w:divBdr>
                <w:top w:val="none" w:sz="0" w:space="0" w:color="auto"/>
                <w:left w:val="none" w:sz="0" w:space="0" w:color="auto"/>
                <w:bottom w:val="none" w:sz="0" w:space="0" w:color="auto"/>
                <w:right w:val="none" w:sz="0" w:space="0" w:color="auto"/>
              </w:divBdr>
            </w:div>
          </w:divsChild>
        </w:div>
        <w:div w:id="1161580294">
          <w:marLeft w:val="0"/>
          <w:marRight w:val="0"/>
          <w:marTop w:val="0"/>
          <w:marBottom w:val="0"/>
          <w:divBdr>
            <w:top w:val="none" w:sz="0" w:space="0" w:color="auto"/>
            <w:left w:val="none" w:sz="0" w:space="0" w:color="auto"/>
            <w:bottom w:val="none" w:sz="0" w:space="0" w:color="auto"/>
            <w:right w:val="none" w:sz="0" w:space="0" w:color="auto"/>
          </w:divBdr>
          <w:divsChild>
            <w:div w:id="552666841">
              <w:marLeft w:val="0"/>
              <w:marRight w:val="0"/>
              <w:marTop w:val="0"/>
              <w:marBottom w:val="0"/>
              <w:divBdr>
                <w:top w:val="none" w:sz="0" w:space="0" w:color="auto"/>
                <w:left w:val="none" w:sz="0" w:space="0" w:color="auto"/>
                <w:bottom w:val="none" w:sz="0" w:space="0" w:color="auto"/>
                <w:right w:val="none" w:sz="0" w:space="0" w:color="auto"/>
              </w:divBdr>
            </w:div>
            <w:div w:id="729155249">
              <w:marLeft w:val="0"/>
              <w:marRight w:val="0"/>
              <w:marTop w:val="0"/>
              <w:marBottom w:val="0"/>
              <w:divBdr>
                <w:top w:val="none" w:sz="0" w:space="0" w:color="auto"/>
                <w:left w:val="none" w:sz="0" w:space="0" w:color="auto"/>
                <w:bottom w:val="none" w:sz="0" w:space="0" w:color="auto"/>
                <w:right w:val="none" w:sz="0" w:space="0" w:color="auto"/>
              </w:divBdr>
            </w:div>
            <w:div w:id="12311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78708">
      <w:bodyDiv w:val="1"/>
      <w:marLeft w:val="0"/>
      <w:marRight w:val="0"/>
      <w:marTop w:val="0"/>
      <w:marBottom w:val="0"/>
      <w:divBdr>
        <w:top w:val="none" w:sz="0" w:space="0" w:color="auto"/>
        <w:left w:val="none" w:sz="0" w:space="0" w:color="auto"/>
        <w:bottom w:val="none" w:sz="0" w:space="0" w:color="auto"/>
        <w:right w:val="none" w:sz="0" w:space="0" w:color="auto"/>
      </w:divBdr>
    </w:div>
    <w:div w:id="1282423201">
      <w:bodyDiv w:val="1"/>
      <w:marLeft w:val="0"/>
      <w:marRight w:val="0"/>
      <w:marTop w:val="0"/>
      <w:marBottom w:val="0"/>
      <w:divBdr>
        <w:top w:val="none" w:sz="0" w:space="0" w:color="auto"/>
        <w:left w:val="none" w:sz="0" w:space="0" w:color="auto"/>
        <w:bottom w:val="none" w:sz="0" w:space="0" w:color="auto"/>
        <w:right w:val="none" w:sz="0" w:space="0" w:color="auto"/>
      </w:divBdr>
    </w:div>
    <w:div w:id="1292828713">
      <w:bodyDiv w:val="1"/>
      <w:marLeft w:val="0"/>
      <w:marRight w:val="0"/>
      <w:marTop w:val="0"/>
      <w:marBottom w:val="0"/>
      <w:divBdr>
        <w:top w:val="none" w:sz="0" w:space="0" w:color="auto"/>
        <w:left w:val="none" w:sz="0" w:space="0" w:color="auto"/>
        <w:bottom w:val="none" w:sz="0" w:space="0" w:color="auto"/>
        <w:right w:val="none" w:sz="0" w:space="0" w:color="auto"/>
      </w:divBdr>
    </w:div>
    <w:div w:id="1305501033">
      <w:bodyDiv w:val="1"/>
      <w:marLeft w:val="0"/>
      <w:marRight w:val="0"/>
      <w:marTop w:val="0"/>
      <w:marBottom w:val="0"/>
      <w:divBdr>
        <w:top w:val="none" w:sz="0" w:space="0" w:color="auto"/>
        <w:left w:val="none" w:sz="0" w:space="0" w:color="auto"/>
        <w:bottom w:val="none" w:sz="0" w:space="0" w:color="auto"/>
        <w:right w:val="none" w:sz="0" w:space="0" w:color="auto"/>
      </w:divBdr>
    </w:div>
    <w:div w:id="1314218797">
      <w:bodyDiv w:val="1"/>
      <w:marLeft w:val="0"/>
      <w:marRight w:val="0"/>
      <w:marTop w:val="0"/>
      <w:marBottom w:val="0"/>
      <w:divBdr>
        <w:top w:val="none" w:sz="0" w:space="0" w:color="auto"/>
        <w:left w:val="none" w:sz="0" w:space="0" w:color="auto"/>
        <w:bottom w:val="none" w:sz="0" w:space="0" w:color="auto"/>
        <w:right w:val="none" w:sz="0" w:space="0" w:color="auto"/>
      </w:divBdr>
    </w:div>
    <w:div w:id="1314872974">
      <w:bodyDiv w:val="1"/>
      <w:marLeft w:val="0"/>
      <w:marRight w:val="0"/>
      <w:marTop w:val="0"/>
      <w:marBottom w:val="0"/>
      <w:divBdr>
        <w:top w:val="none" w:sz="0" w:space="0" w:color="auto"/>
        <w:left w:val="none" w:sz="0" w:space="0" w:color="auto"/>
        <w:bottom w:val="none" w:sz="0" w:space="0" w:color="auto"/>
        <w:right w:val="none" w:sz="0" w:space="0" w:color="auto"/>
      </w:divBdr>
    </w:div>
    <w:div w:id="1323199873">
      <w:bodyDiv w:val="1"/>
      <w:marLeft w:val="0"/>
      <w:marRight w:val="0"/>
      <w:marTop w:val="0"/>
      <w:marBottom w:val="0"/>
      <w:divBdr>
        <w:top w:val="none" w:sz="0" w:space="0" w:color="auto"/>
        <w:left w:val="none" w:sz="0" w:space="0" w:color="auto"/>
        <w:bottom w:val="none" w:sz="0" w:space="0" w:color="auto"/>
        <w:right w:val="none" w:sz="0" w:space="0" w:color="auto"/>
      </w:divBdr>
    </w:div>
    <w:div w:id="1329988707">
      <w:bodyDiv w:val="1"/>
      <w:marLeft w:val="0"/>
      <w:marRight w:val="0"/>
      <w:marTop w:val="0"/>
      <w:marBottom w:val="0"/>
      <w:divBdr>
        <w:top w:val="none" w:sz="0" w:space="0" w:color="auto"/>
        <w:left w:val="none" w:sz="0" w:space="0" w:color="auto"/>
        <w:bottom w:val="none" w:sz="0" w:space="0" w:color="auto"/>
        <w:right w:val="none" w:sz="0" w:space="0" w:color="auto"/>
      </w:divBdr>
    </w:div>
    <w:div w:id="1330601110">
      <w:bodyDiv w:val="1"/>
      <w:marLeft w:val="0"/>
      <w:marRight w:val="0"/>
      <w:marTop w:val="0"/>
      <w:marBottom w:val="0"/>
      <w:divBdr>
        <w:top w:val="none" w:sz="0" w:space="0" w:color="auto"/>
        <w:left w:val="none" w:sz="0" w:space="0" w:color="auto"/>
        <w:bottom w:val="none" w:sz="0" w:space="0" w:color="auto"/>
        <w:right w:val="none" w:sz="0" w:space="0" w:color="auto"/>
      </w:divBdr>
    </w:div>
    <w:div w:id="1336612265">
      <w:bodyDiv w:val="1"/>
      <w:marLeft w:val="0"/>
      <w:marRight w:val="0"/>
      <w:marTop w:val="0"/>
      <w:marBottom w:val="0"/>
      <w:divBdr>
        <w:top w:val="none" w:sz="0" w:space="0" w:color="auto"/>
        <w:left w:val="none" w:sz="0" w:space="0" w:color="auto"/>
        <w:bottom w:val="none" w:sz="0" w:space="0" w:color="auto"/>
        <w:right w:val="none" w:sz="0" w:space="0" w:color="auto"/>
      </w:divBdr>
    </w:div>
    <w:div w:id="1358504783">
      <w:bodyDiv w:val="1"/>
      <w:marLeft w:val="0"/>
      <w:marRight w:val="0"/>
      <w:marTop w:val="0"/>
      <w:marBottom w:val="0"/>
      <w:divBdr>
        <w:top w:val="none" w:sz="0" w:space="0" w:color="auto"/>
        <w:left w:val="none" w:sz="0" w:space="0" w:color="auto"/>
        <w:bottom w:val="none" w:sz="0" w:space="0" w:color="auto"/>
        <w:right w:val="none" w:sz="0" w:space="0" w:color="auto"/>
      </w:divBdr>
    </w:div>
    <w:div w:id="1360089517">
      <w:bodyDiv w:val="1"/>
      <w:marLeft w:val="0"/>
      <w:marRight w:val="0"/>
      <w:marTop w:val="0"/>
      <w:marBottom w:val="0"/>
      <w:divBdr>
        <w:top w:val="none" w:sz="0" w:space="0" w:color="auto"/>
        <w:left w:val="none" w:sz="0" w:space="0" w:color="auto"/>
        <w:bottom w:val="none" w:sz="0" w:space="0" w:color="auto"/>
        <w:right w:val="none" w:sz="0" w:space="0" w:color="auto"/>
      </w:divBdr>
    </w:div>
    <w:div w:id="1379083434">
      <w:bodyDiv w:val="1"/>
      <w:marLeft w:val="0"/>
      <w:marRight w:val="0"/>
      <w:marTop w:val="0"/>
      <w:marBottom w:val="0"/>
      <w:divBdr>
        <w:top w:val="none" w:sz="0" w:space="0" w:color="auto"/>
        <w:left w:val="none" w:sz="0" w:space="0" w:color="auto"/>
        <w:bottom w:val="none" w:sz="0" w:space="0" w:color="auto"/>
        <w:right w:val="none" w:sz="0" w:space="0" w:color="auto"/>
      </w:divBdr>
    </w:div>
    <w:div w:id="1390497912">
      <w:bodyDiv w:val="1"/>
      <w:marLeft w:val="0"/>
      <w:marRight w:val="0"/>
      <w:marTop w:val="0"/>
      <w:marBottom w:val="0"/>
      <w:divBdr>
        <w:top w:val="none" w:sz="0" w:space="0" w:color="auto"/>
        <w:left w:val="none" w:sz="0" w:space="0" w:color="auto"/>
        <w:bottom w:val="none" w:sz="0" w:space="0" w:color="auto"/>
        <w:right w:val="none" w:sz="0" w:space="0" w:color="auto"/>
      </w:divBdr>
    </w:div>
    <w:div w:id="1391271528">
      <w:bodyDiv w:val="1"/>
      <w:marLeft w:val="0"/>
      <w:marRight w:val="0"/>
      <w:marTop w:val="0"/>
      <w:marBottom w:val="0"/>
      <w:divBdr>
        <w:top w:val="none" w:sz="0" w:space="0" w:color="auto"/>
        <w:left w:val="none" w:sz="0" w:space="0" w:color="auto"/>
        <w:bottom w:val="none" w:sz="0" w:space="0" w:color="auto"/>
        <w:right w:val="none" w:sz="0" w:space="0" w:color="auto"/>
      </w:divBdr>
    </w:div>
    <w:div w:id="1403915178">
      <w:bodyDiv w:val="1"/>
      <w:marLeft w:val="0"/>
      <w:marRight w:val="0"/>
      <w:marTop w:val="0"/>
      <w:marBottom w:val="0"/>
      <w:divBdr>
        <w:top w:val="none" w:sz="0" w:space="0" w:color="auto"/>
        <w:left w:val="none" w:sz="0" w:space="0" w:color="auto"/>
        <w:bottom w:val="none" w:sz="0" w:space="0" w:color="auto"/>
        <w:right w:val="none" w:sz="0" w:space="0" w:color="auto"/>
      </w:divBdr>
    </w:div>
    <w:div w:id="1423986016">
      <w:bodyDiv w:val="1"/>
      <w:marLeft w:val="0"/>
      <w:marRight w:val="0"/>
      <w:marTop w:val="0"/>
      <w:marBottom w:val="0"/>
      <w:divBdr>
        <w:top w:val="none" w:sz="0" w:space="0" w:color="auto"/>
        <w:left w:val="none" w:sz="0" w:space="0" w:color="auto"/>
        <w:bottom w:val="none" w:sz="0" w:space="0" w:color="auto"/>
        <w:right w:val="none" w:sz="0" w:space="0" w:color="auto"/>
      </w:divBdr>
      <w:divsChild>
        <w:div w:id="1456175431">
          <w:marLeft w:val="0"/>
          <w:marRight w:val="0"/>
          <w:marTop w:val="0"/>
          <w:marBottom w:val="0"/>
          <w:divBdr>
            <w:top w:val="none" w:sz="0" w:space="0" w:color="auto"/>
            <w:left w:val="none" w:sz="0" w:space="0" w:color="auto"/>
            <w:bottom w:val="none" w:sz="0" w:space="0" w:color="auto"/>
            <w:right w:val="none" w:sz="0" w:space="0" w:color="auto"/>
          </w:divBdr>
          <w:divsChild>
            <w:div w:id="35132246">
              <w:marLeft w:val="0"/>
              <w:marRight w:val="0"/>
              <w:marTop w:val="0"/>
              <w:marBottom w:val="0"/>
              <w:divBdr>
                <w:top w:val="none" w:sz="0" w:space="0" w:color="auto"/>
                <w:left w:val="none" w:sz="0" w:space="0" w:color="auto"/>
                <w:bottom w:val="none" w:sz="0" w:space="0" w:color="auto"/>
                <w:right w:val="none" w:sz="0" w:space="0" w:color="auto"/>
              </w:divBdr>
            </w:div>
          </w:divsChild>
        </w:div>
        <w:div w:id="2131851467">
          <w:marLeft w:val="0"/>
          <w:marRight w:val="0"/>
          <w:marTop w:val="0"/>
          <w:marBottom w:val="0"/>
          <w:divBdr>
            <w:top w:val="none" w:sz="0" w:space="0" w:color="auto"/>
            <w:left w:val="none" w:sz="0" w:space="0" w:color="auto"/>
            <w:bottom w:val="none" w:sz="0" w:space="0" w:color="auto"/>
            <w:right w:val="none" w:sz="0" w:space="0" w:color="auto"/>
          </w:divBdr>
        </w:div>
      </w:divsChild>
    </w:div>
    <w:div w:id="1426072101">
      <w:bodyDiv w:val="1"/>
      <w:marLeft w:val="0"/>
      <w:marRight w:val="0"/>
      <w:marTop w:val="0"/>
      <w:marBottom w:val="0"/>
      <w:divBdr>
        <w:top w:val="none" w:sz="0" w:space="0" w:color="auto"/>
        <w:left w:val="none" w:sz="0" w:space="0" w:color="auto"/>
        <w:bottom w:val="none" w:sz="0" w:space="0" w:color="auto"/>
        <w:right w:val="none" w:sz="0" w:space="0" w:color="auto"/>
      </w:divBdr>
    </w:div>
    <w:div w:id="1436510611">
      <w:bodyDiv w:val="1"/>
      <w:marLeft w:val="0"/>
      <w:marRight w:val="0"/>
      <w:marTop w:val="0"/>
      <w:marBottom w:val="0"/>
      <w:divBdr>
        <w:top w:val="none" w:sz="0" w:space="0" w:color="auto"/>
        <w:left w:val="none" w:sz="0" w:space="0" w:color="auto"/>
        <w:bottom w:val="none" w:sz="0" w:space="0" w:color="auto"/>
        <w:right w:val="none" w:sz="0" w:space="0" w:color="auto"/>
      </w:divBdr>
    </w:div>
    <w:div w:id="1439520118">
      <w:bodyDiv w:val="1"/>
      <w:marLeft w:val="0"/>
      <w:marRight w:val="0"/>
      <w:marTop w:val="0"/>
      <w:marBottom w:val="0"/>
      <w:divBdr>
        <w:top w:val="none" w:sz="0" w:space="0" w:color="auto"/>
        <w:left w:val="none" w:sz="0" w:space="0" w:color="auto"/>
        <w:bottom w:val="none" w:sz="0" w:space="0" w:color="auto"/>
        <w:right w:val="none" w:sz="0" w:space="0" w:color="auto"/>
      </w:divBdr>
    </w:div>
    <w:div w:id="1448814488">
      <w:bodyDiv w:val="1"/>
      <w:marLeft w:val="0"/>
      <w:marRight w:val="0"/>
      <w:marTop w:val="0"/>
      <w:marBottom w:val="0"/>
      <w:divBdr>
        <w:top w:val="none" w:sz="0" w:space="0" w:color="auto"/>
        <w:left w:val="none" w:sz="0" w:space="0" w:color="auto"/>
        <w:bottom w:val="none" w:sz="0" w:space="0" w:color="auto"/>
        <w:right w:val="none" w:sz="0" w:space="0" w:color="auto"/>
      </w:divBdr>
    </w:div>
    <w:div w:id="1468628572">
      <w:bodyDiv w:val="1"/>
      <w:marLeft w:val="0"/>
      <w:marRight w:val="0"/>
      <w:marTop w:val="0"/>
      <w:marBottom w:val="0"/>
      <w:divBdr>
        <w:top w:val="none" w:sz="0" w:space="0" w:color="auto"/>
        <w:left w:val="none" w:sz="0" w:space="0" w:color="auto"/>
        <w:bottom w:val="none" w:sz="0" w:space="0" w:color="auto"/>
        <w:right w:val="none" w:sz="0" w:space="0" w:color="auto"/>
      </w:divBdr>
    </w:div>
    <w:div w:id="1493985583">
      <w:bodyDiv w:val="1"/>
      <w:marLeft w:val="0"/>
      <w:marRight w:val="0"/>
      <w:marTop w:val="0"/>
      <w:marBottom w:val="0"/>
      <w:divBdr>
        <w:top w:val="none" w:sz="0" w:space="0" w:color="auto"/>
        <w:left w:val="none" w:sz="0" w:space="0" w:color="auto"/>
        <w:bottom w:val="none" w:sz="0" w:space="0" w:color="auto"/>
        <w:right w:val="none" w:sz="0" w:space="0" w:color="auto"/>
      </w:divBdr>
    </w:div>
    <w:div w:id="1509104066">
      <w:bodyDiv w:val="1"/>
      <w:marLeft w:val="0"/>
      <w:marRight w:val="0"/>
      <w:marTop w:val="0"/>
      <w:marBottom w:val="0"/>
      <w:divBdr>
        <w:top w:val="none" w:sz="0" w:space="0" w:color="auto"/>
        <w:left w:val="none" w:sz="0" w:space="0" w:color="auto"/>
        <w:bottom w:val="none" w:sz="0" w:space="0" w:color="auto"/>
        <w:right w:val="none" w:sz="0" w:space="0" w:color="auto"/>
      </w:divBdr>
    </w:div>
    <w:div w:id="1526406837">
      <w:bodyDiv w:val="1"/>
      <w:marLeft w:val="0"/>
      <w:marRight w:val="0"/>
      <w:marTop w:val="0"/>
      <w:marBottom w:val="0"/>
      <w:divBdr>
        <w:top w:val="none" w:sz="0" w:space="0" w:color="auto"/>
        <w:left w:val="none" w:sz="0" w:space="0" w:color="auto"/>
        <w:bottom w:val="none" w:sz="0" w:space="0" w:color="auto"/>
        <w:right w:val="none" w:sz="0" w:space="0" w:color="auto"/>
      </w:divBdr>
    </w:div>
    <w:div w:id="1531720358">
      <w:bodyDiv w:val="1"/>
      <w:marLeft w:val="0"/>
      <w:marRight w:val="0"/>
      <w:marTop w:val="0"/>
      <w:marBottom w:val="0"/>
      <w:divBdr>
        <w:top w:val="none" w:sz="0" w:space="0" w:color="auto"/>
        <w:left w:val="none" w:sz="0" w:space="0" w:color="auto"/>
        <w:bottom w:val="none" w:sz="0" w:space="0" w:color="auto"/>
        <w:right w:val="none" w:sz="0" w:space="0" w:color="auto"/>
      </w:divBdr>
    </w:div>
    <w:div w:id="1549293491">
      <w:bodyDiv w:val="1"/>
      <w:marLeft w:val="0"/>
      <w:marRight w:val="0"/>
      <w:marTop w:val="0"/>
      <w:marBottom w:val="0"/>
      <w:divBdr>
        <w:top w:val="none" w:sz="0" w:space="0" w:color="auto"/>
        <w:left w:val="none" w:sz="0" w:space="0" w:color="auto"/>
        <w:bottom w:val="none" w:sz="0" w:space="0" w:color="auto"/>
        <w:right w:val="none" w:sz="0" w:space="0" w:color="auto"/>
      </w:divBdr>
    </w:div>
    <w:div w:id="1555238014">
      <w:bodyDiv w:val="1"/>
      <w:marLeft w:val="0"/>
      <w:marRight w:val="0"/>
      <w:marTop w:val="0"/>
      <w:marBottom w:val="0"/>
      <w:divBdr>
        <w:top w:val="none" w:sz="0" w:space="0" w:color="auto"/>
        <w:left w:val="none" w:sz="0" w:space="0" w:color="auto"/>
        <w:bottom w:val="none" w:sz="0" w:space="0" w:color="auto"/>
        <w:right w:val="none" w:sz="0" w:space="0" w:color="auto"/>
      </w:divBdr>
    </w:div>
    <w:div w:id="1555267054">
      <w:bodyDiv w:val="1"/>
      <w:marLeft w:val="0"/>
      <w:marRight w:val="0"/>
      <w:marTop w:val="0"/>
      <w:marBottom w:val="0"/>
      <w:divBdr>
        <w:top w:val="none" w:sz="0" w:space="0" w:color="auto"/>
        <w:left w:val="none" w:sz="0" w:space="0" w:color="auto"/>
        <w:bottom w:val="none" w:sz="0" w:space="0" w:color="auto"/>
        <w:right w:val="none" w:sz="0" w:space="0" w:color="auto"/>
      </w:divBdr>
    </w:div>
    <w:div w:id="1558517382">
      <w:bodyDiv w:val="1"/>
      <w:marLeft w:val="0"/>
      <w:marRight w:val="0"/>
      <w:marTop w:val="0"/>
      <w:marBottom w:val="0"/>
      <w:divBdr>
        <w:top w:val="none" w:sz="0" w:space="0" w:color="auto"/>
        <w:left w:val="none" w:sz="0" w:space="0" w:color="auto"/>
        <w:bottom w:val="none" w:sz="0" w:space="0" w:color="auto"/>
        <w:right w:val="none" w:sz="0" w:space="0" w:color="auto"/>
      </w:divBdr>
    </w:div>
    <w:div w:id="1563324869">
      <w:bodyDiv w:val="1"/>
      <w:marLeft w:val="0"/>
      <w:marRight w:val="0"/>
      <w:marTop w:val="0"/>
      <w:marBottom w:val="0"/>
      <w:divBdr>
        <w:top w:val="none" w:sz="0" w:space="0" w:color="auto"/>
        <w:left w:val="none" w:sz="0" w:space="0" w:color="auto"/>
        <w:bottom w:val="none" w:sz="0" w:space="0" w:color="auto"/>
        <w:right w:val="none" w:sz="0" w:space="0" w:color="auto"/>
      </w:divBdr>
      <w:divsChild>
        <w:div w:id="16471939">
          <w:marLeft w:val="0"/>
          <w:marRight w:val="0"/>
          <w:marTop w:val="0"/>
          <w:marBottom w:val="0"/>
          <w:divBdr>
            <w:top w:val="none" w:sz="0" w:space="0" w:color="auto"/>
            <w:left w:val="none" w:sz="0" w:space="0" w:color="auto"/>
            <w:bottom w:val="none" w:sz="0" w:space="0" w:color="auto"/>
            <w:right w:val="none" w:sz="0" w:space="0" w:color="auto"/>
          </w:divBdr>
          <w:divsChild>
            <w:div w:id="1146822855">
              <w:marLeft w:val="0"/>
              <w:marRight w:val="0"/>
              <w:marTop w:val="0"/>
              <w:marBottom w:val="0"/>
              <w:divBdr>
                <w:top w:val="none" w:sz="0" w:space="0" w:color="auto"/>
                <w:left w:val="none" w:sz="0" w:space="0" w:color="auto"/>
                <w:bottom w:val="none" w:sz="0" w:space="0" w:color="auto"/>
                <w:right w:val="none" w:sz="0" w:space="0" w:color="auto"/>
              </w:divBdr>
            </w:div>
            <w:div w:id="1231581491">
              <w:marLeft w:val="0"/>
              <w:marRight w:val="0"/>
              <w:marTop w:val="0"/>
              <w:marBottom w:val="0"/>
              <w:divBdr>
                <w:top w:val="none" w:sz="0" w:space="0" w:color="auto"/>
                <w:left w:val="none" w:sz="0" w:space="0" w:color="auto"/>
                <w:bottom w:val="none" w:sz="0" w:space="0" w:color="auto"/>
                <w:right w:val="none" w:sz="0" w:space="0" w:color="auto"/>
              </w:divBdr>
            </w:div>
            <w:div w:id="1770464916">
              <w:marLeft w:val="0"/>
              <w:marRight w:val="0"/>
              <w:marTop w:val="0"/>
              <w:marBottom w:val="0"/>
              <w:divBdr>
                <w:top w:val="none" w:sz="0" w:space="0" w:color="auto"/>
                <w:left w:val="none" w:sz="0" w:space="0" w:color="auto"/>
                <w:bottom w:val="none" w:sz="0" w:space="0" w:color="auto"/>
                <w:right w:val="none" w:sz="0" w:space="0" w:color="auto"/>
              </w:divBdr>
            </w:div>
          </w:divsChild>
        </w:div>
        <w:div w:id="536116077">
          <w:marLeft w:val="0"/>
          <w:marRight w:val="0"/>
          <w:marTop w:val="0"/>
          <w:marBottom w:val="0"/>
          <w:divBdr>
            <w:top w:val="none" w:sz="0" w:space="0" w:color="auto"/>
            <w:left w:val="none" w:sz="0" w:space="0" w:color="auto"/>
            <w:bottom w:val="none" w:sz="0" w:space="0" w:color="auto"/>
            <w:right w:val="none" w:sz="0" w:space="0" w:color="auto"/>
          </w:divBdr>
          <w:divsChild>
            <w:div w:id="745032101">
              <w:marLeft w:val="0"/>
              <w:marRight w:val="0"/>
              <w:marTop w:val="0"/>
              <w:marBottom w:val="0"/>
              <w:divBdr>
                <w:top w:val="none" w:sz="0" w:space="0" w:color="auto"/>
                <w:left w:val="none" w:sz="0" w:space="0" w:color="auto"/>
                <w:bottom w:val="none" w:sz="0" w:space="0" w:color="auto"/>
                <w:right w:val="none" w:sz="0" w:space="0" w:color="auto"/>
              </w:divBdr>
            </w:div>
            <w:div w:id="986587362">
              <w:marLeft w:val="0"/>
              <w:marRight w:val="0"/>
              <w:marTop w:val="0"/>
              <w:marBottom w:val="0"/>
              <w:divBdr>
                <w:top w:val="none" w:sz="0" w:space="0" w:color="auto"/>
                <w:left w:val="none" w:sz="0" w:space="0" w:color="auto"/>
                <w:bottom w:val="none" w:sz="0" w:space="0" w:color="auto"/>
                <w:right w:val="none" w:sz="0" w:space="0" w:color="auto"/>
              </w:divBdr>
            </w:div>
            <w:div w:id="13794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2402">
      <w:bodyDiv w:val="1"/>
      <w:marLeft w:val="0"/>
      <w:marRight w:val="0"/>
      <w:marTop w:val="0"/>
      <w:marBottom w:val="0"/>
      <w:divBdr>
        <w:top w:val="none" w:sz="0" w:space="0" w:color="auto"/>
        <w:left w:val="none" w:sz="0" w:space="0" w:color="auto"/>
        <w:bottom w:val="none" w:sz="0" w:space="0" w:color="auto"/>
        <w:right w:val="none" w:sz="0" w:space="0" w:color="auto"/>
      </w:divBdr>
    </w:div>
    <w:div w:id="1575243239">
      <w:bodyDiv w:val="1"/>
      <w:marLeft w:val="0"/>
      <w:marRight w:val="0"/>
      <w:marTop w:val="0"/>
      <w:marBottom w:val="0"/>
      <w:divBdr>
        <w:top w:val="none" w:sz="0" w:space="0" w:color="auto"/>
        <w:left w:val="none" w:sz="0" w:space="0" w:color="auto"/>
        <w:bottom w:val="none" w:sz="0" w:space="0" w:color="auto"/>
        <w:right w:val="none" w:sz="0" w:space="0" w:color="auto"/>
      </w:divBdr>
    </w:div>
    <w:div w:id="1577010011">
      <w:bodyDiv w:val="1"/>
      <w:marLeft w:val="0"/>
      <w:marRight w:val="0"/>
      <w:marTop w:val="0"/>
      <w:marBottom w:val="0"/>
      <w:divBdr>
        <w:top w:val="none" w:sz="0" w:space="0" w:color="auto"/>
        <w:left w:val="none" w:sz="0" w:space="0" w:color="auto"/>
        <w:bottom w:val="none" w:sz="0" w:space="0" w:color="auto"/>
        <w:right w:val="none" w:sz="0" w:space="0" w:color="auto"/>
      </w:divBdr>
    </w:div>
    <w:div w:id="1577402496">
      <w:bodyDiv w:val="1"/>
      <w:marLeft w:val="0"/>
      <w:marRight w:val="0"/>
      <w:marTop w:val="0"/>
      <w:marBottom w:val="0"/>
      <w:divBdr>
        <w:top w:val="none" w:sz="0" w:space="0" w:color="auto"/>
        <w:left w:val="none" w:sz="0" w:space="0" w:color="auto"/>
        <w:bottom w:val="none" w:sz="0" w:space="0" w:color="auto"/>
        <w:right w:val="none" w:sz="0" w:space="0" w:color="auto"/>
      </w:divBdr>
    </w:div>
    <w:div w:id="1577741387">
      <w:bodyDiv w:val="1"/>
      <w:marLeft w:val="0"/>
      <w:marRight w:val="0"/>
      <w:marTop w:val="0"/>
      <w:marBottom w:val="0"/>
      <w:divBdr>
        <w:top w:val="none" w:sz="0" w:space="0" w:color="auto"/>
        <w:left w:val="none" w:sz="0" w:space="0" w:color="auto"/>
        <w:bottom w:val="none" w:sz="0" w:space="0" w:color="auto"/>
        <w:right w:val="none" w:sz="0" w:space="0" w:color="auto"/>
      </w:divBdr>
    </w:div>
    <w:div w:id="1599288147">
      <w:bodyDiv w:val="1"/>
      <w:marLeft w:val="0"/>
      <w:marRight w:val="0"/>
      <w:marTop w:val="0"/>
      <w:marBottom w:val="0"/>
      <w:divBdr>
        <w:top w:val="none" w:sz="0" w:space="0" w:color="auto"/>
        <w:left w:val="none" w:sz="0" w:space="0" w:color="auto"/>
        <w:bottom w:val="none" w:sz="0" w:space="0" w:color="auto"/>
        <w:right w:val="none" w:sz="0" w:space="0" w:color="auto"/>
      </w:divBdr>
    </w:div>
    <w:div w:id="1614096902">
      <w:bodyDiv w:val="1"/>
      <w:marLeft w:val="0"/>
      <w:marRight w:val="0"/>
      <w:marTop w:val="0"/>
      <w:marBottom w:val="0"/>
      <w:divBdr>
        <w:top w:val="none" w:sz="0" w:space="0" w:color="auto"/>
        <w:left w:val="none" w:sz="0" w:space="0" w:color="auto"/>
        <w:bottom w:val="none" w:sz="0" w:space="0" w:color="auto"/>
        <w:right w:val="none" w:sz="0" w:space="0" w:color="auto"/>
      </w:divBdr>
    </w:div>
    <w:div w:id="1615936948">
      <w:bodyDiv w:val="1"/>
      <w:marLeft w:val="0"/>
      <w:marRight w:val="0"/>
      <w:marTop w:val="0"/>
      <w:marBottom w:val="0"/>
      <w:divBdr>
        <w:top w:val="none" w:sz="0" w:space="0" w:color="auto"/>
        <w:left w:val="none" w:sz="0" w:space="0" w:color="auto"/>
        <w:bottom w:val="none" w:sz="0" w:space="0" w:color="auto"/>
        <w:right w:val="none" w:sz="0" w:space="0" w:color="auto"/>
      </w:divBdr>
    </w:div>
    <w:div w:id="1618751750">
      <w:bodyDiv w:val="1"/>
      <w:marLeft w:val="0"/>
      <w:marRight w:val="0"/>
      <w:marTop w:val="0"/>
      <w:marBottom w:val="0"/>
      <w:divBdr>
        <w:top w:val="none" w:sz="0" w:space="0" w:color="auto"/>
        <w:left w:val="none" w:sz="0" w:space="0" w:color="auto"/>
        <w:bottom w:val="none" w:sz="0" w:space="0" w:color="auto"/>
        <w:right w:val="none" w:sz="0" w:space="0" w:color="auto"/>
      </w:divBdr>
    </w:div>
    <w:div w:id="1622758240">
      <w:bodyDiv w:val="1"/>
      <w:marLeft w:val="0"/>
      <w:marRight w:val="0"/>
      <w:marTop w:val="0"/>
      <w:marBottom w:val="0"/>
      <w:divBdr>
        <w:top w:val="none" w:sz="0" w:space="0" w:color="auto"/>
        <w:left w:val="none" w:sz="0" w:space="0" w:color="auto"/>
        <w:bottom w:val="none" w:sz="0" w:space="0" w:color="auto"/>
        <w:right w:val="none" w:sz="0" w:space="0" w:color="auto"/>
      </w:divBdr>
    </w:div>
    <w:div w:id="1640182124">
      <w:bodyDiv w:val="1"/>
      <w:marLeft w:val="0"/>
      <w:marRight w:val="0"/>
      <w:marTop w:val="0"/>
      <w:marBottom w:val="0"/>
      <w:divBdr>
        <w:top w:val="none" w:sz="0" w:space="0" w:color="auto"/>
        <w:left w:val="none" w:sz="0" w:space="0" w:color="auto"/>
        <w:bottom w:val="none" w:sz="0" w:space="0" w:color="auto"/>
        <w:right w:val="none" w:sz="0" w:space="0" w:color="auto"/>
      </w:divBdr>
    </w:div>
    <w:div w:id="1649673087">
      <w:bodyDiv w:val="1"/>
      <w:marLeft w:val="0"/>
      <w:marRight w:val="0"/>
      <w:marTop w:val="0"/>
      <w:marBottom w:val="0"/>
      <w:divBdr>
        <w:top w:val="none" w:sz="0" w:space="0" w:color="auto"/>
        <w:left w:val="none" w:sz="0" w:space="0" w:color="auto"/>
        <w:bottom w:val="none" w:sz="0" w:space="0" w:color="auto"/>
        <w:right w:val="none" w:sz="0" w:space="0" w:color="auto"/>
      </w:divBdr>
    </w:div>
    <w:div w:id="1663243272">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79190248">
      <w:bodyDiv w:val="1"/>
      <w:marLeft w:val="0"/>
      <w:marRight w:val="0"/>
      <w:marTop w:val="0"/>
      <w:marBottom w:val="0"/>
      <w:divBdr>
        <w:top w:val="none" w:sz="0" w:space="0" w:color="auto"/>
        <w:left w:val="none" w:sz="0" w:space="0" w:color="auto"/>
        <w:bottom w:val="none" w:sz="0" w:space="0" w:color="auto"/>
        <w:right w:val="none" w:sz="0" w:space="0" w:color="auto"/>
      </w:divBdr>
    </w:div>
    <w:div w:id="1682926115">
      <w:bodyDiv w:val="1"/>
      <w:marLeft w:val="0"/>
      <w:marRight w:val="0"/>
      <w:marTop w:val="0"/>
      <w:marBottom w:val="0"/>
      <w:divBdr>
        <w:top w:val="none" w:sz="0" w:space="0" w:color="auto"/>
        <w:left w:val="none" w:sz="0" w:space="0" w:color="auto"/>
        <w:bottom w:val="none" w:sz="0" w:space="0" w:color="auto"/>
        <w:right w:val="none" w:sz="0" w:space="0" w:color="auto"/>
      </w:divBdr>
    </w:div>
    <w:div w:id="1688096792">
      <w:bodyDiv w:val="1"/>
      <w:marLeft w:val="0"/>
      <w:marRight w:val="0"/>
      <w:marTop w:val="0"/>
      <w:marBottom w:val="0"/>
      <w:divBdr>
        <w:top w:val="none" w:sz="0" w:space="0" w:color="auto"/>
        <w:left w:val="none" w:sz="0" w:space="0" w:color="auto"/>
        <w:bottom w:val="none" w:sz="0" w:space="0" w:color="auto"/>
        <w:right w:val="none" w:sz="0" w:space="0" w:color="auto"/>
      </w:divBdr>
    </w:div>
    <w:div w:id="1689480125">
      <w:bodyDiv w:val="1"/>
      <w:marLeft w:val="0"/>
      <w:marRight w:val="0"/>
      <w:marTop w:val="0"/>
      <w:marBottom w:val="0"/>
      <w:divBdr>
        <w:top w:val="none" w:sz="0" w:space="0" w:color="auto"/>
        <w:left w:val="none" w:sz="0" w:space="0" w:color="auto"/>
        <w:bottom w:val="none" w:sz="0" w:space="0" w:color="auto"/>
        <w:right w:val="none" w:sz="0" w:space="0" w:color="auto"/>
      </w:divBdr>
    </w:div>
    <w:div w:id="1694499444">
      <w:bodyDiv w:val="1"/>
      <w:marLeft w:val="0"/>
      <w:marRight w:val="0"/>
      <w:marTop w:val="0"/>
      <w:marBottom w:val="0"/>
      <w:divBdr>
        <w:top w:val="none" w:sz="0" w:space="0" w:color="auto"/>
        <w:left w:val="none" w:sz="0" w:space="0" w:color="auto"/>
        <w:bottom w:val="none" w:sz="0" w:space="0" w:color="auto"/>
        <w:right w:val="none" w:sz="0" w:space="0" w:color="auto"/>
      </w:divBdr>
    </w:div>
    <w:div w:id="1696690276">
      <w:bodyDiv w:val="1"/>
      <w:marLeft w:val="0"/>
      <w:marRight w:val="0"/>
      <w:marTop w:val="0"/>
      <w:marBottom w:val="0"/>
      <w:divBdr>
        <w:top w:val="none" w:sz="0" w:space="0" w:color="auto"/>
        <w:left w:val="none" w:sz="0" w:space="0" w:color="auto"/>
        <w:bottom w:val="none" w:sz="0" w:space="0" w:color="auto"/>
        <w:right w:val="none" w:sz="0" w:space="0" w:color="auto"/>
      </w:divBdr>
    </w:div>
    <w:div w:id="1697266466">
      <w:bodyDiv w:val="1"/>
      <w:marLeft w:val="0"/>
      <w:marRight w:val="0"/>
      <w:marTop w:val="0"/>
      <w:marBottom w:val="0"/>
      <w:divBdr>
        <w:top w:val="none" w:sz="0" w:space="0" w:color="auto"/>
        <w:left w:val="none" w:sz="0" w:space="0" w:color="auto"/>
        <w:bottom w:val="none" w:sz="0" w:space="0" w:color="auto"/>
        <w:right w:val="none" w:sz="0" w:space="0" w:color="auto"/>
      </w:divBdr>
    </w:div>
    <w:div w:id="1702166596">
      <w:bodyDiv w:val="1"/>
      <w:marLeft w:val="0"/>
      <w:marRight w:val="0"/>
      <w:marTop w:val="0"/>
      <w:marBottom w:val="0"/>
      <w:divBdr>
        <w:top w:val="none" w:sz="0" w:space="0" w:color="auto"/>
        <w:left w:val="none" w:sz="0" w:space="0" w:color="auto"/>
        <w:bottom w:val="none" w:sz="0" w:space="0" w:color="auto"/>
        <w:right w:val="none" w:sz="0" w:space="0" w:color="auto"/>
      </w:divBdr>
    </w:div>
    <w:div w:id="1704675370">
      <w:bodyDiv w:val="1"/>
      <w:marLeft w:val="0"/>
      <w:marRight w:val="0"/>
      <w:marTop w:val="0"/>
      <w:marBottom w:val="0"/>
      <w:divBdr>
        <w:top w:val="none" w:sz="0" w:space="0" w:color="auto"/>
        <w:left w:val="none" w:sz="0" w:space="0" w:color="auto"/>
        <w:bottom w:val="none" w:sz="0" w:space="0" w:color="auto"/>
        <w:right w:val="none" w:sz="0" w:space="0" w:color="auto"/>
      </w:divBdr>
    </w:div>
    <w:div w:id="1705910795">
      <w:bodyDiv w:val="1"/>
      <w:marLeft w:val="0"/>
      <w:marRight w:val="0"/>
      <w:marTop w:val="0"/>
      <w:marBottom w:val="0"/>
      <w:divBdr>
        <w:top w:val="none" w:sz="0" w:space="0" w:color="auto"/>
        <w:left w:val="none" w:sz="0" w:space="0" w:color="auto"/>
        <w:bottom w:val="none" w:sz="0" w:space="0" w:color="auto"/>
        <w:right w:val="none" w:sz="0" w:space="0" w:color="auto"/>
      </w:divBdr>
    </w:div>
    <w:div w:id="1708331437">
      <w:bodyDiv w:val="1"/>
      <w:marLeft w:val="0"/>
      <w:marRight w:val="0"/>
      <w:marTop w:val="0"/>
      <w:marBottom w:val="0"/>
      <w:divBdr>
        <w:top w:val="none" w:sz="0" w:space="0" w:color="auto"/>
        <w:left w:val="none" w:sz="0" w:space="0" w:color="auto"/>
        <w:bottom w:val="none" w:sz="0" w:space="0" w:color="auto"/>
        <w:right w:val="none" w:sz="0" w:space="0" w:color="auto"/>
      </w:divBdr>
    </w:div>
    <w:div w:id="1710455182">
      <w:bodyDiv w:val="1"/>
      <w:marLeft w:val="0"/>
      <w:marRight w:val="0"/>
      <w:marTop w:val="0"/>
      <w:marBottom w:val="0"/>
      <w:divBdr>
        <w:top w:val="none" w:sz="0" w:space="0" w:color="auto"/>
        <w:left w:val="none" w:sz="0" w:space="0" w:color="auto"/>
        <w:bottom w:val="none" w:sz="0" w:space="0" w:color="auto"/>
        <w:right w:val="none" w:sz="0" w:space="0" w:color="auto"/>
      </w:divBdr>
    </w:div>
    <w:div w:id="1715692772">
      <w:bodyDiv w:val="1"/>
      <w:marLeft w:val="0"/>
      <w:marRight w:val="0"/>
      <w:marTop w:val="0"/>
      <w:marBottom w:val="0"/>
      <w:divBdr>
        <w:top w:val="none" w:sz="0" w:space="0" w:color="auto"/>
        <w:left w:val="none" w:sz="0" w:space="0" w:color="auto"/>
        <w:bottom w:val="none" w:sz="0" w:space="0" w:color="auto"/>
        <w:right w:val="none" w:sz="0" w:space="0" w:color="auto"/>
      </w:divBdr>
    </w:div>
    <w:div w:id="1727215453">
      <w:bodyDiv w:val="1"/>
      <w:marLeft w:val="0"/>
      <w:marRight w:val="0"/>
      <w:marTop w:val="0"/>
      <w:marBottom w:val="0"/>
      <w:divBdr>
        <w:top w:val="none" w:sz="0" w:space="0" w:color="auto"/>
        <w:left w:val="none" w:sz="0" w:space="0" w:color="auto"/>
        <w:bottom w:val="none" w:sz="0" w:space="0" w:color="auto"/>
        <w:right w:val="none" w:sz="0" w:space="0" w:color="auto"/>
      </w:divBdr>
    </w:div>
    <w:div w:id="1729373780">
      <w:bodyDiv w:val="1"/>
      <w:marLeft w:val="0"/>
      <w:marRight w:val="0"/>
      <w:marTop w:val="0"/>
      <w:marBottom w:val="0"/>
      <w:divBdr>
        <w:top w:val="none" w:sz="0" w:space="0" w:color="auto"/>
        <w:left w:val="none" w:sz="0" w:space="0" w:color="auto"/>
        <w:bottom w:val="none" w:sz="0" w:space="0" w:color="auto"/>
        <w:right w:val="none" w:sz="0" w:space="0" w:color="auto"/>
      </w:divBdr>
    </w:div>
    <w:div w:id="1740057295">
      <w:bodyDiv w:val="1"/>
      <w:marLeft w:val="0"/>
      <w:marRight w:val="0"/>
      <w:marTop w:val="0"/>
      <w:marBottom w:val="0"/>
      <w:divBdr>
        <w:top w:val="none" w:sz="0" w:space="0" w:color="auto"/>
        <w:left w:val="none" w:sz="0" w:space="0" w:color="auto"/>
        <w:bottom w:val="none" w:sz="0" w:space="0" w:color="auto"/>
        <w:right w:val="none" w:sz="0" w:space="0" w:color="auto"/>
      </w:divBdr>
    </w:div>
    <w:div w:id="1756780806">
      <w:bodyDiv w:val="1"/>
      <w:marLeft w:val="0"/>
      <w:marRight w:val="0"/>
      <w:marTop w:val="0"/>
      <w:marBottom w:val="0"/>
      <w:divBdr>
        <w:top w:val="none" w:sz="0" w:space="0" w:color="auto"/>
        <w:left w:val="none" w:sz="0" w:space="0" w:color="auto"/>
        <w:bottom w:val="none" w:sz="0" w:space="0" w:color="auto"/>
        <w:right w:val="none" w:sz="0" w:space="0" w:color="auto"/>
      </w:divBdr>
    </w:div>
    <w:div w:id="1757510798">
      <w:bodyDiv w:val="1"/>
      <w:marLeft w:val="0"/>
      <w:marRight w:val="0"/>
      <w:marTop w:val="0"/>
      <w:marBottom w:val="0"/>
      <w:divBdr>
        <w:top w:val="none" w:sz="0" w:space="0" w:color="auto"/>
        <w:left w:val="none" w:sz="0" w:space="0" w:color="auto"/>
        <w:bottom w:val="none" w:sz="0" w:space="0" w:color="auto"/>
        <w:right w:val="none" w:sz="0" w:space="0" w:color="auto"/>
      </w:divBdr>
    </w:div>
    <w:div w:id="1762136692">
      <w:bodyDiv w:val="1"/>
      <w:marLeft w:val="0"/>
      <w:marRight w:val="0"/>
      <w:marTop w:val="0"/>
      <w:marBottom w:val="0"/>
      <w:divBdr>
        <w:top w:val="none" w:sz="0" w:space="0" w:color="auto"/>
        <w:left w:val="none" w:sz="0" w:space="0" w:color="auto"/>
        <w:bottom w:val="none" w:sz="0" w:space="0" w:color="auto"/>
        <w:right w:val="none" w:sz="0" w:space="0" w:color="auto"/>
      </w:divBdr>
    </w:div>
    <w:div w:id="1765494041">
      <w:bodyDiv w:val="1"/>
      <w:marLeft w:val="0"/>
      <w:marRight w:val="0"/>
      <w:marTop w:val="0"/>
      <w:marBottom w:val="0"/>
      <w:divBdr>
        <w:top w:val="none" w:sz="0" w:space="0" w:color="auto"/>
        <w:left w:val="none" w:sz="0" w:space="0" w:color="auto"/>
        <w:bottom w:val="none" w:sz="0" w:space="0" w:color="auto"/>
        <w:right w:val="none" w:sz="0" w:space="0" w:color="auto"/>
      </w:divBdr>
    </w:div>
    <w:div w:id="1781216017">
      <w:bodyDiv w:val="1"/>
      <w:marLeft w:val="0"/>
      <w:marRight w:val="0"/>
      <w:marTop w:val="0"/>
      <w:marBottom w:val="0"/>
      <w:divBdr>
        <w:top w:val="none" w:sz="0" w:space="0" w:color="auto"/>
        <w:left w:val="none" w:sz="0" w:space="0" w:color="auto"/>
        <w:bottom w:val="none" w:sz="0" w:space="0" w:color="auto"/>
        <w:right w:val="none" w:sz="0" w:space="0" w:color="auto"/>
      </w:divBdr>
    </w:div>
    <w:div w:id="1800371968">
      <w:bodyDiv w:val="1"/>
      <w:marLeft w:val="0"/>
      <w:marRight w:val="0"/>
      <w:marTop w:val="0"/>
      <w:marBottom w:val="0"/>
      <w:divBdr>
        <w:top w:val="none" w:sz="0" w:space="0" w:color="auto"/>
        <w:left w:val="none" w:sz="0" w:space="0" w:color="auto"/>
        <w:bottom w:val="none" w:sz="0" w:space="0" w:color="auto"/>
        <w:right w:val="none" w:sz="0" w:space="0" w:color="auto"/>
      </w:divBdr>
    </w:div>
    <w:div w:id="1820807138">
      <w:bodyDiv w:val="1"/>
      <w:marLeft w:val="0"/>
      <w:marRight w:val="0"/>
      <w:marTop w:val="0"/>
      <w:marBottom w:val="0"/>
      <w:divBdr>
        <w:top w:val="none" w:sz="0" w:space="0" w:color="auto"/>
        <w:left w:val="none" w:sz="0" w:space="0" w:color="auto"/>
        <w:bottom w:val="none" w:sz="0" w:space="0" w:color="auto"/>
        <w:right w:val="none" w:sz="0" w:space="0" w:color="auto"/>
      </w:divBdr>
    </w:div>
    <w:div w:id="1823499208">
      <w:bodyDiv w:val="1"/>
      <w:marLeft w:val="0"/>
      <w:marRight w:val="0"/>
      <w:marTop w:val="0"/>
      <w:marBottom w:val="0"/>
      <w:divBdr>
        <w:top w:val="none" w:sz="0" w:space="0" w:color="auto"/>
        <w:left w:val="none" w:sz="0" w:space="0" w:color="auto"/>
        <w:bottom w:val="none" w:sz="0" w:space="0" w:color="auto"/>
        <w:right w:val="none" w:sz="0" w:space="0" w:color="auto"/>
      </w:divBdr>
    </w:div>
    <w:div w:id="1826118177">
      <w:bodyDiv w:val="1"/>
      <w:marLeft w:val="0"/>
      <w:marRight w:val="0"/>
      <w:marTop w:val="0"/>
      <w:marBottom w:val="0"/>
      <w:divBdr>
        <w:top w:val="none" w:sz="0" w:space="0" w:color="auto"/>
        <w:left w:val="none" w:sz="0" w:space="0" w:color="auto"/>
        <w:bottom w:val="none" w:sz="0" w:space="0" w:color="auto"/>
        <w:right w:val="none" w:sz="0" w:space="0" w:color="auto"/>
      </w:divBdr>
    </w:div>
    <w:div w:id="1828400187">
      <w:bodyDiv w:val="1"/>
      <w:marLeft w:val="0"/>
      <w:marRight w:val="0"/>
      <w:marTop w:val="0"/>
      <w:marBottom w:val="0"/>
      <w:divBdr>
        <w:top w:val="none" w:sz="0" w:space="0" w:color="auto"/>
        <w:left w:val="none" w:sz="0" w:space="0" w:color="auto"/>
        <w:bottom w:val="none" w:sz="0" w:space="0" w:color="auto"/>
        <w:right w:val="none" w:sz="0" w:space="0" w:color="auto"/>
      </w:divBdr>
    </w:div>
    <w:div w:id="1828594469">
      <w:bodyDiv w:val="1"/>
      <w:marLeft w:val="0"/>
      <w:marRight w:val="0"/>
      <w:marTop w:val="0"/>
      <w:marBottom w:val="0"/>
      <w:divBdr>
        <w:top w:val="none" w:sz="0" w:space="0" w:color="auto"/>
        <w:left w:val="none" w:sz="0" w:space="0" w:color="auto"/>
        <w:bottom w:val="none" w:sz="0" w:space="0" w:color="auto"/>
        <w:right w:val="none" w:sz="0" w:space="0" w:color="auto"/>
      </w:divBdr>
    </w:div>
    <w:div w:id="1829639051">
      <w:bodyDiv w:val="1"/>
      <w:marLeft w:val="0"/>
      <w:marRight w:val="0"/>
      <w:marTop w:val="0"/>
      <w:marBottom w:val="0"/>
      <w:divBdr>
        <w:top w:val="none" w:sz="0" w:space="0" w:color="auto"/>
        <w:left w:val="none" w:sz="0" w:space="0" w:color="auto"/>
        <w:bottom w:val="none" w:sz="0" w:space="0" w:color="auto"/>
        <w:right w:val="none" w:sz="0" w:space="0" w:color="auto"/>
      </w:divBdr>
    </w:div>
    <w:div w:id="1852522482">
      <w:bodyDiv w:val="1"/>
      <w:marLeft w:val="0"/>
      <w:marRight w:val="0"/>
      <w:marTop w:val="0"/>
      <w:marBottom w:val="0"/>
      <w:divBdr>
        <w:top w:val="none" w:sz="0" w:space="0" w:color="auto"/>
        <w:left w:val="none" w:sz="0" w:space="0" w:color="auto"/>
        <w:bottom w:val="none" w:sz="0" w:space="0" w:color="auto"/>
        <w:right w:val="none" w:sz="0" w:space="0" w:color="auto"/>
      </w:divBdr>
    </w:div>
    <w:div w:id="1856381368">
      <w:bodyDiv w:val="1"/>
      <w:marLeft w:val="0"/>
      <w:marRight w:val="0"/>
      <w:marTop w:val="0"/>
      <w:marBottom w:val="0"/>
      <w:divBdr>
        <w:top w:val="none" w:sz="0" w:space="0" w:color="auto"/>
        <w:left w:val="none" w:sz="0" w:space="0" w:color="auto"/>
        <w:bottom w:val="none" w:sz="0" w:space="0" w:color="auto"/>
        <w:right w:val="none" w:sz="0" w:space="0" w:color="auto"/>
      </w:divBdr>
    </w:div>
    <w:div w:id="1857184494">
      <w:bodyDiv w:val="1"/>
      <w:marLeft w:val="0"/>
      <w:marRight w:val="0"/>
      <w:marTop w:val="0"/>
      <w:marBottom w:val="0"/>
      <w:divBdr>
        <w:top w:val="none" w:sz="0" w:space="0" w:color="auto"/>
        <w:left w:val="none" w:sz="0" w:space="0" w:color="auto"/>
        <w:bottom w:val="none" w:sz="0" w:space="0" w:color="auto"/>
        <w:right w:val="none" w:sz="0" w:space="0" w:color="auto"/>
      </w:divBdr>
    </w:div>
    <w:div w:id="1864243171">
      <w:bodyDiv w:val="1"/>
      <w:marLeft w:val="0"/>
      <w:marRight w:val="0"/>
      <w:marTop w:val="0"/>
      <w:marBottom w:val="0"/>
      <w:divBdr>
        <w:top w:val="none" w:sz="0" w:space="0" w:color="auto"/>
        <w:left w:val="none" w:sz="0" w:space="0" w:color="auto"/>
        <w:bottom w:val="none" w:sz="0" w:space="0" w:color="auto"/>
        <w:right w:val="none" w:sz="0" w:space="0" w:color="auto"/>
      </w:divBdr>
    </w:div>
    <w:div w:id="1866014351">
      <w:bodyDiv w:val="1"/>
      <w:marLeft w:val="0"/>
      <w:marRight w:val="0"/>
      <w:marTop w:val="0"/>
      <w:marBottom w:val="0"/>
      <w:divBdr>
        <w:top w:val="none" w:sz="0" w:space="0" w:color="auto"/>
        <w:left w:val="none" w:sz="0" w:space="0" w:color="auto"/>
        <w:bottom w:val="none" w:sz="0" w:space="0" w:color="auto"/>
        <w:right w:val="none" w:sz="0" w:space="0" w:color="auto"/>
      </w:divBdr>
    </w:div>
    <w:div w:id="1867209926">
      <w:bodyDiv w:val="1"/>
      <w:marLeft w:val="0"/>
      <w:marRight w:val="0"/>
      <w:marTop w:val="0"/>
      <w:marBottom w:val="0"/>
      <w:divBdr>
        <w:top w:val="none" w:sz="0" w:space="0" w:color="auto"/>
        <w:left w:val="none" w:sz="0" w:space="0" w:color="auto"/>
        <w:bottom w:val="none" w:sz="0" w:space="0" w:color="auto"/>
        <w:right w:val="none" w:sz="0" w:space="0" w:color="auto"/>
      </w:divBdr>
    </w:div>
    <w:div w:id="1874152007">
      <w:bodyDiv w:val="1"/>
      <w:marLeft w:val="0"/>
      <w:marRight w:val="0"/>
      <w:marTop w:val="0"/>
      <w:marBottom w:val="0"/>
      <w:divBdr>
        <w:top w:val="none" w:sz="0" w:space="0" w:color="auto"/>
        <w:left w:val="none" w:sz="0" w:space="0" w:color="auto"/>
        <w:bottom w:val="none" w:sz="0" w:space="0" w:color="auto"/>
        <w:right w:val="none" w:sz="0" w:space="0" w:color="auto"/>
      </w:divBdr>
    </w:div>
    <w:div w:id="1885022903">
      <w:bodyDiv w:val="1"/>
      <w:marLeft w:val="0"/>
      <w:marRight w:val="0"/>
      <w:marTop w:val="0"/>
      <w:marBottom w:val="0"/>
      <w:divBdr>
        <w:top w:val="none" w:sz="0" w:space="0" w:color="auto"/>
        <w:left w:val="none" w:sz="0" w:space="0" w:color="auto"/>
        <w:bottom w:val="none" w:sz="0" w:space="0" w:color="auto"/>
        <w:right w:val="none" w:sz="0" w:space="0" w:color="auto"/>
      </w:divBdr>
    </w:div>
    <w:div w:id="1893887405">
      <w:bodyDiv w:val="1"/>
      <w:marLeft w:val="0"/>
      <w:marRight w:val="0"/>
      <w:marTop w:val="0"/>
      <w:marBottom w:val="0"/>
      <w:divBdr>
        <w:top w:val="none" w:sz="0" w:space="0" w:color="auto"/>
        <w:left w:val="none" w:sz="0" w:space="0" w:color="auto"/>
        <w:bottom w:val="none" w:sz="0" w:space="0" w:color="auto"/>
        <w:right w:val="none" w:sz="0" w:space="0" w:color="auto"/>
      </w:divBdr>
    </w:div>
    <w:div w:id="1895388345">
      <w:bodyDiv w:val="1"/>
      <w:marLeft w:val="0"/>
      <w:marRight w:val="0"/>
      <w:marTop w:val="0"/>
      <w:marBottom w:val="0"/>
      <w:divBdr>
        <w:top w:val="none" w:sz="0" w:space="0" w:color="auto"/>
        <w:left w:val="none" w:sz="0" w:space="0" w:color="auto"/>
        <w:bottom w:val="none" w:sz="0" w:space="0" w:color="auto"/>
        <w:right w:val="none" w:sz="0" w:space="0" w:color="auto"/>
      </w:divBdr>
    </w:div>
    <w:div w:id="1896433379">
      <w:bodyDiv w:val="1"/>
      <w:marLeft w:val="0"/>
      <w:marRight w:val="0"/>
      <w:marTop w:val="0"/>
      <w:marBottom w:val="0"/>
      <w:divBdr>
        <w:top w:val="none" w:sz="0" w:space="0" w:color="auto"/>
        <w:left w:val="none" w:sz="0" w:space="0" w:color="auto"/>
        <w:bottom w:val="none" w:sz="0" w:space="0" w:color="auto"/>
        <w:right w:val="none" w:sz="0" w:space="0" w:color="auto"/>
      </w:divBdr>
    </w:div>
    <w:div w:id="1906137991">
      <w:bodyDiv w:val="1"/>
      <w:marLeft w:val="0"/>
      <w:marRight w:val="0"/>
      <w:marTop w:val="0"/>
      <w:marBottom w:val="0"/>
      <w:divBdr>
        <w:top w:val="none" w:sz="0" w:space="0" w:color="auto"/>
        <w:left w:val="none" w:sz="0" w:space="0" w:color="auto"/>
        <w:bottom w:val="none" w:sz="0" w:space="0" w:color="auto"/>
        <w:right w:val="none" w:sz="0" w:space="0" w:color="auto"/>
      </w:divBdr>
    </w:div>
    <w:div w:id="1909804196">
      <w:bodyDiv w:val="1"/>
      <w:marLeft w:val="0"/>
      <w:marRight w:val="0"/>
      <w:marTop w:val="0"/>
      <w:marBottom w:val="0"/>
      <w:divBdr>
        <w:top w:val="none" w:sz="0" w:space="0" w:color="auto"/>
        <w:left w:val="none" w:sz="0" w:space="0" w:color="auto"/>
        <w:bottom w:val="none" w:sz="0" w:space="0" w:color="auto"/>
        <w:right w:val="none" w:sz="0" w:space="0" w:color="auto"/>
      </w:divBdr>
    </w:div>
    <w:div w:id="1918048496">
      <w:bodyDiv w:val="1"/>
      <w:marLeft w:val="0"/>
      <w:marRight w:val="0"/>
      <w:marTop w:val="0"/>
      <w:marBottom w:val="0"/>
      <w:divBdr>
        <w:top w:val="none" w:sz="0" w:space="0" w:color="auto"/>
        <w:left w:val="none" w:sz="0" w:space="0" w:color="auto"/>
        <w:bottom w:val="none" w:sz="0" w:space="0" w:color="auto"/>
        <w:right w:val="none" w:sz="0" w:space="0" w:color="auto"/>
      </w:divBdr>
    </w:div>
    <w:div w:id="1922445876">
      <w:bodyDiv w:val="1"/>
      <w:marLeft w:val="0"/>
      <w:marRight w:val="0"/>
      <w:marTop w:val="0"/>
      <w:marBottom w:val="0"/>
      <w:divBdr>
        <w:top w:val="none" w:sz="0" w:space="0" w:color="auto"/>
        <w:left w:val="none" w:sz="0" w:space="0" w:color="auto"/>
        <w:bottom w:val="none" w:sz="0" w:space="0" w:color="auto"/>
        <w:right w:val="none" w:sz="0" w:space="0" w:color="auto"/>
      </w:divBdr>
    </w:div>
    <w:div w:id="1949005390">
      <w:bodyDiv w:val="1"/>
      <w:marLeft w:val="0"/>
      <w:marRight w:val="0"/>
      <w:marTop w:val="0"/>
      <w:marBottom w:val="0"/>
      <w:divBdr>
        <w:top w:val="none" w:sz="0" w:space="0" w:color="auto"/>
        <w:left w:val="none" w:sz="0" w:space="0" w:color="auto"/>
        <w:bottom w:val="none" w:sz="0" w:space="0" w:color="auto"/>
        <w:right w:val="none" w:sz="0" w:space="0" w:color="auto"/>
      </w:divBdr>
    </w:div>
    <w:div w:id="1971934497">
      <w:bodyDiv w:val="1"/>
      <w:marLeft w:val="0"/>
      <w:marRight w:val="0"/>
      <w:marTop w:val="0"/>
      <w:marBottom w:val="0"/>
      <w:divBdr>
        <w:top w:val="none" w:sz="0" w:space="0" w:color="auto"/>
        <w:left w:val="none" w:sz="0" w:space="0" w:color="auto"/>
        <w:bottom w:val="none" w:sz="0" w:space="0" w:color="auto"/>
        <w:right w:val="none" w:sz="0" w:space="0" w:color="auto"/>
      </w:divBdr>
    </w:div>
    <w:div w:id="1988973624">
      <w:bodyDiv w:val="1"/>
      <w:marLeft w:val="0"/>
      <w:marRight w:val="0"/>
      <w:marTop w:val="0"/>
      <w:marBottom w:val="0"/>
      <w:divBdr>
        <w:top w:val="none" w:sz="0" w:space="0" w:color="auto"/>
        <w:left w:val="none" w:sz="0" w:space="0" w:color="auto"/>
        <w:bottom w:val="none" w:sz="0" w:space="0" w:color="auto"/>
        <w:right w:val="none" w:sz="0" w:space="0" w:color="auto"/>
      </w:divBdr>
    </w:div>
    <w:div w:id="1995985684">
      <w:bodyDiv w:val="1"/>
      <w:marLeft w:val="0"/>
      <w:marRight w:val="0"/>
      <w:marTop w:val="0"/>
      <w:marBottom w:val="0"/>
      <w:divBdr>
        <w:top w:val="none" w:sz="0" w:space="0" w:color="auto"/>
        <w:left w:val="none" w:sz="0" w:space="0" w:color="auto"/>
        <w:bottom w:val="none" w:sz="0" w:space="0" w:color="auto"/>
        <w:right w:val="none" w:sz="0" w:space="0" w:color="auto"/>
      </w:divBdr>
    </w:div>
    <w:div w:id="1998725621">
      <w:bodyDiv w:val="1"/>
      <w:marLeft w:val="0"/>
      <w:marRight w:val="0"/>
      <w:marTop w:val="0"/>
      <w:marBottom w:val="0"/>
      <w:divBdr>
        <w:top w:val="none" w:sz="0" w:space="0" w:color="auto"/>
        <w:left w:val="none" w:sz="0" w:space="0" w:color="auto"/>
        <w:bottom w:val="none" w:sz="0" w:space="0" w:color="auto"/>
        <w:right w:val="none" w:sz="0" w:space="0" w:color="auto"/>
      </w:divBdr>
    </w:div>
    <w:div w:id="2004159991">
      <w:bodyDiv w:val="1"/>
      <w:marLeft w:val="0"/>
      <w:marRight w:val="0"/>
      <w:marTop w:val="0"/>
      <w:marBottom w:val="0"/>
      <w:divBdr>
        <w:top w:val="none" w:sz="0" w:space="0" w:color="auto"/>
        <w:left w:val="none" w:sz="0" w:space="0" w:color="auto"/>
        <w:bottom w:val="none" w:sz="0" w:space="0" w:color="auto"/>
        <w:right w:val="none" w:sz="0" w:space="0" w:color="auto"/>
      </w:divBdr>
    </w:div>
    <w:div w:id="2010668080">
      <w:bodyDiv w:val="1"/>
      <w:marLeft w:val="0"/>
      <w:marRight w:val="0"/>
      <w:marTop w:val="0"/>
      <w:marBottom w:val="0"/>
      <w:divBdr>
        <w:top w:val="none" w:sz="0" w:space="0" w:color="auto"/>
        <w:left w:val="none" w:sz="0" w:space="0" w:color="auto"/>
        <w:bottom w:val="none" w:sz="0" w:space="0" w:color="auto"/>
        <w:right w:val="none" w:sz="0" w:space="0" w:color="auto"/>
      </w:divBdr>
    </w:div>
    <w:div w:id="2036493140">
      <w:bodyDiv w:val="1"/>
      <w:marLeft w:val="0"/>
      <w:marRight w:val="0"/>
      <w:marTop w:val="0"/>
      <w:marBottom w:val="0"/>
      <w:divBdr>
        <w:top w:val="none" w:sz="0" w:space="0" w:color="auto"/>
        <w:left w:val="none" w:sz="0" w:space="0" w:color="auto"/>
        <w:bottom w:val="none" w:sz="0" w:space="0" w:color="auto"/>
        <w:right w:val="none" w:sz="0" w:space="0" w:color="auto"/>
      </w:divBdr>
    </w:div>
    <w:div w:id="2060470507">
      <w:bodyDiv w:val="1"/>
      <w:marLeft w:val="0"/>
      <w:marRight w:val="0"/>
      <w:marTop w:val="0"/>
      <w:marBottom w:val="0"/>
      <w:divBdr>
        <w:top w:val="none" w:sz="0" w:space="0" w:color="auto"/>
        <w:left w:val="none" w:sz="0" w:space="0" w:color="auto"/>
        <w:bottom w:val="none" w:sz="0" w:space="0" w:color="auto"/>
        <w:right w:val="none" w:sz="0" w:space="0" w:color="auto"/>
      </w:divBdr>
    </w:div>
    <w:div w:id="2061400537">
      <w:bodyDiv w:val="1"/>
      <w:marLeft w:val="0"/>
      <w:marRight w:val="0"/>
      <w:marTop w:val="0"/>
      <w:marBottom w:val="0"/>
      <w:divBdr>
        <w:top w:val="none" w:sz="0" w:space="0" w:color="auto"/>
        <w:left w:val="none" w:sz="0" w:space="0" w:color="auto"/>
        <w:bottom w:val="none" w:sz="0" w:space="0" w:color="auto"/>
        <w:right w:val="none" w:sz="0" w:space="0" w:color="auto"/>
      </w:divBdr>
    </w:div>
    <w:div w:id="2064407774">
      <w:bodyDiv w:val="1"/>
      <w:marLeft w:val="0"/>
      <w:marRight w:val="0"/>
      <w:marTop w:val="0"/>
      <w:marBottom w:val="0"/>
      <w:divBdr>
        <w:top w:val="none" w:sz="0" w:space="0" w:color="auto"/>
        <w:left w:val="none" w:sz="0" w:space="0" w:color="auto"/>
        <w:bottom w:val="none" w:sz="0" w:space="0" w:color="auto"/>
        <w:right w:val="none" w:sz="0" w:space="0" w:color="auto"/>
      </w:divBdr>
    </w:div>
    <w:div w:id="2073695813">
      <w:bodyDiv w:val="1"/>
      <w:marLeft w:val="0"/>
      <w:marRight w:val="0"/>
      <w:marTop w:val="0"/>
      <w:marBottom w:val="0"/>
      <w:divBdr>
        <w:top w:val="none" w:sz="0" w:space="0" w:color="auto"/>
        <w:left w:val="none" w:sz="0" w:space="0" w:color="auto"/>
        <w:bottom w:val="none" w:sz="0" w:space="0" w:color="auto"/>
        <w:right w:val="none" w:sz="0" w:space="0" w:color="auto"/>
      </w:divBdr>
    </w:div>
    <w:div w:id="2076508471">
      <w:bodyDiv w:val="1"/>
      <w:marLeft w:val="0"/>
      <w:marRight w:val="0"/>
      <w:marTop w:val="0"/>
      <w:marBottom w:val="0"/>
      <w:divBdr>
        <w:top w:val="none" w:sz="0" w:space="0" w:color="auto"/>
        <w:left w:val="none" w:sz="0" w:space="0" w:color="auto"/>
        <w:bottom w:val="none" w:sz="0" w:space="0" w:color="auto"/>
        <w:right w:val="none" w:sz="0" w:space="0" w:color="auto"/>
      </w:divBdr>
    </w:div>
    <w:div w:id="2091805708">
      <w:bodyDiv w:val="1"/>
      <w:marLeft w:val="0"/>
      <w:marRight w:val="0"/>
      <w:marTop w:val="0"/>
      <w:marBottom w:val="0"/>
      <w:divBdr>
        <w:top w:val="none" w:sz="0" w:space="0" w:color="auto"/>
        <w:left w:val="none" w:sz="0" w:space="0" w:color="auto"/>
        <w:bottom w:val="none" w:sz="0" w:space="0" w:color="auto"/>
        <w:right w:val="none" w:sz="0" w:space="0" w:color="auto"/>
      </w:divBdr>
    </w:div>
    <w:div w:id="2095661447">
      <w:bodyDiv w:val="1"/>
      <w:marLeft w:val="0"/>
      <w:marRight w:val="0"/>
      <w:marTop w:val="0"/>
      <w:marBottom w:val="0"/>
      <w:divBdr>
        <w:top w:val="none" w:sz="0" w:space="0" w:color="auto"/>
        <w:left w:val="none" w:sz="0" w:space="0" w:color="auto"/>
        <w:bottom w:val="none" w:sz="0" w:space="0" w:color="auto"/>
        <w:right w:val="none" w:sz="0" w:space="0" w:color="auto"/>
      </w:divBdr>
    </w:div>
    <w:div w:id="2098362575">
      <w:bodyDiv w:val="1"/>
      <w:marLeft w:val="0"/>
      <w:marRight w:val="0"/>
      <w:marTop w:val="0"/>
      <w:marBottom w:val="0"/>
      <w:divBdr>
        <w:top w:val="none" w:sz="0" w:space="0" w:color="auto"/>
        <w:left w:val="none" w:sz="0" w:space="0" w:color="auto"/>
        <w:bottom w:val="none" w:sz="0" w:space="0" w:color="auto"/>
        <w:right w:val="none" w:sz="0" w:space="0" w:color="auto"/>
      </w:divBdr>
    </w:div>
    <w:div w:id="2111118261">
      <w:bodyDiv w:val="1"/>
      <w:marLeft w:val="0"/>
      <w:marRight w:val="0"/>
      <w:marTop w:val="0"/>
      <w:marBottom w:val="0"/>
      <w:divBdr>
        <w:top w:val="none" w:sz="0" w:space="0" w:color="auto"/>
        <w:left w:val="none" w:sz="0" w:space="0" w:color="auto"/>
        <w:bottom w:val="none" w:sz="0" w:space="0" w:color="auto"/>
        <w:right w:val="none" w:sz="0" w:space="0" w:color="auto"/>
      </w:divBdr>
    </w:div>
    <w:div w:id="2116319846">
      <w:bodyDiv w:val="1"/>
      <w:marLeft w:val="0"/>
      <w:marRight w:val="0"/>
      <w:marTop w:val="0"/>
      <w:marBottom w:val="0"/>
      <w:divBdr>
        <w:top w:val="none" w:sz="0" w:space="0" w:color="auto"/>
        <w:left w:val="none" w:sz="0" w:space="0" w:color="auto"/>
        <w:bottom w:val="none" w:sz="0" w:space="0" w:color="auto"/>
        <w:right w:val="none" w:sz="0" w:space="0" w:color="auto"/>
      </w:divBdr>
    </w:div>
    <w:div w:id="2125422851">
      <w:bodyDiv w:val="1"/>
      <w:marLeft w:val="0"/>
      <w:marRight w:val="0"/>
      <w:marTop w:val="0"/>
      <w:marBottom w:val="0"/>
      <w:divBdr>
        <w:top w:val="none" w:sz="0" w:space="0" w:color="auto"/>
        <w:left w:val="none" w:sz="0" w:space="0" w:color="auto"/>
        <w:bottom w:val="none" w:sz="0" w:space="0" w:color="auto"/>
        <w:right w:val="none" w:sz="0" w:space="0" w:color="auto"/>
      </w:divBdr>
    </w:div>
    <w:div w:id="2140174656">
      <w:bodyDiv w:val="1"/>
      <w:marLeft w:val="0"/>
      <w:marRight w:val="0"/>
      <w:marTop w:val="0"/>
      <w:marBottom w:val="0"/>
      <w:divBdr>
        <w:top w:val="none" w:sz="0" w:space="0" w:color="auto"/>
        <w:left w:val="none" w:sz="0" w:space="0" w:color="auto"/>
        <w:bottom w:val="none" w:sz="0" w:space="0" w:color="auto"/>
        <w:right w:val="none" w:sz="0" w:space="0" w:color="auto"/>
      </w:divBdr>
    </w:div>
    <w:div w:id="21457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ZAGHOHX/OneDrive%20-%20BDO%20LLP/02%20-%20Audit/2022/171%20-%20UK%20EITI%202021/06%20-%20Excel%20files/03%20-%20V2%20250622%20(Final)/UK%20EITI%202021%20Database%20210622%20(RTs%20received%20only).xlsx" TargetMode="External"/><Relationship Id="rId21" Type="http://schemas.openxmlformats.org/officeDocument/2006/relationships/chart" Target="charts/chart1.xml"/><Relationship Id="rId42" Type="http://schemas.openxmlformats.org/officeDocument/2006/relationships/hyperlink" Target="https://www.londonstockexchange.com/stock/HBR/harbour-energy-plc/company-page" TargetMode="External"/><Relationship Id="rId47" Type="http://schemas.openxmlformats.org/officeDocument/2006/relationships/hyperlink" Target="https://www.londonstockexchange.com/stock/SQZ/serica-energy-plc/company-page" TargetMode="External"/><Relationship Id="rId63" Type="http://schemas.openxmlformats.org/officeDocument/2006/relationships/hyperlink" Target="https://find-and-update.company-information.service.gov.uk/company/01019769/persons-with-significant-control" TargetMode="External"/><Relationship Id="rId68" Type="http://schemas.openxmlformats.org/officeDocument/2006/relationships/hyperlink" Target="https://find-and-update.company-information.service.gov.uk/company/03531783/persons-with-significant-control" TargetMode="External"/><Relationship Id="rId16" Type="http://schemas.openxmlformats.org/officeDocument/2006/relationships/hyperlink" Target="https://www.ukeiti.org/" TargetMode="External"/><Relationship Id="rId11" Type="http://schemas.openxmlformats.org/officeDocument/2006/relationships/image" Target="media/image1.png"/><Relationship Id="rId32" Type="http://schemas.openxmlformats.org/officeDocument/2006/relationships/hyperlink" Target="https://www.londonstockexchange.com/stock/CNA/centrica-plc/company-page" TargetMode="External"/><Relationship Id="rId37" Type="http://schemas.openxmlformats.org/officeDocument/2006/relationships/hyperlink" Target="https://www.borsaitaliana.it/borsa/azioni/scheda/IT0003132476.html?lang=en" TargetMode="External"/><Relationship Id="rId53" Type="http://schemas.openxmlformats.org/officeDocument/2006/relationships/hyperlink" Target="https://www.londonstockexchange.com/stock/TLW/tullow-oil-plc/company-page?lang=en" TargetMode="External"/><Relationship Id="rId58" Type="http://schemas.openxmlformats.org/officeDocument/2006/relationships/hyperlink" Target="https://find-and-update.company-information.service.gov.uk/company/08066733" TargetMode="External"/><Relationship Id="rId74" Type="http://schemas.openxmlformats.org/officeDocument/2006/relationships/hyperlink" Target="https://find-and-update.company-information.service.gov.uk/company/01179300/persons-with-significant-control" TargetMode="External"/><Relationship Id="rId79" Type="http://schemas.openxmlformats.org/officeDocument/2006/relationships/hyperlink" Target="https://www.ukeiti.org/reporting-guidance" TargetMode="External"/><Relationship Id="rId5" Type="http://schemas.openxmlformats.org/officeDocument/2006/relationships/numbering" Target="numbering.xml"/><Relationship Id="rId61" Type="http://schemas.openxmlformats.org/officeDocument/2006/relationships/hyperlink" Target="https://find-and-update.company-information.service.gov.uk/company/10660338/officers" TargetMode="External"/><Relationship Id="rId82" Type="http://schemas.openxmlformats.org/officeDocument/2006/relationships/theme" Target="theme/theme1.xml"/><Relationship Id="rId19" Type="http://schemas.openxmlformats.org/officeDocument/2006/relationships/hyperlink" Target="https://www.legislation.gov.uk/ukpga/1997/8/section/75" TargetMode="External"/><Relationship Id="rId14" Type="http://schemas.openxmlformats.org/officeDocument/2006/relationships/hyperlink" Target="https://www.ukeiti.org/oil-gas" TargetMode="External"/><Relationship Id="rId22" Type="http://schemas.openxmlformats.org/officeDocument/2006/relationships/hyperlink" Target="http://download.companieshouse.gov.uk/en_pscdata.html" TargetMode="External"/><Relationship Id="rId27" Type="http://schemas.openxmlformats.org/officeDocument/2006/relationships/hyperlink" Target="https://live.euronext.com/en/product/equities/NL0000852580-XAMS/company-information" TargetMode="External"/><Relationship Id="rId30" Type="http://schemas.openxmlformats.org/officeDocument/2006/relationships/hyperlink" Target="https://www.londonstockexchange.com/stock/BREE/breedon-group-plc/company-page" TargetMode="External"/><Relationship Id="rId35" Type="http://schemas.openxmlformats.org/officeDocument/2006/relationships/hyperlink" Target="https://money.tmx.com/en/quote/CNQ" TargetMode="External"/><Relationship Id="rId43" Type="http://schemas.openxmlformats.org/officeDocument/2006/relationships/hyperlink" Target="https://www.londonstockexchange.com/stock/ITH/ithaca-energy-plc/company-page" TargetMode="External"/><Relationship Id="rId48" Type="http://schemas.openxmlformats.org/officeDocument/2006/relationships/hyperlink" Target="https://www.nasdaq.com/market-activity/stocks/su" TargetMode="External"/><Relationship Id="rId56" Type="http://schemas.openxmlformats.org/officeDocument/2006/relationships/hyperlink" Target="https://find-and-update.company-information.service.gov.uk/company/04370508/officers" TargetMode="External"/><Relationship Id="rId64" Type="http://schemas.openxmlformats.org/officeDocument/2006/relationships/hyperlink" Target="https://find-and-update.company-information.service.gov.uk/company/NI006389/persons-with-significant-control" TargetMode="External"/><Relationship Id="rId69" Type="http://schemas.openxmlformats.org/officeDocument/2006/relationships/hyperlink" Target="https://find-and-update.company-information.service.gov.uk/company/04653066/persons-with-significant-control" TargetMode="External"/><Relationship Id="rId77" Type="http://schemas.openxmlformats.org/officeDocument/2006/relationships/hyperlink" Target="https://www.gov.uk/government/organisations/companies-house" TargetMode="External"/><Relationship Id="rId8" Type="http://schemas.openxmlformats.org/officeDocument/2006/relationships/webSettings" Target="webSettings.xml"/><Relationship Id="rId51" Type="http://schemas.openxmlformats.org/officeDocument/2006/relationships/hyperlink" Target="https://www.londonstockexchange.com/stock/CRH/crh-plc/company-page" TargetMode="External"/><Relationship Id="rId72" Type="http://schemas.openxmlformats.org/officeDocument/2006/relationships/hyperlink" Target="https://find-and-update.company-information.service.gov.uk/company/FC033971/officers" TargetMode="External"/><Relationship Id="rId80" Type="http://schemas.openxmlformats.org/officeDocument/2006/relationships/hyperlink" Target="mailto:ukeiti@bdo-ifi.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s://www.nasdaq.com/market-activity/stocks/apa" TargetMode="External"/><Relationship Id="rId33" Type="http://schemas.openxmlformats.org/officeDocument/2006/relationships/hyperlink" Target="https://www.nasdaq.com/market-activity/stocks/cvx" TargetMode="External"/><Relationship Id="rId38" Type="http://schemas.openxmlformats.org/officeDocument/2006/relationships/hyperlink" Target="https://www.londonstockexchange.com/stock/ENQ/enquest-plc/company-page" TargetMode="External"/><Relationship Id="rId46" Type="http://schemas.openxmlformats.org/officeDocument/2006/relationships/hyperlink" Target="https://live.euronext.com/en/product/equities/FR0000125007-XPAR" TargetMode="External"/><Relationship Id="rId59" Type="http://schemas.openxmlformats.org/officeDocument/2006/relationships/hyperlink" Target="https://find-and-update.company-information.service.gov.uk/company/04689011/officers" TargetMode="External"/><Relationship Id="rId67" Type="http://schemas.openxmlformats.org/officeDocument/2006/relationships/hyperlink" Target="https://find-and-update.company-information.service.gov.uk/company/09711370/persons-with-significant-control" TargetMode="External"/><Relationship Id="rId20" Type="http://schemas.openxmlformats.org/officeDocument/2006/relationships/hyperlink" Target="https://www.legislation.gov.uk/nisi/1991/1220/contents" TargetMode="External"/><Relationship Id="rId41" Type="http://schemas.openxmlformats.org/officeDocument/2006/relationships/hyperlink" Target="https://www.boerse-frankfurt.de/equity/heidelbergcement-ag" TargetMode="External"/><Relationship Id="rId54" Type="http://schemas.openxmlformats.org/officeDocument/2006/relationships/hyperlink" Target="https://find-and-update.company-information.service.gov.uk/company/01767530/persons-with-significant-control" TargetMode="External"/><Relationship Id="rId62" Type="http://schemas.openxmlformats.org/officeDocument/2006/relationships/hyperlink" Target="https://find-and-update.company-information.service.gov.uk/company/09121775/officers" TargetMode="External"/><Relationship Id="rId70" Type="http://schemas.openxmlformats.org/officeDocument/2006/relationships/hyperlink" Target="https://find-and-update.company-information.service.gov.uk/company/13920571" TargetMode="External"/><Relationship Id="rId75" Type="http://schemas.openxmlformats.org/officeDocument/2006/relationships/hyperlink" Target="https://find-and-update.company-information.service.gov.uk/company/1195707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keiti.org/mining-quarrying" TargetMode="External"/><Relationship Id="rId23" Type="http://schemas.openxmlformats.org/officeDocument/2006/relationships/hyperlink" Target="https://www.six-group.com/en/market-data/shares/share-explorer/share-details.CH0012214059CHF4.html" TargetMode="External"/><Relationship Id="rId28" Type="http://schemas.openxmlformats.org/officeDocument/2006/relationships/hyperlink" Target="file:///C:/Users/ZAGHOHX/OneDrive%20-%20BDO%20LLP/02%20-%20Audit/2022/171%20-%20UK%20EITI%202021/06%20-%20Excel%20files/03%20-%20V2%20250622%20(Final)/UK%20EITI%202021%20Database%20210622%20(RTs%20received%20only).xlsx" TargetMode="External"/><Relationship Id="rId36" Type="http://schemas.openxmlformats.org/officeDocument/2006/relationships/hyperlink" Target="https://live.euronext.com/nl/product/equities/BE0974413453-XBRU" TargetMode="External"/><Relationship Id="rId49" Type="http://schemas.openxmlformats.org/officeDocument/2006/relationships/hyperlink" Target="https://money.tmx.com/en/quote/SU" TargetMode="External"/><Relationship Id="rId57" Type="http://schemas.openxmlformats.org/officeDocument/2006/relationships/hyperlink" Target="https://find-and-update.company-information.service.gov.uk/company/03456891/persons-with-significant-control" TargetMode="External"/><Relationship Id="rId10" Type="http://schemas.openxmlformats.org/officeDocument/2006/relationships/endnotes" Target="endnotes.xml"/><Relationship Id="rId31" Type="http://schemas.openxmlformats.org/officeDocument/2006/relationships/hyperlink" Target="https://www.nasdaq.com/market-activity/stocks/cx" TargetMode="External"/><Relationship Id="rId44" Type="http://schemas.openxmlformats.org/officeDocument/2006/relationships/hyperlink" Target="https://www.bolsasymercados.es/bme-exchange/es/Mercados-y-Cotizaciones/Acciones/Mercado-Continuo/Ficha/Repsol-ES0173516115" TargetMode="External"/><Relationship Id="rId52" Type="http://schemas.openxmlformats.org/officeDocument/2006/relationships/hyperlink" Target="https://live.euronext.com/en/product/equities/FR0000120271-XPAR" TargetMode="External"/><Relationship Id="rId60" Type="http://schemas.openxmlformats.org/officeDocument/2006/relationships/hyperlink" Target="https://find-and-update.company-information.service.gov.uk/company/SC200459/officers" TargetMode="External"/><Relationship Id="rId65" Type="http://schemas.openxmlformats.org/officeDocument/2006/relationships/hyperlink" Target="https://find-and-update.company-information.service.gov.uk/company/12086835/officers" TargetMode="External"/><Relationship Id="rId73" Type="http://schemas.openxmlformats.org/officeDocument/2006/relationships/hyperlink" Target="https://find-and-update.company-information.service.gov.uk/company/01805156/persons-with-significant-control" TargetMode="External"/><Relationship Id="rId78" Type="http://schemas.openxmlformats.org/officeDocument/2006/relationships/hyperlink" Target="https://www.ukeiti.org/beneficial-ownersh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2.xml"/><Relationship Id="rId39" Type="http://schemas.openxmlformats.org/officeDocument/2006/relationships/hyperlink" Target="https://live.euronext.com/en/product/equities/NO0010096985-XOSL" TargetMode="External"/><Relationship Id="rId34" Type="http://schemas.openxmlformats.org/officeDocument/2006/relationships/hyperlink" Target="https://www.hkex.com.hk/Market-Data/Securities-Prices/Equities/Equities-Quote?sym=883&amp;sc_lang=en" TargetMode="External"/><Relationship Id="rId50" Type="http://schemas.openxmlformats.org/officeDocument/2006/relationships/hyperlink" Target="https://www.adx.ae/English/Pages/ProductsAndServices/Securities/SelectCompany/default.aspx?listedcompanyid=AEA002401015&amp;pnavTitle=Abu%20Dhabi%20National%20Energy%20Company" TargetMode="External"/><Relationship Id="rId55" Type="http://schemas.openxmlformats.org/officeDocument/2006/relationships/hyperlink" Target="https://find-and-update.company-information.service.gov.uk/company/02304376/persons-with-significant-control" TargetMode="External"/><Relationship Id="rId76" Type="http://schemas.openxmlformats.org/officeDocument/2006/relationships/hyperlink" Target="https://find-and-update.company-information.service.gov.uk/company/BR009394" TargetMode="External"/><Relationship Id="rId7" Type="http://schemas.openxmlformats.org/officeDocument/2006/relationships/settings" Target="settings.xml"/><Relationship Id="rId71" Type="http://schemas.openxmlformats.org/officeDocument/2006/relationships/hyperlink" Target="https://find-and-update.company-information.service.gov.uk/company/09665181/persons-with-significant-control" TargetMode="External"/><Relationship Id="rId2" Type="http://schemas.openxmlformats.org/officeDocument/2006/relationships/customXml" Target="../customXml/item2.xml"/><Relationship Id="rId29" Type="http://schemas.openxmlformats.org/officeDocument/2006/relationships/hyperlink" Target="https://www.londonstockexchange.com/stock/BP./bp-plc/company-page" TargetMode="External"/><Relationship Id="rId24" Type="http://schemas.openxmlformats.org/officeDocument/2006/relationships/hyperlink" Target="https://www.bursamalaysia.com/bm/trade/trading_resources/listing_directory/company-profile?stock_code=5199" TargetMode="External"/><Relationship Id="rId40" Type="http://schemas.openxmlformats.org/officeDocument/2006/relationships/hyperlink" Target="https://www.nyse.com/quote/XNYS:XOM" TargetMode="External"/><Relationship Id="rId45" Type="http://schemas.openxmlformats.org/officeDocument/2006/relationships/hyperlink" Target="https://www.londonstockexchange.com/stock/SHEL/shell-plc/company-page" TargetMode="External"/><Relationship Id="rId66" Type="http://schemas.openxmlformats.org/officeDocument/2006/relationships/hyperlink" Target="https://find-and-update.company-information.service.gov.uk/company/10647707/persons-with-significant-contro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organisations/companies-house" TargetMode="External"/><Relationship Id="rId3" Type="http://schemas.openxmlformats.org/officeDocument/2006/relationships/hyperlink" Target="https://www.equinor.com/news/20230303-equinor-acquires-suncor-energy-uk" TargetMode="External"/><Relationship Id="rId7" Type="http://schemas.openxmlformats.org/officeDocument/2006/relationships/hyperlink" Target="https://www.eni.com/content/dam/enicom/documents/press-release/migrated/2024-en/01/pr-eni-closing.pdf" TargetMode="External"/><Relationship Id="rId2" Type="http://schemas.openxmlformats.org/officeDocument/2006/relationships/hyperlink" Target="https://www.ukeiti.org/publications-reports" TargetMode="External"/><Relationship Id="rId1" Type="http://schemas.openxmlformats.org/officeDocument/2006/relationships/hyperlink" Target="https://www.ukeiti.org/publications-reports" TargetMode="External"/><Relationship Id="rId6" Type="http://schemas.openxmlformats.org/officeDocument/2006/relationships/hyperlink" Target="https://data.fca.org.uk/" TargetMode="External"/><Relationship Id="rId5" Type="http://schemas.openxmlformats.org/officeDocument/2006/relationships/hyperlink" Target="https://extractives.companieshouse.gov.uk" TargetMode="External"/><Relationship Id="rId4" Type="http://schemas.openxmlformats.org/officeDocument/2006/relationships/hyperlink" Target="http://www.resourceproject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bdouk-my.sharepoint.com/personal/hedi_zaghouani_bdo_co_uk/Documents/02%20-%20Audit/2024/259%20-%20UK%20EITI%202023/14%20-%20Payment%20Report/12%20-%20HZ%20to%20MN%20240924/Copy%20of%202023%20UK%20EITI_Details%20and%20evolution%20of%20extractive%20revenues_230824%20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'(02) Revenues 2014-2023'!$B$29</c:f>
              <c:strCache>
                <c:ptCount val="1"/>
                <c:pt idx="0">
                  <c:v>2014</c:v>
                </c:pt>
              </c:strCache>
            </c:strRef>
          </c:tx>
          <c:spPr>
            <a:solidFill>
              <a:schemeClr val="accent1"/>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2014-2023'!$B$30:$B$32</c:f>
              <c:numCache>
                <c:formatCode>General</c:formatCode>
                <c:ptCount val="3"/>
                <c:pt idx="0">
                  <c:v>3173.3900000000003</c:v>
                </c:pt>
                <c:pt idx="1">
                  <c:v>59.75</c:v>
                </c:pt>
                <c:pt idx="2">
                  <c:v>3233.1400000000003</c:v>
                </c:pt>
              </c:numCache>
            </c:numRef>
          </c:val>
          <c:extLst>
            <c:ext xmlns:c16="http://schemas.microsoft.com/office/drawing/2014/chart" uri="{C3380CC4-5D6E-409C-BE32-E72D297353CC}">
              <c16:uniqueId val="{00000000-182E-4161-842A-6D9CA943B851}"/>
            </c:ext>
          </c:extLst>
        </c:ser>
        <c:ser>
          <c:idx val="1"/>
          <c:order val="1"/>
          <c:tx>
            <c:strRef>
              <c:f>'(02) Revenues 2014-2023'!$C$29</c:f>
              <c:strCache>
                <c:ptCount val="1"/>
                <c:pt idx="0">
                  <c:v>2015</c:v>
                </c:pt>
              </c:strCache>
            </c:strRef>
          </c:tx>
          <c:spPr>
            <a:solidFill>
              <a:schemeClr val="accent2"/>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2014-2023'!$C$30:$C$32</c:f>
              <c:numCache>
                <c:formatCode>General</c:formatCode>
                <c:ptCount val="3"/>
                <c:pt idx="0">
                  <c:v>860.11648670000011</c:v>
                </c:pt>
                <c:pt idx="1">
                  <c:v>55.670243020000001</c:v>
                </c:pt>
                <c:pt idx="2">
                  <c:v>915.78672972000015</c:v>
                </c:pt>
              </c:numCache>
            </c:numRef>
          </c:val>
          <c:extLst>
            <c:ext xmlns:c16="http://schemas.microsoft.com/office/drawing/2014/chart" uri="{C3380CC4-5D6E-409C-BE32-E72D297353CC}">
              <c16:uniqueId val="{00000001-182E-4161-842A-6D9CA943B851}"/>
            </c:ext>
          </c:extLst>
        </c:ser>
        <c:ser>
          <c:idx val="2"/>
          <c:order val="2"/>
          <c:tx>
            <c:strRef>
              <c:f>'(02) Revenues 2014-2023'!$D$29</c:f>
              <c:strCache>
                <c:ptCount val="1"/>
                <c:pt idx="0">
                  <c:v>2016</c:v>
                </c:pt>
              </c:strCache>
            </c:strRef>
          </c:tx>
          <c:spPr>
            <a:solidFill>
              <a:schemeClr val="accent3"/>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2014-2023'!$D$30:$D$32</c:f>
              <c:numCache>
                <c:formatCode>General</c:formatCode>
                <c:ptCount val="3"/>
                <c:pt idx="0">
                  <c:v>-455.07050438623378</c:v>
                </c:pt>
                <c:pt idx="1">
                  <c:v>59.987300049999995</c:v>
                </c:pt>
                <c:pt idx="2">
                  <c:v>-395.08320433623379</c:v>
                </c:pt>
              </c:numCache>
            </c:numRef>
          </c:val>
          <c:extLst>
            <c:ext xmlns:c16="http://schemas.microsoft.com/office/drawing/2014/chart" uri="{C3380CC4-5D6E-409C-BE32-E72D297353CC}">
              <c16:uniqueId val="{00000002-182E-4161-842A-6D9CA943B851}"/>
            </c:ext>
          </c:extLst>
        </c:ser>
        <c:ser>
          <c:idx val="3"/>
          <c:order val="3"/>
          <c:tx>
            <c:strRef>
              <c:f>'(02) Revenues 2014-2023'!$E$29</c:f>
              <c:strCache>
                <c:ptCount val="1"/>
                <c:pt idx="0">
                  <c:v>2017</c:v>
                </c:pt>
              </c:strCache>
            </c:strRef>
          </c:tx>
          <c:spPr>
            <a:solidFill>
              <a:schemeClr val="accent4"/>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2014-2023'!$E$30:$E$32</c:f>
              <c:numCache>
                <c:formatCode>General</c:formatCode>
                <c:ptCount val="3"/>
                <c:pt idx="0">
                  <c:v>936.63000000000011</c:v>
                </c:pt>
                <c:pt idx="1">
                  <c:v>71.449999999999989</c:v>
                </c:pt>
                <c:pt idx="2">
                  <c:v>1008.0800000000002</c:v>
                </c:pt>
              </c:numCache>
            </c:numRef>
          </c:val>
          <c:extLst>
            <c:ext xmlns:c16="http://schemas.microsoft.com/office/drawing/2014/chart" uri="{C3380CC4-5D6E-409C-BE32-E72D297353CC}">
              <c16:uniqueId val="{00000003-182E-4161-842A-6D9CA943B851}"/>
            </c:ext>
          </c:extLst>
        </c:ser>
        <c:ser>
          <c:idx val="4"/>
          <c:order val="4"/>
          <c:tx>
            <c:strRef>
              <c:f>'(02) Revenues 2014-2023'!$F$29</c:f>
              <c:strCache>
                <c:ptCount val="1"/>
                <c:pt idx="0">
                  <c:v>2018</c:v>
                </c:pt>
              </c:strCache>
            </c:strRef>
          </c:tx>
          <c:spPr>
            <a:solidFill>
              <a:schemeClr val="accent5"/>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2014-2023'!$F$30:$F$32</c:f>
              <c:numCache>
                <c:formatCode>General</c:formatCode>
                <c:ptCount val="3"/>
                <c:pt idx="0">
                  <c:v>1195.17</c:v>
                </c:pt>
                <c:pt idx="1">
                  <c:v>55.03</c:v>
                </c:pt>
                <c:pt idx="2">
                  <c:v>1250.2</c:v>
                </c:pt>
              </c:numCache>
            </c:numRef>
          </c:val>
          <c:extLst>
            <c:ext xmlns:c16="http://schemas.microsoft.com/office/drawing/2014/chart" uri="{C3380CC4-5D6E-409C-BE32-E72D297353CC}">
              <c16:uniqueId val="{00000004-182E-4161-842A-6D9CA943B851}"/>
            </c:ext>
          </c:extLst>
        </c:ser>
        <c:ser>
          <c:idx val="5"/>
          <c:order val="5"/>
          <c:tx>
            <c:strRef>
              <c:f>'(02) Revenues 2014-2023'!$G$29</c:f>
              <c:strCache>
                <c:ptCount val="1"/>
                <c:pt idx="0">
                  <c:v>2019</c:v>
                </c:pt>
              </c:strCache>
            </c:strRef>
          </c:tx>
          <c:spPr>
            <a:solidFill>
              <a:schemeClr val="accent6"/>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2014-2023'!$G$30:$G$32</c:f>
              <c:numCache>
                <c:formatCode>General</c:formatCode>
                <c:ptCount val="3"/>
                <c:pt idx="0">
                  <c:v>1443.3700000000001</c:v>
                </c:pt>
                <c:pt idx="1">
                  <c:v>70.25</c:v>
                </c:pt>
                <c:pt idx="2">
                  <c:v>1513.6200000000001</c:v>
                </c:pt>
              </c:numCache>
            </c:numRef>
          </c:val>
          <c:extLst>
            <c:ext xmlns:c16="http://schemas.microsoft.com/office/drawing/2014/chart" uri="{C3380CC4-5D6E-409C-BE32-E72D297353CC}">
              <c16:uniqueId val="{00000005-182E-4161-842A-6D9CA943B851}"/>
            </c:ext>
          </c:extLst>
        </c:ser>
        <c:ser>
          <c:idx val="6"/>
          <c:order val="6"/>
          <c:tx>
            <c:strRef>
              <c:f>'(02) Revenues 2014-2023'!$H$29</c:f>
              <c:strCache>
                <c:ptCount val="1"/>
                <c:pt idx="0">
                  <c:v>2020</c:v>
                </c:pt>
              </c:strCache>
            </c:strRef>
          </c:tx>
          <c:spPr>
            <a:solidFill>
              <a:schemeClr val="accent1">
                <a:lumMod val="60000"/>
              </a:schemeClr>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2014-2023'!$H$30:$H$32</c:f>
              <c:numCache>
                <c:formatCode>General</c:formatCode>
                <c:ptCount val="3"/>
                <c:pt idx="0">
                  <c:v>222.84040023999989</c:v>
                </c:pt>
                <c:pt idx="1">
                  <c:v>43.472406837999998</c:v>
                </c:pt>
                <c:pt idx="2">
                  <c:v>266.31280707799988</c:v>
                </c:pt>
              </c:numCache>
            </c:numRef>
          </c:val>
          <c:extLst>
            <c:ext xmlns:c16="http://schemas.microsoft.com/office/drawing/2014/chart" uri="{C3380CC4-5D6E-409C-BE32-E72D297353CC}">
              <c16:uniqueId val="{00000006-182E-4161-842A-6D9CA943B851}"/>
            </c:ext>
          </c:extLst>
        </c:ser>
        <c:ser>
          <c:idx val="7"/>
          <c:order val="7"/>
          <c:tx>
            <c:strRef>
              <c:f>'(02) Revenues 2014-2023'!$I$29</c:f>
              <c:strCache>
                <c:ptCount val="1"/>
                <c:pt idx="0">
                  <c:v>2021</c:v>
                </c:pt>
              </c:strCache>
            </c:strRef>
          </c:tx>
          <c:spPr>
            <a:solidFill>
              <a:schemeClr val="accent2">
                <a:lumMod val="60000"/>
              </a:schemeClr>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2014-2023'!$I$30:$I$32</c:f>
              <c:numCache>
                <c:formatCode>General</c:formatCode>
                <c:ptCount val="3"/>
                <c:pt idx="0">
                  <c:v>915.54533339</c:v>
                </c:pt>
                <c:pt idx="1">
                  <c:v>87.811917720000011</c:v>
                </c:pt>
                <c:pt idx="2">
                  <c:v>1003.35725111</c:v>
                </c:pt>
              </c:numCache>
            </c:numRef>
          </c:val>
          <c:extLst>
            <c:ext xmlns:c16="http://schemas.microsoft.com/office/drawing/2014/chart" uri="{C3380CC4-5D6E-409C-BE32-E72D297353CC}">
              <c16:uniqueId val="{00000007-182E-4161-842A-6D9CA943B851}"/>
            </c:ext>
          </c:extLst>
        </c:ser>
        <c:ser>
          <c:idx val="8"/>
          <c:order val="8"/>
          <c:tx>
            <c:strRef>
              <c:f>'(02) Revenues 2014-2023'!$J$29</c:f>
              <c:strCache>
                <c:ptCount val="1"/>
                <c:pt idx="0">
                  <c:v>2022</c:v>
                </c:pt>
              </c:strCache>
            </c:strRef>
          </c:tx>
          <c:spPr>
            <a:solidFill>
              <a:schemeClr val="accent3">
                <a:lumMod val="60000"/>
              </a:schemeClr>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2014-2023'!$J$30:$J$32</c:f>
              <c:numCache>
                <c:formatCode>General</c:formatCode>
                <c:ptCount val="3"/>
                <c:pt idx="0">
                  <c:v>6825.3175144400002</c:v>
                </c:pt>
                <c:pt idx="1">
                  <c:v>55.357978380000006</c:v>
                </c:pt>
                <c:pt idx="2">
                  <c:v>6880.6754928199998</c:v>
                </c:pt>
              </c:numCache>
            </c:numRef>
          </c:val>
          <c:extLst>
            <c:ext xmlns:c16="http://schemas.microsoft.com/office/drawing/2014/chart" uri="{C3380CC4-5D6E-409C-BE32-E72D297353CC}">
              <c16:uniqueId val="{00000008-182E-4161-842A-6D9CA943B851}"/>
            </c:ext>
          </c:extLst>
        </c:ser>
        <c:ser>
          <c:idx val="9"/>
          <c:order val="9"/>
          <c:tx>
            <c:strRef>
              <c:f>'(02) Revenues 2014-2023'!$K$29</c:f>
              <c:strCache>
                <c:ptCount val="1"/>
                <c:pt idx="0">
                  <c:v>2023</c:v>
                </c:pt>
              </c:strCache>
            </c:strRef>
          </c:tx>
          <c:spPr>
            <a:solidFill>
              <a:schemeClr val="accent4">
                <a:lumMod val="60000"/>
              </a:schemeClr>
            </a:solidFill>
            <a:ln>
              <a:noFill/>
            </a:ln>
            <a:effectLst/>
          </c:spPr>
          <c:invertIfNegative val="0"/>
          <c:dLbls>
            <c:spPr>
              <a:solidFill>
                <a:schemeClr val="bg1"/>
              </a:solid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strRef>
              <c:f>'(02) Revenues 2014-2023'!$A$30:$A$32</c:f>
              <c:strCache>
                <c:ptCount val="3"/>
                <c:pt idx="0">
                  <c:v>O&amp;G</c:v>
                </c:pt>
                <c:pt idx="1">
                  <c:v>M&amp;Q</c:v>
                </c:pt>
                <c:pt idx="2">
                  <c:v>Total</c:v>
                </c:pt>
              </c:strCache>
            </c:strRef>
          </c:cat>
          <c:val>
            <c:numRef>
              <c:f>'(02) Revenues 2014-2023'!$K$30:$K$32</c:f>
              <c:numCache>
                <c:formatCode>General</c:formatCode>
                <c:ptCount val="3"/>
                <c:pt idx="0">
                  <c:v>7495.7555566072833</c:v>
                </c:pt>
                <c:pt idx="1">
                  <c:v>148.282404074</c:v>
                </c:pt>
                <c:pt idx="2">
                  <c:v>7644.037960681283</c:v>
                </c:pt>
              </c:numCache>
            </c:numRef>
          </c:val>
          <c:extLst>
            <c:ext xmlns:c16="http://schemas.microsoft.com/office/drawing/2014/chart" uri="{C3380CC4-5D6E-409C-BE32-E72D297353CC}">
              <c16:uniqueId val="{00000009-182E-4161-842A-6D9CA943B851}"/>
            </c:ext>
          </c:extLst>
        </c:ser>
        <c:dLbls>
          <c:showLegendKey val="0"/>
          <c:showVal val="0"/>
          <c:showCatName val="0"/>
          <c:showSerName val="0"/>
          <c:showPercent val="0"/>
          <c:showBubbleSize val="0"/>
        </c:dLbls>
        <c:gapWidth val="219"/>
        <c:overlap val="-27"/>
        <c:axId val="1207576495"/>
        <c:axId val="1207587055"/>
      </c:barChart>
      <c:catAx>
        <c:axId val="1207576495"/>
        <c:scaling>
          <c:orientation val="minMax"/>
        </c:scaling>
        <c:delete val="0"/>
        <c:axPos val="b"/>
        <c:numFmt formatCode="General"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07587055"/>
        <c:crosses val="autoZero"/>
        <c:auto val="1"/>
        <c:lblAlgn val="ctr"/>
        <c:lblOffset val="100"/>
        <c:noMultiLvlLbl val="0"/>
      </c:catAx>
      <c:valAx>
        <c:axId val="1207587055"/>
        <c:scaling>
          <c:orientation val="minMax"/>
          <c:max val="8750"/>
          <c:min val="-1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 million</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07576495"/>
        <c:crosses val="autoZero"/>
        <c:crossBetween val="between"/>
        <c:majorUnit val="5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73232EBE4CB4BBBB01CF679333667" ma:contentTypeVersion="23" ma:contentTypeDescription="Create a new document." ma:contentTypeScope="" ma:versionID="a9a4beaaee7baf323eefd709f2949f86">
  <xsd:schema xmlns:xsd="http://www.w3.org/2001/XMLSchema" xmlns:xs="http://www.w3.org/2001/XMLSchema" xmlns:p="http://schemas.microsoft.com/office/2006/metadata/properties" xmlns:ns2="deee4ff9-25d8-4092-a47c-041c6cde6848" xmlns:ns3="d8b835c3-d8af-4195-9f46-a0c7f37ab64b" targetNamespace="http://schemas.microsoft.com/office/2006/metadata/properties" ma:root="true" ma:fieldsID="f189c1b25ea292ea0acbd5770d4900dd" ns2:_="" ns3:_="">
    <xsd:import namespace="deee4ff9-25d8-4092-a47c-041c6cde6848"/>
    <xsd:import namespace="d8b835c3-d8af-4195-9f46-a0c7f37ab6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Imagetag" minOccurs="0"/>
                <xsd:element ref="ns3:Photograph_x002f_Source" minOccurs="0"/>
                <xsd:element ref="ns3:Imag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4ff9-25d8-4092-a47c-041c6cde6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9cecb5-4e20-42a7-8bf3-d7bb27ffec0e}" ma:internalName="TaxCatchAll" ma:showField="CatchAllData" ma:web="deee4ff9-25d8-4092-a47c-041c6cde6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b835c3-d8af-4195-9f46-a0c7f37ab6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ternalName="MediaServiceLocation" ma:readOnly="true">
      <xsd:simpleType>
        <xsd:restriction base="dms:Text"/>
      </xsd:simpleType>
    </xsd:element>
    <xsd:element name="Imagetag" ma:index="20" nillable="true" ma:displayName="Image tag" ma:format="Dropdown" ma:internalName="Imagetag">
      <xsd:complexType>
        <xsd:complexContent>
          <xsd:extension base="dms:MultiChoice">
            <xsd:sequence>
              <xsd:element name="Value" maxOccurs="unbounded" minOccurs="0" nillable="true">
                <xsd:simpleType>
                  <xsd:restriction base="dms:Choice">
                    <xsd:enumeration value="Environment"/>
                    <xsd:enumeration value="Social"/>
                    <xsd:enumeration value="Urban"/>
                    <xsd:enumeration value="Rural"/>
                  </xsd:restriction>
                </xsd:simpleType>
              </xsd:element>
            </xsd:sequence>
          </xsd:extension>
        </xsd:complexContent>
      </xsd:complexType>
    </xsd:element>
    <xsd:element name="Photograph_x002f_Source" ma:index="21" nillable="true" ma:displayName="Photograph/Source" ma:format="Dropdown" ma:internalName="Photograph_x002f_Source">
      <xsd:simpleType>
        <xsd:restriction base="dms:Text">
          <xsd:maxLength value="255"/>
        </xsd:restriction>
      </xsd:simpleType>
    </xsd:element>
    <xsd:element name="Imagelocation" ma:index="22" nillable="true" ma:displayName="Image location" ma:format="Dropdown" ma:internalName="Imagelocation">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andtime" ma:index="30" nillable="true" ma:displayName="Date and time" ma:format="DateTime"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ee4ff9-25d8-4092-a47c-041c6cde6848" xsi:nil="true"/>
    <SharedWithUsers xmlns="deee4ff9-25d8-4092-a47c-041c6cde6848">
      <UserInfo>
        <DisplayName>Wallace, Nicola (BEIS)</DisplayName>
        <AccountId>9064</AccountId>
        <AccountType/>
      </UserInfo>
      <UserInfo>
        <DisplayName>Nash, Michael (Business Frameworks)</DisplayName>
        <AccountId>6006</AccountId>
        <AccountType/>
      </UserInfo>
    </SharedWithUsers>
    <lcf76f155ced4ddcb4097134ff3c332f xmlns="d8b835c3-d8af-4195-9f46-a0c7f37ab64b">
      <Terms xmlns="http://schemas.microsoft.com/office/infopath/2007/PartnerControls"/>
    </lcf76f155ced4ddcb4097134ff3c332f>
    <_Flow_SignoffStatus xmlns="d8b835c3-d8af-4195-9f46-a0c7f37ab64b" xsi:nil="true"/>
    <Photograph_x002f_Source xmlns="d8b835c3-d8af-4195-9f46-a0c7f37ab64b" xsi:nil="true"/>
    <Imagelocation xmlns="d8b835c3-d8af-4195-9f46-a0c7f37ab64b" xsi:nil="true"/>
    <Imagetag xmlns="d8b835c3-d8af-4195-9f46-a0c7f37ab64b" xsi:nil="true"/>
    <Dateandtime xmlns="d8b835c3-d8af-4195-9f46-a0c7f37ab6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8E0DD-4396-4C86-85C6-0B5EA3658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4ff9-25d8-4092-a47c-041c6cde6848"/>
    <ds:schemaRef ds:uri="d8b835c3-d8af-4195-9f46-a0c7f37ab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220DA-EEB8-44AF-8FAF-AB4094ECC6DE}">
  <ds:schemaRefs>
    <ds:schemaRef ds:uri="http://schemas.microsoft.com/office/2006/metadata/properties"/>
    <ds:schemaRef ds:uri="http://schemas.microsoft.com/office/infopath/2007/PartnerControls"/>
    <ds:schemaRef ds:uri="deee4ff9-25d8-4092-a47c-041c6cde6848"/>
    <ds:schemaRef ds:uri="d8b835c3-d8af-4195-9f46-a0c7f37ab64b"/>
  </ds:schemaRefs>
</ds:datastoreItem>
</file>

<file path=customXml/itemProps3.xml><?xml version="1.0" encoding="utf-8"?>
<ds:datastoreItem xmlns:ds="http://schemas.openxmlformats.org/officeDocument/2006/customXml" ds:itemID="{88F1A70C-E24A-4A59-B821-18740EFB8555}">
  <ds:schemaRefs>
    <ds:schemaRef ds:uri="http://schemas.openxmlformats.org/officeDocument/2006/bibliography"/>
  </ds:schemaRefs>
</ds:datastoreItem>
</file>

<file path=customXml/itemProps4.xml><?xml version="1.0" encoding="utf-8"?>
<ds:datastoreItem xmlns:ds="http://schemas.openxmlformats.org/officeDocument/2006/customXml" ds:itemID="{C5E0FC05-5D96-42B9-A785-AB8EAFB19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4565</Words>
  <Characters>26024</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UK EITI Payments Report for 2023</vt:lpstr>
    </vt:vector>
  </TitlesOfParts>
  <Company/>
  <LinksUpToDate>false</LinksUpToDate>
  <CharactersWithSpaces>30528</CharactersWithSpaces>
  <SharedDoc>false</SharedDoc>
  <HLinks>
    <vt:vector size="528" baseType="variant">
      <vt:variant>
        <vt:i4>2621519</vt:i4>
      </vt:variant>
      <vt:variant>
        <vt:i4>324</vt:i4>
      </vt:variant>
      <vt:variant>
        <vt:i4>0</vt:i4>
      </vt:variant>
      <vt:variant>
        <vt:i4>5</vt:i4>
      </vt:variant>
      <vt:variant>
        <vt:lpwstr>mailto:ukeiti@bdo-ifi.com</vt:lpwstr>
      </vt:variant>
      <vt:variant>
        <vt:lpwstr/>
      </vt:variant>
      <vt:variant>
        <vt:i4>5832725</vt:i4>
      </vt:variant>
      <vt:variant>
        <vt:i4>321</vt:i4>
      </vt:variant>
      <vt:variant>
        <vt:i4>0</vt:i4>
      </vt:variant>
      <vt:variant>
        <vt:i4>5</vt:i4>
      </vt:variant>
      <vt:variant>
        <vt:lpwstr>https://www.ukeiti.org/reporting-guidance</vt:lpwstr>
      </vt:variant>
      <vt:variant>
        <vt:lpwstr/>
      </vt:variant>
      <vt:variant>
        <vt:i4>6684704</vt:i4>
      </vt:variant>
      <vt:variant>
        <vt:i4>318</vt:i4>
      </vt:variant>
      <vt:variant>
        <vt:i4>0</vt:i4>
      </vt:variant>
      <vt:variant>
        <vt:i4>5</vt:i4>
      </vt:variant>
      <vt:variant>
        <vt:lpwstr>https://www.ukeiti.org/beneficial-ownership</vt:lpwstr>
      </vt:variant>
      <vt:variant>
        <vt:lpwstr/>
      </vt:variant>
      <vt:variant>
        <vt:i4>3866731</vt:i4>
      </vt:variant>
      <vt:variant>
        <vt:i4>315</vt:i4>
      </vt:variant>
      <vt:variant>
        <vt:i4>0</vt:i4>
      </vt:variant>
      <vt:variant>
        <vt:i4>5</vt:i4>
      </vt:variant>
      <vt:variant>
        <vt:lpwstr>https://www.gov.uk/government/organisations/companies-house</vt:lpwstr>
      </vt:variant>
      <vt:variant>
        <vt:lpwstr/>
      </vt:variant>
      <vt:variant>
        <vt:i4>6750262</vt:i4>
      </vt:variant>
      <vt:variant>
        <vt:i4>312</vt:i4>
      </vt:variant>
      <vt:variant>
        <vt:i4>0</vt:i4>
      </vt:variant>
      <vt:variant>
        <vt:i4>5</vt:i4>
      </vt:variant>
      <vt:variant>
        <vt:lpwstr>https://find-and-update.company-information.service.gov.uk/company/BR009394</vt:lpwstr>
      </vt:variant>
      <vt:variant>
        <vt:lpwstr/>
      </vt:variant>
      <vt:variant>
        <vt:i4>3997811</vt:i4>
      </vt:variant>
      <vt:variant>
        <vt:i4>309</vt:i4>
      </vt:variant>
      <vt:variant>
        <vt:i4>0</vt:i4>
      </vt:variant>
      <vt:variant>
        <vt:i4>5</vt:i4>
      </vt:variant>
      <vt:variant>
        <vt:lpwstr>https://find-and-update.company-information.service.gov.uk/company/11957078</vt:lpwstr>
      </vt:variant>
      <vt:variant>
        <vt:lpwstr/>
      </vt:variant>
      <vt:variant>
        <vt:i4>5505095</vt:i4>
      </vt:variant>
      <vt:variant>
        <vt:i4>306</vt:i4>
      </vt:variant>
      <vt:variant>
        <vt:i4>0</vt:i4>
      </vt:variant>
      <vt:variant>
        <vt:i4>5</vt:i4>
      </vt:variant>
      <vt:variant>
        <vt:lpwstr>https://find-and-update.company-information.service.gov.uk/company/01179300/persons-with-significant-control</vt:lpwstr>
      </vt:variant>
      <vt:variant>
        <vt:lpwstr/>
      </vt:variant>
      <vt:variant>
        <vt:i4>5505092</vt:i4>
      </vt:variant>
      <vt:variant>
        <vt:i4>303</vt:i4>
      </vt:variant>
      <vt:variant>
        <vt:i4>0</vt:i4>
      </vt:variant>
      <vt:variant>
        <vt:i4>5</vt:i4>
      </vt:variant>
      <vt:variant>
        <vt:lpwstr>https://find-and-update.company-information.service.gov.uk/company/01805156/persons-with-significant-control</vt:lpwstr>
      </vt:variant>
      <vt:variant>
        <vt:lpwstr/>
      </vt:variant>
      <vt:variant>
        <vt:i4>5308423</vt:i4>
      </vt:variant>
      <vt:variant>
        <vt:i4>300</vt:i4>
      </vt:variant>
      <vt:variant>
        <vt:i4>0</vt:i4>
      </vt:variant>
      <vt:variant>
        <vt:i4>5</vt:i4>
      </vt:variant>
      <vt:variant>
        <vt:lpwstr>https://find-and-update.company-information.service.gov.uk/company/FC033971/officers</vt:lpwstr>
      </vt:variant>
      <vt:variant>
        <vt:lpwstr/>
      </vt:variant>
      <vt:variant>
        <vt:i4>5701709</vt:i4>
      </vt:variant>
      <vt:variant>
        <vt:i4>297</vt:i4>
      </vt:variant>
      <vt:variant>
        <vt:i4>0</vt:i4>
      </vt:variant>
      <vt:variant>
        <vt:i4>5</vt:i4>
      </vt:variant>
      <vt:variant>
        <vt:lpwstr>https://find-and-update.company-information.service.gov.uk/company/09665181/persons-with-significant-control</vt:lpwstr>
      </vt:variant>
      <vt:variant>
        <vt:lpwstr/>
      </vt:variant>
      <vt:variant>
        <vt:i4>3801203</vt:i4>
      </vt:variant>
      <vt:variant>
        <vt:i4>294</vt:i4>
      </vt:variant>
      <vt:variant>
        <vt:i4>0</vt:i4>
      </vt:variant>
      <vt:variant>
        <vt:i4>5</vt:i4>
      </vt:variant>
      <vt:variant>
        <vt:lpwstr>https://find-and-update.company-information.service.gov.uk/company/13920571</vt:lpwstr>
      </vt:variant>
      <vt:variant>
        <vt:lpwstr/>
      </vt:variant>
      <vt:variant>
        <vt:i4>6225989</vt:i4>
      </vt:variant>
      <vt:variant>
        <vt:i4>291</vt:i4>
      </vt:variant>
      <vt:variant>
        <vt:i4>0</vt:i4>
      </vt:variant>
      <vt:variant>
        <vt:i4>5</vt:i4>
      </vt:variant>
      <vt:variant>
        <vt:lpwstr>https://find-and-update.company-information.service.gov.uk/company/04653066/persons-with-significant-control</vt:lpwstr>
      </vt:variant>
      <vt:variant>
        <vt:lpwstr/>
      </vt:variant>
      <vt:variant>
        <vt:i4>5242950</vt:i4>
      </vt:variant>
      <vt:variant>
        <vt:i4>288</vt:i4>
      </vt:variant>
      <vt:variant>
        <vt:i4>0</vt:i4>
      </vt:variant>
      <vt:variant>
        <vt:i4>5</vt:i4>
      </vt:variant>
      <vt:variant>
        <vt:lpwstr>https://find-and-update.company-information.service.gov.uk/company/03531783/persons-with-significant-control</vt:lpwstr>
      </vt:variant>
      <vt:variant>
        <vt:lpwstr/>
      </vt:variant>
      <vt:variant>
        <vt:i4>6094921</vt:i4>
      </vt:variant>
      <vt:variant>
        <vt:i4>285</vt:i4>
      </vt:variant>
      <vt:variant>
        <vt:i4>0</vt:i4>
      </vt:variant>
      <vt:variant>
        <vt:i4>5</vt:i4>
      </vt:variant>
      <vt:variant>
        <vt:lpwstr>https://find-and-update.company-information.service.gov.uk/company/09711370/persons-with-significant-control</vt:lpwstr>
      </vt:variant>
      <vt:variant>
        <vt:lpwstr/>
      </vt:variant>
      <vt:variant>
        <vt:i4>6029382</vt:i4>
      </vt:variant>
      <vt:variant>
        <vt:i4>282</vt:i4>
      </vt:variant>
      <vt:variant>
        <vt:i4>0</vt:i4>
      </vt:variant>
      <vt:variant>
        <vt:i4>5</vt:i4>
      </vt:variant>
      <vt:variant>
        <vt:lpwstr>https://find-and-update.company-information.service.gov.uk/company/10647707/persons-with-significant-control</vt:lpwstr>
      </vt:variant>
      <vt:variant>
        <vt:lpwstr/>
      </vt:variant>
      <vt:variant>
        <vt:i4>458840</vt:i4>
      </vt:variant>
      <vt:variant>
        <vt:i4>279</vt:i4>
      </vt:variant>
      <vt:variant>
        <vt:i4>0</vt:i4>
      </vt:variant>
      <vt:variant>
        <vt:i4>5</vt:i4>
      </vt:variant>
      <vt:variant>
        <vt:lpwstr>https://find-and-update.company-information.service.gov.uk/company/12086835/officers</vt:lpwstr>
      </vt:variant>
      <vt:variant>
        <vt:lpwstr/>
      </vt:variant>
      <vt:variant>
        <vt:i4>786449</vt:i4>
      </vt:variant>
      <vt:variant>
        <vt:i4>276</vt:i4>
      </vt:variant>
      <vt:variant>
        <vt:i4>0</vt:i4>
      </vt:variant>
      <vt:variant>
        <vt:i4>5</vt:i4>
      </vt:variant>
      <vt:variant>
        <vt:lpwstr>https://find-and-update.company-information.service.gov.uk/company/NI006389/persons-with-significant-control</vt:lpwstr>
      </vt:variant>
      <vt:variant>
        <vt:lpwstr/>
      </vt:variant>
      <vt:variant>
        <vt:i4>5439564</vt:i4>
      </vt:variant>
      <vt:variant>
        <vt:i4>273</vt:i4>
      </vt:variant>
      <vt:variant>
        <vt:i4>0</vt:i4>
      </vt:variant>
      <vt:variant>
        <vt:i4>5</vt:i4>
      </vt:variant>
      <vt:variant>
        <vt:lpwstr>https://find-and-update.company-information.service.gov.uk/company/01019769/persons-with-significant-control</vt:lpwstr>
      </vt:variant>
      <vt:variant>
        <vt:lpwstr/>
      </vt:variant>
      <vt:variant>
        <vt:i4>262230</vt:i4>
      </vt:variant>
      <vt:variant>
        <vt:i4>270</vt:i4>
      </vt:variant>
      <vt:variant>
        <vt:i4>0</vt:i4>
      </vt:variant>
      <vt:variant>
        <vt:i4>5</vt:i4>
      </vt:variant>
      <vt:variant>
        <vt:lpwstr>https://find-and-update.company-information.service.gov.uk/company/09121775/officers</vt:lpwstr>
      </vt:variant>
      <vt:variant>
        <vt:lpwstr/>
      </vt:variant>
      <vt:variant>
        <vt:i4>458834</vt:i4>
      </vt:variant>
      <vt:variant>
        <vt:i4>267</vt:i4>
      </vt:variant>
      <vt:variant>
        <vt:i4>0</vt:i4>
      </vt:variant>
      <vt:variant>
        <vt:i4>5</vt:i4>
      </vt:variant>
      <vt:variant>
        <vt:lpwstr>https://find-and-update.company-information.service.gov.uk/company/10660338/officers</vt:lpwstr>
      </vt:variant>
      <vt:variant>
        <vt:lpwstr/>
      </vt:variant>
      <vt:variant>
        <vt:i4>4653057</vt:i4>
      </vt:variant>
      <vt:variant>
        <vt:i4>264</vt:i4>
      </vt:variant>
      <vt:variant>
        <vt:i4>0</vt:i4>
      </vt:variant>
      <vt:variant>
        <vt:i4>5</vt:i4>
      </vt:variant>
      <vt:variant>
        <vt:lpwstr>https://find-and-update.company-information.service.gov.uk/company/SC200459/officers</vt:lpwstr>
      </vt:variant>
      <vt:variant>
        <vt:lpwstr/>
      </vt:variant>
      <vt:variant>
        <vt:i4>852050</vt:i4>
      </vt:variant>
      <vt:variant>
        <vt:i4>261</vt:i4>
      </vt:variant>
      <vt:variant>
        <vt:i4>0</vt:i4>
      </vt:variant>
      <vt:variant>
        <vt:i4>5</vt:i4>
      </vt:variant>
      <vt:variant>
        <vt:lpwstr>https://find-and-update.company-information.service.gov.uk/company/04689011/officers</vt:lpwstr>
      </vt:variant>
      <vt:variant>
        <vt:lpwstr/>
      </vt:variant>
      <vt:variant>
        <vt:i4>3145854</vt:i4>
      </vt:variant>
      <vt:variant>
        <vt:i4>258</vt:i4>
      </vt:variant>
      <vt:variant>
        <vt:i4>0</vt:i4>
      </vt:variant>
      <vt:variant>
        <vt:i4>5</vt:i4>
      </vt:variant>
      <vt:variant>
        <vt:lpwstr>https://find-and-update.company-information.service.gov.uk/company/08066733</vt:lpwstr>
      </vt:variant>
      <vt:variant>
        <vt:lpwstr/>
      </vt:variant>
      <vt:variant>
        <vt:i4>5701709</vt:i4>
      </vt:variant>
      <vt:variant>
        <vt:i4>255</vt:i4>
      </vt:variant>
      <vt:variant>
        <vt:i4>0</vt:i4>
      </vt:variant>
      <vt:variant>
        <vt:i4>5</vt:i4>
      </vt:variant>
      <vt:variant>
        <vt:lpwstr>https://find-and-update.company-information.service.gov.uk/company/03456891/persons-with-significant-control</vt:lpwstr>
      </vt:variant>
      <vt:variant>
        <vt:lpwstr/>
      </vt:variant>
      <vt:variant>
        <vt:i4>81</vt:i4>
      </vt:variant>
      <vt:variant>
        <vt:i4>252</vt:i4>
      </vt:variant>
      <vt:variant>
        <vt:i4>0</vt:i4>
      </vt:variant>
      <vt:variant>
        <vt:i4>5</vt:i4>
      </vt:variant>
      <vt:variant>
        <vt:lpwstr>https://find-and-update.company-information.service.gov.uk/company/04370508/officers</vt:lpwstr>
      </vt:variant>
      <vt:variant>
        <vt:lpwstr/>
      </vt:variant>
      <vt:variant>
        <vt:i4>6029381</vt:i4>
      </vt:variant>
      <vt:variant>
        <vt:i4>249</vt:i4>
      </vt:variant>
      <vt:variant>
        <vt:i4>0</vt:i4>
      </vt:variant>
      <vt:variant>
        <vt:i4>5</vt:i4>
      </vt:variant>
      <vt:variant>
        <vt:lpwstr>https://find-and-update.company-information.service.gov.uk/company/02304376/persons-with-significant-control</vt:lpwstr>
      </vt:variant>
      <vt:variant>
        <vt:lpwstr/>
      </vt:variant>
      <vt:variant>
        <vt:i4>6225984</vt:i4>
      </vt:variant>
      <vt:variant>
        <vt:i4>246</vt:i4>
      </vt:variant>
      <vt:variant>
        <vt:i4>0</vt:i4>
      </vt:variant>
      <vt:variant>
        <vt:i4>5</vt:i4>
      </vt:variant>
      <vt:variant>
        <vt:lpwstr>https://find-and-update.company-information.service.gov.uk/company/01767530/persons-with-significant-control</vt:lpwstr>
      </vt:variant>
      <vt:variant>
        <vt:lpwstr/>
      </vt:variant>
      <vt:variant>
        <vt:i4>786433</vt:i4>
      </vt:variant>
      <vt:variant>
        <vt:i4>237</vt:i4>
      </vt:variant>
      <vt:variant>
        <vt:i4>0</vt:i4>
      </vt:variant>
      <vt:variant>
        <vt:i4>5</vt:i4>
      </vt:variant>
      <vt:variant>
        <vt:lpwstr>https://www.londonstockexchange.com/stock/TLW/tullow-oil-plc/company-page?lang=en</vt:lpwstr>
      </vt:variant>
      <vt:variant>
        <vt:lpwstr/>
      </vt:variant>
      <vt:variant>
        <vt:i4>7733358</vt:i4>
      </vt:variant>
      <vt:variant>
        <vt:i4>234</vt:i4>
      </vt:variant>
      <vt:variant>
        <vt:i4>0</vt:i4>
      </vt:variant>
      <vt:variant>
        <vt:i4>5</vt:i4>
      </vt:variant>
      <vt:variant>
        <vt:lpwstr>https://live.euronext.com/en/product/equities/FR0000120271-XPAR</vt:lpwstr>
      </vt:variant>
      <vt:variant>
        <vt:lpwstr/>
      </vt:variant>
      <vt:variant>
        <vt:i4>7667754</vt:i4>
      </vt:variant>
      <vt:variant>
        <vt:i4>231</vt:i4>
      </vt:variant>
      <vt:variant>
        <vt:i4>0</vt:i4>
      </vt:variant>
      <vt:variant>
        <vt:i4>5</vt:i4>
      </vt:variant>
      <vt:variant>
        <vt:lpwstr>https://www.londonstockexchange.com/stock/CRH/crh-plc/company-page</vt:lpwstr>
      </vt:variant>
      <vt:variant>
        <vt:lpwstr/>
      </vt:variant>
      <vt:variant>
        <vt:i4>7995447</vt:i4>
      </vt:variant>
      <vt:variant>
        <vt:i4>228</vt:i4>
      </vt:variant>
      <vt:variant>
        <vt:i4>0</vt:i4>
      </vt:variant>
      <vt:variant>
        <vt:i4>5</vt:i4>
      </vt:variant>
      <vt:variant>
        <vt:lpwstr>https://www.adx.ae/English/Pages/ProductsAndServices/Securities/SelectCompany/default.aspx?listedcompanyid=AEA002401015&amp;pnavTitle=Abu%20Dhabi%20National%20Energy%20Company</vt:lpwstr>
      </vt:variant>
      <vt:variant>
        <vt:lpwstr/>
      </vt:variant>
      <vt:variant>
        <vt:i4>5242972</vt:i4>
      </vt:variant>
      <vt:variant>
        <vt:i4>225</vt:i4>
      </vt:variant>
      <vt:variant>
        <vt:i4>0</vt:i4>
      </vt:variant>
      <vt:variant>
        <vt:i4>5</vt:i4>
      </vt:variant>
      <vt:variant>
        <vt:lpwstr>https://money.tmx.com/en/quote/SU</vt:lpwstr>
      </vt:variant>
      <vt:variant>
        <vt:lpwstr/>
      </vt:variant>
      <vt:variant>
        <vt:i4>5373955</vt:i4>
      </vt:variant>
      <vt:variant>
        <vt:i4>222</vt:i4>
      </vt:variant>
      <vt:variant>
        <vt:i4>0</vt:i4>
      </vt:variant>
      <vt:variant>
        <vt:i4>5</vt:i4>
      </vt:variant>
      <vt:variant>
        <vt:lpwstr>https://www.nasdaq.com/market-activity/stocks/su</vt:lpwstr>
      </vt:variant>
      <vt:variant>
        <vt:lpwstr/>
      </vt:variant>
      <vt:variant>
        <vt:i4>917513</vt:i4>
      </vt:variant>
      <vt:variant>
        <vt:i4>219</vt:i4>
      </vt:variant>
      <vt:variant>
        <vt:i4>0</vt:i4>
      </vt:variant>
      <vt:variant>
        <vt:i4>5</vt:i4>
      </vt:variant>
      <vt:variant>
        <vt:lpwstr>https://www.londonstockexchange.com/stock/SQZ/serica-energy-plc/company-page</vt:lpwstr>
      </vt:variant>
      <vt:variant>
        <vt:lpwstr/>
      </vt:variant>
      <vt:variant>
        <vt:i4>7471212</vt:i4>
      </vt:variant>
      <vt:variant>
        <vt:i4>216</vt:i4>
      </vt:variant>
      <vt:variant>
        <vt:i4>0</vt:i4>
      </vt:variant>
      <vt:variant>
        <vt:i4>5</vt:i4>
      </vt:variant>
      <vt:variant>
        <vt:lpwstr>https://live.euronext.com/en/product/equities/FR0000125007-XPAR</vt:lpwstr>
      </vt:variant>
      <vt:variant>
        <vt:lpwstr/>
      </vt:variant>
      <vt:variant>
        <vt:i4>86</vt:i4>
      </vt:variant>
      <vt:variant>
        <vt:i4>213</vt:i4>
      </vt:variant>
      <vt:variant>
        <vt:i4>0</vt:i4>
      </vt:variant>
      <vt:variant>
        <vt:i4>5</vt:i4>
      </vt:variant>
      <vt:variant>
        <vt:lpwstr>https://www.londonstockexchange.com/stock/SHEL/shell-plc/company-page</vt:lpwstr>
      </vt:variant>
      <vt:variant>
        <vt:lpwstr/>
      </vt:variant>
      <vt:variant>
        <vt:i4>2097251</vt:i4>
      </vt:variant>
      <vt:variant>
        <vt:i4>210</vt:i4>
      </vt:variant>
      <vt:variant>
        <vt:i4>0</vt:i4>
      </vt:variant>
      <vt:variant>
        <vt:i4>5</vt:i4>
      </vt:variant>
      <vt:variant>
        <vt:lpwstr>https://www.bolsasymercados.es/bme-exchange/es/Mercados-y-Cotizaciones/Acciones/Mercado-Continuo/Ficha/Repsol-ES0173516115</vt:lpwstr>
      </vt:variant>
      <vt:variant>
        <vt:lpwstr/>
      </vt:variant>
      <vt:variant>
        <vt:i4>1179649</vt:i4>
      </vt:variant>
      <vt:variant>
        <vt:i4>207</vt:i4>
      </vt:variant>
      <vt:variant>
        <vt:i4>0</vt:i4>
      </vt:variant>
      <vt:variant>
        <vt:i4>5</vt:i4>
      </vt:variant>
      <vt:variant>
        <vt:lpwstr>https://www.londonstockexchange.com/stock/ITH/ithaca-energy-plc/company-page</vt:lpwstr>
      </vt:variant>
      <vt:variant>
        <vt:lpwstr/>
      </vt:variant>
      <vt:variant>
        <vt:i4>851985</vt:i4>
      </vt:variant>
      <vt:variant>
        <vt:i4>204</vt:i4>
      </vt:variant>
      <vt:variant>
        <vt:i4>0</vt:i4>
      </vt:variant>
      <vt:variant>
        <vt:i4>5</vt:i4>
      </vt:variant>
      <vt:variant>
        <vt:lpwstr>https://www.londonstockexchange.com/stock/HBR/harbour-energy-plc/company-page</vt:lpwstr>
      </vt:variant>
      <vt:variant>
        <vt:lpwstr/>
      </vt:variant>
      <vt:variant>
        <vt:i4>2687083</vt:i4>
      </vt:variant>
      <vt:variant>
        <vt:i4>201</vt:i4>
      </vt:variant>
      <vt:variant>
        <vt:i4>0</vt:i4>
      </vt:variant>
      <vt:variant>
        <vt:i4>5</vt:i4>
      </vt:variant>
      <vt:variant>
        <vt:lpwstr>https://www.boerse-frankfurt.de/equity/heidelbergcement-ag</vt:lpwstr>
      </vt:variant>
      <vt:variant>
        <vt:lpwstr/>
      </vt:variant>
      <vt:variant>
        <vt:i4>7667832</vt:i4>
      </vt:variant>
      <vt:variant>
        <vt:i4>198</vt:i4>
      </vt:variant>
      <vt:variant>
        <vt:i4>0</vt:i4>
      </vt:variant>
      <vt:variant>
        <vt:i4>5</vt:i4>
      </vt:variant>
      <vt:variant>
        <vt:lpwstr>https://www.nyse.com/quote/XNYS:XOM</vt:lpwstr>
      </vt:variant>
      <vt:variant>
        <vt:lpwstr/>
      </vt:variant>
      <vt:variant>
        <vt:i4>8192112</vt:i4>
      </vt:variant>
      <vt:variant>
        <vt:i4>195</vt:i4>
      </vt:variant>
      <vt:variant>
        <vt:i4>0</vt:i4>
      </vt:variant>
      <vt:variant>
        <vt:i4>5</vt:i4>
      </vt:variant>
      <vt:variant>
        <vt:lpwstr>https://live.euronext.com/en/product/equities/NO0010096985-XOSL</vt:lpwstr>
      </vt:variant>
      <vt:variant>
        <vt:lpwstr/>
      </vt:variant>
      <vt:variant>
        <vt:i4>7536699</vt:i4>
      </vt:variant>
      <vt:variant>
        <vt:i4>192</vt:i4>
      </vt:variant>
      <vt:variant>
        <vt:i4>0</vt:i4>
      </vt:variant>
      <vt:variant>
        <vt:i4>5</vt:i4>
      </vt:variant>
      <vt:variant>
        <vt:lpwstr>https://www.londonstockexchange.com/stock/ENQ/enquest-plc/company-page</vt:lpwstr>
      </vt:variant>
      <vt:variant>
        <vt:lpwstr/>
      </vt:variant>
      <vt:variant>
        <vt:i4>6553711</vt:i4>
      </vt:variant>
      <vt:variant>
        <vt:i4>189</vt:i4>
      </vt:variant>
      <vt:variant>
        <vt:i4>0</vt:i4>
      </vt:variant>
      <vt:variant>
        <vt:i4>5</vt:i4>
      </vt:variant>
      <vt:variant>
        <vt:lpwstr>https://www.borsaitaliana.it/borsa/azioni/scheda/IT0003132476.html?lang=en</vt:lpwstr>
      </vt:variant>
      <vt:variant>
        <vt:lpwstr/>
      </vt:variant>
      <vt:variant>
        <vt:i4>7995504</vt:i4>
      </vt:variant>
      <vt:variant>
        <vt:i4>186</vt:i4>
      </vt:variant>
      <vt:variant>
        <vt:i4>0</vt:i4>
      </vt:variant>
      <vt:variant>
        <vt:i4>5</vt:i4>
      </vt:variant>
      <vt:variant>
        <vt:lpwstr>https://live.euronext.com/nl/product/equities/BE0974413453-XBRU</vt:lpwstr>
      </vt:variant>
      <vt:variant>
        <vt:lpwstr/>
      </vt:variant>
      <vt:variant>
        <vt:i4>3211314</vt:i4>
      </vt:variant>
      <vt:variant>
        <vt:i4>183</vt:i4>
      </vt:variant>
      <vt:variant>
        <vt:i4>0</vt:i4>
      </vt:variant>
      <vt:variant>
        <vt:i4>5</vt:i4>
      </vt:variant>
      <vt:variant>
        <vt:lpwstr>https://money.tmx.com/en/quote/CNQ</vt:lpwstr>
      </vt:variant>
      <vt:variant>
        <vt:lpwstr/>
      </vt:variant>
      <vt:variant>
        <vt:i4>1769519</vt:i4>
      </vt:variant>
      <vt:variant>
        <vt:i4>180</vt:i4>
      </vt:variant>
      <vt:variant>
        <vt:i4>0</vt:i4>
      </vt:variant>
      <vt:variant>
        <vt:i4>5</vt:i4>
      </vt:variant>
      <vt:variant>
        <vt:lpwstr>https://www.hkex.com.hk/Market-Data/Securities-Prices/Equities/Equities-Quote?sym=883&amp;sc_lang=en</vt:lpwstr>
      </vt:variant>
      <vt:variant>
        <vt:lpwstr/>
      </vt:variant>
      <vt:variant>
        <vt:i4>5308435</vt:i4>
      </vt:variant>
      <vt:variant>
        <vt:i4>177</vt:i4>
      </vt:variant>
      <vt:variant>
        <vt:i4>0</vt:i4>
      </vt:variant>
      <vt:variant>
        <vt:i4>5</vt:i4>
      </vt:variant>
      <vt:variant>
        <vt:lpwstr>https://www.nasdaq.com/market-activity/stocks/cvx</vt:lpwstr>
      </vt:variant>
      <vt:variant>
        <vt:lpwstr/>
      </vt:variant>
      <vt:variant>
        <vt:i4>2490485</vt:i4>
      </vt:variant>
      <vt:variant>
        <vt:i4>174</vt:i4>
      </vt:variant>
      <vt:variant>
        <vt:i4>0</vt:i4>
      </vt:variant>
      <vt:variant>
        <vt:i4>5</vt:i4>
      </vt:variant>
      <vt:variant>
        <vt:lpwstr>https://www.londonstockexchange.com/stock/CNA/centrica-plc/company-page</vt:lpwstr>
      </vt:variant>
      <vt:variant>
        <vt:lpwstr/>
      </vt:variant>
      <vt:variant>
        <vt:i4>6225939</vt:i4>
      </vt:variant>
      <vt:variant>
        <vt:i4>171</vt:i4>
      </vt:variant>
      <vt:variant>
        <vt:i4>0</vt:i4>
      </vt:variant>
      <vt:variant>
        <vt:i4>5</vt:i4>
      </vt:variant>
      <vt:variant>
        <vt:lpwstr>https://www.nasdaq.com/market-activity/stocks/cx</vt:lpwstr>
      </vt:variant>
      <vt:variant>
        <vt:lpwstr/>
      </vt:variant>
      <vt:variant>
        <vt:i4>1835025</vt:i4>
      </vt:variant>
      <vt:variant>
        <vt:i4>168</vt:i4>
      </vt:variant>
      <vt:variant>
        <vt:i4>0</vt:i4>
      </vt:variant>
      <vt:variant>
        <vt:i4>5</vt:i4>
      </vt:variant>
      <vt:variant>
        <vt:lpwstr>https://www.londonstockexchange.com/stock/BREE/breedon-group-plc/company-page</vt:lpwstr>
      </vt:variant>
      <vt:variant>
        <vt:lpwstr/>
      </vt:variant>
      <vt:variant>
        <vt:i4>5308485</vt:i4>
      </vt:variant>
      <vt:variant>
        <vt:i4>165</vt:i4>
      </vt:variant>
      <vt:variant>
        <vt:i4>0</vt:i4>
      </vt:variant>
      <vt:variant>
        <vt:i4>5</vt:i4>
      </vt:variant>
      <vt:variant>
        <vt:lpwstr>https://www.londonstockexchange.com/stock/BP./bp-plc/company-page</vt:lpwstr>
      </vt:variant>
      <vt:variant>
        <vt:lpwstr/>
      </vt:variant>
      <vt:variant>
        <vt:i4>327747</vt:i4>
      </vt:variant>
      <vt:variant>
        <vt:i4>162</vt:i4>
      </vt:variant>
      <vt:variant>
        <vt:i4>0</vt:i4>
      </vt:variant>
      <vt:variant>
        <vt:i4>5</vt:i4>
      </vt:variant>
      <vt:variant>
        <vt:lpwstr>C:\Users\ZAGHOHX\OneDrive - BDO LLP\02 - Audit\2022\171 - UK EITI 2021\06 - Excel files\03 - V2 250622 (Final)\UK EITI 2021 Database 210622 (RTs received only).xlsx</vt:lpwstr>
      </vt:variant>
      <vt:variant>
        <vt:lpwstr>RANGE!_ftn1</vt:lpwstr>
      </vt:variant>
      <vt:variant>
        <vt:i4>6357091</vt:i4>
      </vt:variant>
      <vt:variant>
        <vt:i4>159</vt:i4>
      </vt:variant>
      <vt:variant>
        <vt:i4>0</vt:i4>
      </vt:variant>
      <vt:variant>
        <vt:i4>5</vt:i4>
      </vt:variant>
      <vt:variant>
        <vt:lpwstr>https://live.euronext.com/en/product/equities/NL0000852580-XAMS/company-information</vt:lpwstr>
      </vt:variant>
      <vt:variant>
        <vt:lpwstr/>
      </vt:variant>
      <vt:variant>
        <vt:i4>327747</vt:i4>
      </vt:variant>
      <vt:variant>
        <vt:i4>156</vt:i4>
      </vt:variant>
      <vt:variant>
        <vt:i4>0</vt:i4>
      </vt:variant>
      <vt:variant>
        <vt:i4>5</vt:i4>
      </vt:variant>
      <vt:variant>
        <vt:lpwstr>C:\Users\ZAGHOHX\OneDrive - BDO LLP\02 - Audit\2022\171 - UK EITI 2021\06 - Excel files\03 - V2 250622 (Final)\UK EITI 2021 Database 210622 (RTs received only).xlsx</vt:lpwstr>
      </vt:variant>
      <vt:variant>
        <vt:lpwstr>RANGE!_ftn1</vt:lpwstr>
      </vt:variant>
      <vt:variant>
        <vt:i4>5701649</vt:i4>
      </vt:variant>
      <vt:variant>
        <vt:i4>153</vt:i4>
      </vt:variant>
      <vt:variant>
        <vt:i4>0</vt:i4>
      </vt:variant>
      <vt:variant>
        <vt:i4>5</vt:i4>
      </vt:variant>
      <vt:variant>
        <vt:lpwstr>https://www.nasdaq.com/market-activity/stocks/apa</vt:lpwstr>
      </vt:variant>
      <vt:variant>
        <vt:lpwstr/>
      </vt:variant>
      <vt:variant>
        <vt:i4>6357008</vt:i4>
      </vt:variant>
      <vt:variant>
        <vt:i4>150</vt:i4>
      </vt:variant>
      <vt:variant>
        <vt:i4>0</vt:i4>
      </vt:variant>
      <vt:variant>
        <vt:i4>5</vt:i4>
      </vt:variant>
      <vt:variant>
        <vt:lpwstr>https://www.bursamalaysia.com/bm/trade/trading_resources/listing_directory/company-profile?stock_code=5199</vt:lpwstr>
      </vt:variant>
      <vt:variant>
        <vt:lpwstr/>
      </vt:variant>
      <vt:variant>
        <vt:i4>3670093</vt:i4>
      </vt:variant>
      <vt:variant>
        <vt:i4>147</vt:i4>
      </vt:variant>
      <vt:variant>
        <vt:i4>0</vt:i4>
      </vt:variant>
      <vt:variant>
        <vt:i4>5</vt:i4>
      </vt:variant>
      <vt:variant>
        <vt:lpwstr>https://www.six-group.com/en/market-data/shares/share-explorer/share-details.CH0012214059CHF4.html</vt:lpwstr>
      </vt:variant>
      <vt:variant>
        <vt:lpwstr>/</vt:lpwstr>
      </vt:variant>
      <vt:variant>
        <vt:i4>4456557</vt:i4>
      </vt:variant>
      <vt:variant>
        <vt:i4>141</vt:i4>
      </vt:variant>
      <vt:variant>
        <vt:i4>0</vt:i4>
      </vt:variant>
      <vt:variant>
        <vt:i4>5</vt:i4>
      </vt:variant>
      <vt:variant>
        <vt:lpwstr>http://download.companieshouse.gov.uk/en_pscdata.html</vt:lpwstr>
      </vt:variant>
      <vt:variant>
        <vt:lpwstr/>
      </vt:variant>
      <vt:variant>
        <vt:i4>2555948</vt:i4>
      </vt:variant>
      <vt:variant>
        <vt:i4>129</vt:i4>
      </vt:variant>
      <vt:variant>
        <vt:i4>0</vt:i4>
      </vt:variant>
      <vt:variant>
        <vt:i4>5</vt:i4>
      </vt:variant>
      <vt:variant>
        <vt:lpwstr>https://www.legislation.gov.uk/nisi/1991/1220/contents</vt:lpwstr>
      </vt:variant>
      <vt:variant>
        <vt:lpwstr/>
      </vt:variant>
      <vt:variant>
        <vt:i4>4128800</vt:i4>
      </vt:variant>
      <vt:variant>
        <vt:i4>126</vt:i4>
      </vt:variant>
      <vt:variant>
        <vt:i4>0</vt:i4>
      </vt:variant>
      <vt:variant>
        <vt:i4>5</vt:i4>
      </vt:variant>
      <vt:variant>
        <vt:lpwstr>https://www.legislation.gov.uk/ukpga/1997/8/section/75</vt:lpwstr>
      </vt:variant>
      <vt:variant>
        <vt:lpwstr/>
      </vt:variant>
      <vt:variant>
        <vt:i4>2818168</vt:i4>
      </vt:variant>
      <vt:variant>
        <vt:i4>111</vt:i4>
      </vt:variant>
      <vt:variant>
        <vt:i4>0</vt:i4>
      </vt:variant>
      <vt:variant>
        <vt:i4>5</vt:i4>
      </vt:variant>
      <vt:variant>
        <vt:lpwstr>https://www.ukeiti.org/</vt:lpwstr>
      </vt:variant>
      <vt:variant>
        <vt:lpwstr/>
      </vt:variant>
      <vt:variant>
        <vt:i4>8060987</vt:i4>
      </vt:variant>
      <vt:variant>
        <vt:i4>108</vt:i4>
      </vt:variant>
      <vt:variant>
        <vt:i4>0</vt:i4>
      </vt:variant>
      <vt:variant>
        <vt:i4>5</vt:i4>
      </vt:variant>
      <vt:variant>
        <vt:lpwstr>https://www.ukeiti.org/mining-quarrying</vt:lpwstr>
      </vt:variant>
      <vt:variant>
        <vt:lpwstr/>
      </vt:variant>
      <vt:variant>
        <vt:i4>3932274</vt:i4>
      </vt:variant>
      <vt:variant>
        <vt:i4>105</vt:i4>
      </vt:variant>
      <vt:variant>
        <vt:i4>0</vt:i4>
      </vt:variant>
      <vt:variant>
        <vt:i4>5</vt:i4>
      </vt:variant>
      <vt:variant>
        <vt:lpwstr>https://www.ukeiti.org/oil-gas</vt:lpwstr>
      </vt:variant>
      <vt:variant>
        <vt:lpwstr/>
      </vt:variant>
      <vt:variant>
        <vt:i4>1048627</vt:i4>
      </vt:variant>
      <vt:variant>
        <vt:i4>98</vt:i4>
      </vt:variant>
      <vt:variant>
        <vt:i4>0</vt:i4>
      </vt:variant>
      <vt:variant>
        <vt:i4>5</vt:i4>
      </vt:variant>
      <vt:variant>
        <vt:lpwstr/>
      </vt:variant>
      <vt:variant>
        <vt:lpwstr>_Toc177118499</vt:lpwstr>
      </vt:variant>
      <vt:variant>
        <vt:i4>1114163</vt:i4>
      </vt:variant>
      <vt:variant>
        <vt:i4>89</vt:i4>
      </vt:variant>
      <vt:variant>
        <vt:i4>0</vt:i4>
      </vt:variant>
      <vt:variant>
        <vt:i4>5</vt:i4>
      </vt:variant>
      <vt:variant>
        <vt:lpwstr/>
      </vt:variant>
      <vt:variant>
        <vt:lpwstr>_Toc177118488</vt:lpwstr>
      </vt:variant>
      <vt:variant>
        <vt:i4>1114163</vt:i4>
      </vt:variant>
      <vt:variant>
        <vt:i4>83</vt:i4>
      </vt:variant>
      <vt:variant>
        <vt:i4>0</vt:i4>
      </vt:variant>
      <vt:variant>
        <vt:i4>5</vt:i4>
      </vt:variant>
      <vt:variant>
        <vt:lpwstr/>
      </vt:variant>
      <vt:variant>
        <vt:lpwstr>_Toc177118487</vt:lpwstr>
      </vt:variant>
      <vt:variant>
        <vt:i4>1114163</vt:i4>
      </vt:variant>
      <vt:variant>
        <vt:i4>77</vt:i4>
      </vt:variant>
      <vt:variant>
        <vt:i4>0</vt:i4>
      </vt:variant>
      <vt:variant>
        <vt:i4>5</vt:i4>
      </vt:variant>
      <vt:variant>
        <vt:lpwstr/>
      </vt:variant>
      <vt:variant>
        <vt:lpwstr>_Toc177118486</vt:lpwstr>
      </vt:variant>
      <vt:variant>
        <vt:i4>1114163</vt:i4>
      </vt:variant>
      <vt:variant>
        <vt:i4>71</vt:i4>
      </vt:variant>
      <vt:variant>
        <vt:i4>0</vt:i4>
      </vt:variant>
      <vt:variant>
        <vt:i4>5</vt:i4>
      </vt:variant>
      <vt:variant>
        <vt:lpwstr/>
      </vt:variant>
      <vt:variant>
        <vt:lpwstr>_Toc177118485</vt:lpwstr>
      </vt:variant>
      <vt:variant>
        <vt:i4>1114163</vt:i4>
      </vt:variant>
      <vt:variant>
        <vt:i4>65</vt:i4>
      </vt:variant>
      <vt:variant>
        <vt:i4>0</vt:i4>
      </vt:variant>
      <vt:variant>
        <vt:i4>5</vt:i4>
      </vt:variant>
      <vt:variant>
        <vt:lpwstr/>
      </vt:variant>
      <vt:variant>
        <vt:lpwstr>_Toc177118484</vt:lpwstr>
      </vt:variant>
      <vt:variant>
        <vt:i4>1114163</vt:i4>
      </vt:variant>
      <vt:variant>
        <vt:i4>59</vt:i4>
      </vt:variant>
      <vt:variant>
        <vt:i4>0</vt:i4>
      </vt:variant>
      <vt:variant>
        <vt:i4>5</vt:i4>
      </vt:variant>
      <vt:variant>
        <vt:lpwstr/>
      </vt:variant>
      <vt:variant>
        <vt:lpwstr>_Toc177118483</vt:lpwstr>
      </vt:variant>
      <vt:variant>
        <vt:i4>1114163</vt:i4>
      </vt:variant>
      <vt:variant>
        <vt:i4>53</vt:i4>
      </vt:variant>
      <vt:variant>
        <vt:i4>0</vt:i4>
      </vt:variant>
      <vt:variant>
        <vt:i4>5</vt:i4>
      </vt:variant>
      <vt:variant>
        <vt:lpwstr/>
      </vt:variant>
      <vt:variant>
        <vt:lpwstr>_Toc177118482</vt:lpwstr>
      </vt:variant>
      <vt:variant>
        <vt:i4>1114163</vt:i4>
      </vt:variant>
      <vt:variant>
        <vt:i4>47</vt:i4>
      </vt:variant>
      <vt:variant>
        <vt:i4>0</vt:i4>
      </vt:variant>
      <vt:variant>
        <vt:i4>5</vt:i4>
      </vt:variant>
      <vt:variant>
        <vt:lpwstr/>
      </vt:variant>
      <vt:variant>
        <vt:lpwstr>_Toc177118481</vt:lpwstr>
      </vt:variant>
      <vt:variant>
        <vt:i4>1245236</vt:i4>
      </vt:variant>
      <vt:variant>
        <vt:i4>38</vt:i4>
      </vt:variant>
      <vt:variant>
        <vt:i4>0</vt:i4>
      </vt:variant>
      <vt:variant>
        <vt:i4>5</vt:i4>
      </vt:variant>
      <vt:variant>
        <vt:lpwstr/>
      </vt:variant>
      <vt:variant>
        <vt:lpwstr>_Toc183079154</vt:lpwstr>
      </vt:variant>
      <vt:variant>
        <vt:i4>1245236</vt:i4>
      </vt:variant>
      <vt:variant>
        <vt:i4>32</vt:i4>
      </vt:variant>
      <vt:variant>
        <vt:i4>0</vt:i4>
      </vt:variant>
      <vt:variant>
        <vt:i4>5</vt:i4>
      </vt:variant>
      <vt:variant>
        <vt:lpwstr/>
      </vt:variant>
      <vt:variant>
        <vt:lpwstr>_Toc183079153</vt:lpwstr>
      </vt:variant>
      <vt:variant>
        <vt:i4>1245236</vt:i4>
      </vt:variant>
      <vt:variant>
        <vt:i4>26</vt:i4>
      </vt:variant>
      <vt:variant>
        <vt:i4>0</vt:i4>
      </vt:variant>
      <vt:variant>
        <vt:i4>5</vt:i4>
      </vt:variant>
      <vt:variant>
        <vt:lpwstr/>
      </vt:variant>
      <vt:variant>
        <vt:lpwstr>_Toc183079152</vt:lpwstr>
      </vt:variant>
      <vt:variant>
        <vt:i4>1245236</vt:i4>
      </vt:variant>
      <vt:variant>
        <vt:i4>20</vt:i4>
      </vt:variant>
      <vt:variant>
        <vt:i4>0</vt:i4>
      </vt:variant>
      <vt:variant>
        <vt:i4>5</vt:i4>
      </vt:variant>
      <vt:variant>
        <vt:lpwstr/>
      </vt:variant>
      <vt:variant>
        <vt:lpwstr>_Toc183079151</vt:lpwstr>
      </vt:variant>
      <vt:variant>
        <vt:i4>1245236</vt:i4>
      </vt:variant>
      <vt:variant>
        <vt:i4>14</vt:i4>
      </vt:variant>
      <vt:variant>
        <vt:i4>0</vt:i4>
      </vt:variant>
      <vt:variant>
        <vt:i4>5</vt:i4>
      </vt:variant>
      <vt:variant>
        <vt:lpwstr/>
      </vt:variant>
      <vt:variant>
        <vt:lpwstr>_Toc183079150</vt:lpwstr>
      </vt:variant>
      <vt:variant>
        <vt:i4>1179700</vt:i4>
      </vt:variant>
      <vt:variant>
        <vt:i4>8</vt:i4>
      </vt:variant>
      <vt:variant>
        <vt:i4>0</vt:i4>
      </vt:variant>
      <vt:variant>
        <vt:i4>5</vt:i4>
      </vt:variant>
      <vt:variant>
        <vt:lpwstr/>
      </vt:variant>
      <vt:variant>
        <vt:lpwstr>_Toc183079149</vt:lpwstr>
      </vt:variant>
      <vt:variant>
        <vt:i4>1179700</vt:i4>
      </vt:variant>
      <vt:variant>
        <vt:i4>2</vt:i4>
      </vt:variant>
      <vt:variant>
        <vt:i4>0</vt:i4>
      </vt:variant>
      <vt:variant>
        <vt:i4>5</vt:i4>
      </vt:variant>
      <vt:variant>
        <vt:lpwstr/>
      </vt:variant>
      <vt:variant>
        <vt:lpwstr>_Toc183079148</vt:lpwstr>
      </vt:variant>
      <vt:variant>
        <vt:i4>3866731</vt:i4>
      </vt:variant>
      <vt:variant>
        <vt:i4>30</vt:i4>
      </vt:variant>
      <vt:variant>
        <vt:i4>0</vt:i4>
      </vt:variant>
      <vt:variant>
        <vt:i4>5</vt:i4>
      </vt:variant>
      <vt:variant>
        <vt:lpwstr>https://www.gov.uk/government/organisations/companies-house</vt:lpwstr>
      </vt:variant>
      <vt:variant>
        <vt:lpwstr/>
      </vt:variant>
      <vt:variant>
        <vt:i4>4980756</vt:i4>
      </vt:variant>
      <vt:variant>
        <vt:i4>27</vt:i4>
      </vt:variant>
      <vt:variant>
        <vt:i4>0</vt:i4>
      </vt:variant>
      <vt:variant>
        <vt:i4>5</vt:i4>
      </vt:variant>
      <vt:variant>
        <vt:lpwstr>https://www.eni.com/content/dam/enicom/documents/press-release/migrated/2024-en/01/pr-eni-closing.pdf</vt:lpwstr>
      </vt:variant>
      <vt:variant>
        <vt:lpwstr/>
      </vt:variant>
      <vt:variant>
        <vt:i4>5963802</vt:i4>
      </vt:variant>
      <vt:variant>
        <vt:i4>15</vt:i4>
      </vt:variant>
      <vt:variant>
        <vt:i4>0</vt:i4>
      </vt:variant>
      <vt:variant>
        <vt:i4>5</vt:i4>
      </vt:variant>
      <vt:variant>
        <vt:lpwstr>https://data.fca.org.uk/</vt:lpwstr>
      </vt:variant>
      <vt:variant>
        <vt:lpwstr>/nsm/nationalstoragemechanism</vt:lpwstr>
      </vt:variant>
      <vt:variant>
        <vt:i4>8192044</vt:i4>
      </vt:variant>
      <vt:variant>
        <vt:i4>12</vt:i4>
      </vt:variant>
      <vt:variant>
        <vt:i4>0</vt:i4>
      </vt:variant>
      <vt:variant>
        <vt:i4>5</vt:i4>
      </vt:variant>
      <vt:variant>
        <vt:lpwstr>https://extractives.companieshouse.gov.uk/</vt:lpwstr>
      </vt:variant>
      <vt:variant>
        <vt:lpwstr/>
      </vt:variant>
      <vt:variant>
        <vt:i4>4259917</vt:i4>
      </vt:variant>
      <vt:variant>
        <vt:i4>9</vt:i4>
      </vt:variant>
      <vt:variant>
        <vt:i4>0</vt:i4>
      </vt:variant>
      <vt:variant>
        <vt:i4>5</vt:i4>
      </vt:variant>
      <vt:variant>
        <vt:lpwstr>http://www.resourceprojects.org/</vt:lpwstr>
      </vt:variant>
      <vt:variant>
        <vt:lpwstr/>
      </vt:variant>
      <vt:variant>
        <vt:i4>6815844</vt:i4>
      </vt:variant>
      <vt:variant>
        <vt:i4>6</vt:i4>
      </vt:variant>
      <vt:variant>
        <vt:i4>0</vt:i4>
      </vt:variant>
      <vt:variant>
        <vt:i4>5</vt:i4>
      </vt:variant>
      <vt:variant>
        <vt:lpwstr>https://www.equinor.com/news/20230303-equinor-acquires-suncor-energy-uk</vt:lpwstr>
      </vt:variant>
      <vt:variant>
        <vt:lpwstr/>
      </vt:variant>
      <vt:variant>
        <vt:i4>6619189</vt:i4>
      </vt:variant>
      <vt:variant>
        <vt:i4>3</vt:i4>
      </vt:variant>
      <vt:variant>
        <vt:i4>0</vt:i4>
      </vt:variant>
      <vt:variant>
        <vt:i4>5</vt:i4>
      </vt:variant>
      <vt:variant>
        <vt:lpwstr>https://www.ukeiti.org/publications-reports</vt:lpwstr>
      </vt:variant>
      <vt:variant>
        <vt:lpwstr/>
      </vt:variant>
      <vt:variant>
        <vt:i4>6619189</vt:i4>
      </vt:variant>
      <vt:variant>
        <vt:i4>0</vt:i4>
      </vt:variant>
      <vt:variant>
        <vt:i4>0</vt:i4>
      </vt:variant>
      <vt:variant>
        <vt:i4>5</vt:i4>
      </vt:variant>
      <vt:variant>
        <vt:lpwstr>https://www.ukeiti.org/publications-reports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EITI Payments Report for 2023</dc:title>
  <dc:subject/>
  <dc:creator>Nash, Michael (Business Frameworks)</dc:creator>
  <cp:keywords/>
  <dc:description/>
  <cp:lastModifiedBy>Nash, Michael (Energy Security)</cp:lastModifiedBy>
  <cp:revision>2</cp:revision>
  <cp:lastPrinted>2024-11-29T08:35:00Z</cp:lastPrinted>
  <dcterms:created xsi:type="dcterms:W3CDTF">2024-11-29T08:54:00Z</dcterms:created>
  <dcterms:modified xsi:type="dcterms:W3CDTF">2024-11-29T08:54:00Z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2020-10-19T08:45:07Z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c1ffee0d-db77-4fdc-a23a-000070ad79ce</vt:lpwstr>
  </property>
  <property fmtid="{D5CDD505-2E9C-101B-9397-08002B2CF9AE}" pid="8" name="MSIP_Label_ba62f585-b40f-4ab9-bafe-39150f03d124_ContentBits">
    <vt:lpwstr>0</vt:lpwstr>
  </property>
  <property fmtid="{D5CDD505-2E9C-101B-9397-08002B2CF9AE}" pid="9" name="ContentTypeId">
    <vt:lpwstr>0x010100DD873232EBE4CB4BBBB01CF679333667</vt:lpwstr>
  </property>
  <property fmtid="{D5CDD505-2E9C-101B-9397-08002B2CF9AE}" pid="10" name="_dlc_DocIdItemGuid">
    <vt:lpwstr>18789354-b5f6-4b10-9fbf-da877b1691d3</vt:lpwstr>
  </property>
  <property fmtid="{D5CDD505-2E9C-101B-9397-08002B2CF9AE}" pid="11" name="Business Unit">
    <vt:lpwstr>91;#Company Law, Transparency and Tax|f73a51f8-bfcd-4e68-a033-6f422088fddd</vt:lpwstr>
  </property>
  <property fmtid="{D5CDD505-2E9C-101B-9397-08002B2CF9AE}" pid="12" name="MediaServiceImageTags">
    <vt:lpwstr/>
  </property>
</Properties>
</file>