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BC2" w14:textId="77777777" w:rsidR="00E8273F" w:rsidRDefault="00E8273F" w:rsidP="00E8273F">
      <w:pPr>
        <w:pStyle w:val="Heading2"/>
        <w:keepNext w:val="0"/>
        <w:keepLines w:val="0"/>
        <w:shd w:val="clear" w:color="auto" w:fill="auto"/>
        <w:tabs>
          <w:tab w:val="clear" w:pos="567"/>
        </w:tabs>
        <w:ind w:right="482"/>
        <w:jc w:val="both"/>
        <w:rPr>
          <w:rFonts w:eastAsiaTheme="majorEastAsia" w:cs="Arial"/>
          <w:color w:val="17365D" w:themeColor="text2" w:themeShade="BF"/>
          <w:sz w:val="40"/>
          <w:szCs w:val="36"/>
        </w:rPr>
      </w:pPr>
      <w:bookmarkStart w:id="0" w:name="_Toc478377610"/>
      <w:bookmarkStart w:id="1" w:name="_Toc513063210"/>
    </w:p>
    <w:p w14:paraId="630EF149" w14:textId="77777777" w:rsidR="00E8273F" w:rsidRDefault="00E8273F" w:rsidP="00E8273F">
      <w:pPr>
        <w:pStyle w:val="Heading2"/>
        <w:keepNext w:val="0"/>
        <w:keepLines w:val="0"/>
        <w:shd w:val="clear" w:color="auto" w:fill="auto"/>
        <w:tabs>
          <w:tab w:val="clear" w:pos="567"/>
        </w:tabs>
        <w:ind w:right="482"/>
        <w:jc w:val="both"/>
        <w:rPr>
          <w:rFonts w:eastAsiaTheme="majorEastAsia" w:cs="Arial"/>
          <w:color w:val="17365D" w:themeColor="text2" w:themeShade="BF"/>
          <w:sz w:val="40"/>
          <w:szCs w:val="36"/>
        </w:rPr>
      </w:pPr>
    </w:p>
    <w:p w14:paraId="5CBF6A4C" w14:textId="3D96F3AC" w:rsidR="00E8273F" w:rsidRPr="00E8273F" w:rsidRDefault="00E8273F" w:rsidP="00E8273F">
      <w:pPr>
        <w:pStyle w:val="Heading2"/>
        <w:keepNext w:val="0"/>
        <w:keepLines w:val="0"/>
        <w:shd w:val="clear" w:color="auto" w:fill="auto"/>
        <w:tabs>
          <w:tab w:val="clear" w:pos="567"/>
        </w:tabs>
        <w:spacing w:before="120" w:after="120" w:line="264" w:lineRule="auto"/>
        <w:ind w:right="480"/>
        <w:jc w:val="both"/>
        <w:rPr>
          <w:rFonts w:eastAsiaTheme="majorEastAsia" w:cs="Arial"/>
          <w:color w:val="17365D" w:themeColor="text2" w:themeShade="BF"/>
          <w:sz w:val="28"/>
          <w:szCs w:val="28"/>
        </w:rPr>
      </w:pPr>
      <w:r w:rsidRPr="00E8273F">
        <w:rPr>
          <w:rFonts w:eastAsiaTheme="majorEastAsia" w:cs="Arial"/>
          <w:color w:val="17365D" w:themeColor="text2" w:themeShade="BF"/>
          <w:sz w:val="28"/>
          <w:szCs w:val="28"/>
        </w:rPr>
        <w:t>Approach and Methodology for Payments Report for 2023</w:t>
      </w:r>
    </w:p>
    <w:p w14:paraId="1982C9B6" w14:textId="5F806C16" w:rsidR="00564C7C" w:rsidRPr="00FB6E97" w:rsidRDefault="00564C7C" w:rsidP="00AF440B">
      <w:pPr>
        <w:pStyle w:val="Heading2"/>
        <w:keepNext w:val="0"/>
        <w:keepLines w:val="0"/>
        <w:numPr>
          <w:ilvl w:val="0"/>
          <w:numId w:val="37"/>
        </w:numPr>
        <w:shd w:val="clear" w:color="auto" w:fill="auto"/>
        <w:tabs>
          <w:tab w:val="clear" w:pos="567"/>
        </w:tabs>
        <w:spacing w:before="120" w:after="120" w:line="264" w:lineRule="auto"/>
        <w:ind w:right="480"/>
        <w:jc w:val="both"/>
        <w:rPr>
          <w:rFonts w:eastAsiaTheme="majorEastAsia" w:cs="Arial"/>
          <w:color w:val="17365D" w:themeColor="text2" w:themeShade="BF"/>
          <w:sz w:val="28"/>
          <w:szCs w:val="24"/>
        </w:rPr>
      </w:pPr>
      <w:r w:rsidRPr="00FB6E97">
        <w:rPr>
          <w:rFonts w:eastAsiaTheme="majorEastAsia" w:cs="Arial"/>
          <w:color w:val="17365D" w:themeColor="text2" w:themeShade="BF"/>
          <w:sz w:val="28"/>
          <w:szCs w:val="24"/>
        </w:rPr>
        <w:t>Payment Streams</w:t>
      </w:r>
      <w:bookmarkEnd w:id="0"/>
      <w:bookmarkEnd w:id="1"/>
    </w:p>
    <w:p w14:paraId="60DBCFF4" w14:textId="50E1EFB0" w:rsidR="005A7EF7" w:rsidRDefault="0018722F" w:rsidP="00F36ED8">
      <w:pPr>
        <w:pStyle w:val="Default"/>
        <w:keepNext/>
        <w:spacing w:after="180"/>
        <w:jc w:val="both"/>
        <w:rPr>
          <w:rFonts w:ascii="Arial" w:hAnsi="Arial" w:cs="Arial"/>
          <w:bCs/>
        </w:rPr>
      </w:pPr>
      <w:r w:rsidRPr="00FB6E97">
        <w:rPr>
          <w:rFonts w:ascii="Arial" w:hAnsi="Arial" w:cs="Arial"/>
          <w:bCs/>
        </w:rPr>
        <w:t xml:space="preserve">The </w:t>
      </w:r>
      <w:r w:rsidR="002F14F2" w:rsidRPr="00FB6E97">
        <w:rPr>
          <w:rFonts w:ascii="Arial" w:hAnsi="Arial" w:cs="Arial"/>
          <w:bCs/>
        </w:rPr>
        <w:t xml:space="preserve">UK </w:t>
      </w:r>
      <w:r w:rsidR="00387EBA" w:rsidRPr="00FB6E97">
        <w:rPr>
          <w:rFonts w:ascii="Arial" w:hAnsi="Arial" w:cs="Arial"/>
          <w:bCs/>
        </w:rPr>
        <w:t xml:space="preserve">EITI </w:t>
      </w:r>
      <w:r w:rsidRPr="00FB6E97">
        <w:rPr>
          <w:rFonts w:ascii="Arial" w:hAnsi="Arial" w:cs="Arial"/>
          <w:bCs/>
        </w:rPr>
        <w:t>approach and methodol</w:t>
      </w:r>
      <w:r w:rsidR="001F1CB5" w:rsidRPr="00FB6E97">
        <w:rPr>
          <w:rFonts w:ascii="Arial" w:hAnsi="Arial" w:cs="Arial"/>
          <w:bCs/>
        </w:rPr>
        <w:t>o</w:t>
      </w:r>
      <w:r w:rsidRPr="00FB6E97">
        <w:rPr>
          <w:rFonts w:ascii="Arial" w:hAnsi="Arial" w:cs="Arial"/>
          <w:bCs/>
        </w:rPr>
        <w:t>gy</w:t>
      </w:r>
      <w:r w:rsidR="001F1CB5" w:rsidRPr="00FB6E97">
        <w:rPr>
          <w:rFonts w:ascii="Arial" w:hAnsi="Arial" w:cs="Arial"/>
          <w:bCs/>
        </w:rPr>
        <w:t xml:space="preserve"> </w:t>
      </w:r>
      <w:r w:rsidR="0050398A" w:rsidRPr="00FB6E97">
        <w:rPr>
          <w:rFonts w:ascii="Arial" w:hAnsi="Arial" w:cs="Arial"/>
          <w:bCs/>
        </w:rPr>
        <w:t xml:space="preserve">for </w:t>
      </w:r>
      <w:r w:rsidR="00387EBA" w:rsidRPr="00FB6E97">
        <w:rPr>
          <w:rFonts w:ascii="Arial" w:hAnsi="Arial" w:cs="Arial"/>
          <w:bCs/>
        </w:rPr>
        <w:t>reconciliation</w:t>
      </w:r>
      <w:r w:rsidR="0031197C" w:rsidRPr="00FB6E97">
        <w:rPr>
          <w:rFonts w:ascii="Arial" w:hAnsi="Arial" w:cs="Arial"/>
          <w:bCs/>
        </w:rPr>
        <w:t xml:space="preserve"> </w:t>
      </w:r>
      <w:r w:rsidR="0050398A" w:rsidRPr="00FB6E97">
        <w:rPr>
          <w:rFonts w:ascii="Arial" w:hAnsi="Arial" w:cs="Arial"/>
          <w:bCs/>
        </w:rPr>
        <w:t xml:space="preserve">have </w:t>
      </w:r>
      <w:r w:rsidR="001F1CB5" w:rsidRPr="00FB6E97">
        <w:rPr>
          <w:rFonts w:ascii="Arial" w:hAnsi="Arial" w:cs="Arial"/>
          <w:bCs/>
        </w:rPr>
        <w:t xml:space="preserve">evolved over time and </w:t>
      </w:r>
      <w:r w:rsidR="0050398A" w:rsidRPr="00FB6E97">
        <w:rPr>
          <w:rFonts w:ascii="Arial" w:hAnsi="Arial" w:cs="Arial"/>
          <w:bCs/>
        </w:rPr>
        <w:t xml:space="preserve">are </w:t>
      </w:r>
      <w:r w:rsidR="001F1CB5" w:rsidRPr="00FB6E97">
        <w:rPr>
          <w:rFonts w:ascii="Arial" w:hAnsi="Arial" w:cs="Arial"/>
          <w:bCs/>
        </w:rPr>
        <w:t>kept under review</w:t>
      </w:r>
      <w:r w:rsidR="002620AF" w:rsidRPr="00FB6E97">
        <w:rPr>
          <w:rFonts w:ascii="Arial" w:hAnsi="Arial" w:cs="Arial"/>
          <w:bCs/>
        </w:rPr>
        <w:t xml:space="preserve"> by the </w:t>
      </w:r>
      <w:r w:rsidR="001111BB">
        <w:rPr>
          <w:rFonts w:ascii="Arial" w:hAnsi="Arial" w:cs="Arial"/>
          <w:bCs/>
        </w:rPr>
        <w:t>UK Multi-Stakeholder Group (</w:t>
      </w:r>
      <w:r w:rsidR="002620AF" w:rsidRPr="00FB6E97">
        <w:rPr>
          <w:rFonts w:ascii="Arial" w:hAnsi="Arial" w:cs="Arial"/>
          <w:bCs/>
        </w:rPr>
        <w:t>MSG</w:t>
      </w:r>
      <w:r w:rsidR="001111BB">
        <w:rPr>
          <w:rFonts w:ascii="Arial" w:hAnsi="Arial" w:cs="Arial"/>
          <w:bCs/>
        </w:rPr>
        <w:t>)</w:t>
      </w:r>
      <w:r w:rsidR="002620AF" w:rsidRPr="00FB6E97">
        <w:rPr>
          <w:rFonts w:ascii="Arial" w:hAnsi="Arial" w:cs="Arial"/>
          <w:bCs/>
        </w:rPr>
        <w:t>.</w:t>
      </w:r>
    </w:p>
    <w:p w14:paraId="123225E9" w14:textId="20DB92C7" w:rsidR="00BB2673" w:rsidRPr="00BB2673" w:rsidRDefault="00BB2673" w:rsidP="00BB2673">
      <w:pPr>
        <w:pStyle w:val="Default"/>
        <w:keepNext/>
        <w:spacing w:after="180"/>
        <w:jc w:val="both"/>
        <w:rPr>
          <w:rFonts w:ascii="Arial" w:hAnsi="Arial" w:cs="Arial"/>
          <w:bCs/>
        </w:rPr>
      </w:pPr>
      <w:r w:rsidRPr="00BB2673">
        <w:rPr>
          <w:rFonts w:ascii="Arial" w:hAnsi="Arial" w:cs="Arial"/>
          <w:bCs/>
        </w:rPr>
        <w:t>The approach to and methodology for the collection and publication of information on extractive-related payments to the UK government in 202</w:t>
      </w:r>
      <w:r>
        <w:rPr>
          <w:rFonts w:ascii="Arial" w:hAnsi="Arial" w:cs="Arial"/>
          <w:bCs/>
        </w:rPr>
        <w:t>3</w:t>
      </w:r>
      <w:r w:rsidRPr="00BB2673">
        <w:rPr>
          <w:rFonts w:ascii="Arial" w:hAnsi="Arial" w:cs="Arial"/>
          <w:bCs/>
        </w:rPr>
        <w:t xml:space="preserve"> were the same as for </w:t>
      </w:r>
      <w:r w:rsidR="002926C0" w:rsidRPr="00BB2673">
        <w:rPr>
          <w:rFonts w:ascii="Arial" w:hAnsi="Arial" w:cs="Arial"/>
          <w:bCs/>
        </w:rPr>
        <w:t>20</w:t>
      </w:r>
      <w:r w:rsidR="002926C0">
        <w:rPr>
          <w:rFonts w:ascii="Arial" w:hAnsi="Arial" w:cs="Arial"/>
          <w:bCs/>
        </w:rPr>
        <w:t>22.</w:t>
      </w:r>
    </w:p>
    <w:p w14:paraId="73DC9BD4" w14:textId="2E5EDF6C" w:rsidR="00564C7C" w:rsidRPr="00FB6E97" w:rsidRDefault="00564C7C" w:rsidP="00B556D0">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Oil and gas sector</w:t>
      </w:r>
    </w:p>
    <w:p w14:paraId="7153194F" w14:textId="4C9535A4" w:rsidR="00564C7C" w:rsidRPr="00FB6E97" w:rsidRDefault="00564C7C" w:rsidP="00B14226">
      <w:pPr>
        <w:pStyle w:val="Default"/>
        <w:keepNext/>
        <w:spacing w:after="180"/>
        <w:jc w:val="both"/>
        <w:rPr>
          <w:rFonts w:ascii="Arial" w:hAnsi="Arial" w:cs="Arial"/>
          <w:bCs/>
        </w:rPr>
      </w:pPr>
      <w:r w:rsidRPr="00FB6E97">
        <w:rPr>
          <w:rFonts w:ascii="Arial" w:hAnsi="Arial" w:cs="Arial"/>
          <w:bCs/>
        </w:rPr>
        <w:t>The following revenue streams specific to UK oil and gas production are within scope for UK EITI:</w:t>
      </w:r>
    </w:p>
    <w:p w14:paraId="1BFEF14D" w14:textId="64331526" w:rsidR="004D6F8B" w:rsidRPr="00FB6E97" w:rsidRDefault="004D6F8B" w:rsidP="00B14226">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A combined total for Ring Fence Corporation Tax (RFCT) and the Supplementary Charge (SC</w:t>
      </w:r>
      <w:proofErr w:type="gramStart"/>
      <w:r w:rsidRPr="00FB6E97">
        <w:rPr>
          <w:rFonts w:ascii="Arial" w:hAnsi="Arial" w:cs="Arial"/>
          <w:color w:val="auto"/>
        </w:rPr>
        <w:t>);</w:t>
      </w:r>
      <w:proofErr w:type="gramEnd"/>
    </w:p>
    <w:p w14:paraId="11E076C0" w14:textId="4874FF4E" w:rsidR="00A620ED" w:rsidRPr="00FB6E97" w:rsidRDefault="00A620ED" w:rsidP="00A620ED">
      <w:pPr>
        <w:pStyle w:val="Default"/>
        <w:numPr>
          <w:ilvl w:val="0"/>
          <w:numId w:val="22"/>
        </w:numPr>
        <w:spacing w:after="180"/>
        <w:jc w:val="both"/>
        <w:rPr>
          <w:rFonts w:ascii="Arial" w:hAnsi="Arial" w:cs="Arial"/>
          <w:color w:val="auto"/>
        </w:rPr>
      </w:pPr>
      <w:r w:rsidRPr="00FB6E97">
        <w:rPr>
          <w:rFonts w:ascii="Arial" w:hAnsi="Arial" w:cs="Arial"/>
          <w:color w:val="auto"/>
        </w:rPr>
        <w:t>Energy (Oil and Gas) Profits Levy (EPL</w:t>
      </w:r>
      <w:proofErr w:type="gramStart"/>
      <w:r w:rsidRPr="00FB6E97">
        <w:rPr>
          <w:rFonts w:ascii="Arial" w:hAnsi="Arial" w:cs="Arial"/>
          <w:color w:val="auto"/>
        </w:rPr>
        <w:t>);</w:t>
      </w:r>
      <w:proofErr w:type="gramEnd"/>
    </w:p>
    <w:p w14:paraId="1E7BC55B" w14:textId="77777777" w:rsidR="004D6F8B" w:rsidRPr="00FB6E97" w:rsidRDefault="004D6F8B" w:rsidP="00B14226">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Petroleum Revenue Tax (PRT), including any Advance Petroleum Revenue Tax (APRT) repayments received (by field</w:t>
      </w:r>
      <w:proofErr w:type="gramStart"/>
      <w:r w:rsidRPr="00FB6E97">
        <w:rPr>
          <w:rFonts w:ascii="Arial" w:hAnsi="Arial" w:cs="Arial"/>
          <w:color w:val="auto"/>
        </w:rPr>
        <w:t>);</w:t>
      </w:r>
      <w:proofErr w:type="gramEnd"/>
    </w:p>
    <w:p w14:paraId="0545BA10" w14:textId="5304BDCD" w:rsidR="004D6F8B" w:rsidRPr="00FB6E97" w:rsidRDefault="004D6F8B" w:rsidP="00B14226">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Payments to </w:t>
      </w:r>
      <w:r w:rsidR="003A0C84" w:rsidRPr="00FB6E97">
        <w:rPr>
          <w:rFonts w:ascii="Arial" w:hAnsi="Arial" w:cs="Arial"/>
          <w:color w:val="auto"/>
        </w:rPr>
        <w:t>The Crown Estate (</w:t>
      </w:r>
      <w:r w:rsidR="005D5EB9" w:rsidRPr="00FB6E97">
        <w:rPr>
          <w:rFonts w:ascii="Arial" w:hAnsi="Arial" w:cs="Arial"/>
          <w:color w:val="auto"/>
        </w:rPr>
        <w:t>TCE</w:t>
      </w:r>
      <w:r w:rsidR="003A0C84" w:rsidRPr="00FB6E97">
        <w:rPr>
          <w:rFonts w:ascii="Arial" w:hAnsi="Arial" w:cs="Arial"/>
          <w:color w:val="auto"/>
        </w:rPr>
        <w:t>)</w:t>
      </w:r>
      <w:r w:rsidRPr="00FB6E97">
        <w:rPr>
          <w:rFonts w:ascii="Arial" w:hAnsi="Arial" w:cs="Arial"/>
          <w:color w:val="auto"/>
        </w:rPr>
        <w:t xml:space="preserve"> </w:t>
      </w:r>
      <w:r w:rsidR="007A1D8D" w:rsidRPr="00FB6E97">
        <w:rPr>
          <w:rFonts w:ascii="Arial" w:hAnsi="Arial" w:cs="Arial"/>
          <w:color w:val="auto"/>
        </w:rPr>
        <w:t xml:space="preserve">and </w:t>
      </w:r>
      <w:r w:rsidR="003A0C84" w:rsidRPr="00FB6E97">
        <w:rPr>
          <w:rFonts w:ascii="Arial" w:hAnsi="Arial" w:cs="Arial"/>
          <w:color w:val="auto"/>
        </w:rPr>
        <w:t>Crown Estate Scotland (</w:t>
      </w:r>
      <w:r w:rsidR="005D5EB9" w:rsidRPr="00FB6E97">
        <w:rPr>
          <w:rFonts w:ascii="Arial" w:hAnsi="Arial" w:cs="Arial"/>
          <w:color w:val="auto"/>
        </w:rPr>
        <w:t>CES</w:t>
      </w:r>
      <w:r w:rsidR="003A0C84" w:rsidRPr="00FB6E97">
        <w:rPr>
          <w:rFonts w:ascii="Arial" w:hAnsi="Arial" w:cs="Arial"/>
          <w:color w:val="auto"/>
        </w:rPr>
        <w:t>)</w:t>
      </w:r>
      <w:r w:rsidR="007A1D8D" w:rsidRPr="00FB6E97">
        <w:rPr>
          <w:rFonts w:ascii="Arial" w:hAnsi="Arial" w:cs="Arial"/>
          <w:color w:val="auto"/>
        </w:rPr>
        <w:t xml:space="preserve"> </w:t>
      </w:r>
      <w:r w:rsidRPr="00FB6E97">
        <w:rPr>
          <w:rFonts w:ascii="Arial" w:hAnsi="Arial" w:cs="Arial"/>
          <w:color w:val="auto"/>
        </w:rPr>
        <w:t>in respect of pipelines operated by companies that are engaged in UK extractive activities</w:t>
      </w:r>
      <w:r w:rsidR="00F50057">
        <w:rPr>
          <w:rFonts w:ascii="Arial" w:hAnsi="Arial" w:cs="Arial"/>
          <w:color w:val="auto"/>
        </w:rPr>
        <w:t>; and</w:t>
      </w:r>
    </w:p>
    <w:p w14:paraId="2559D4A0" w14:textId="344923BC" w:rsidR="00A620ED" w:rsidRPr="00FB6E97" w:rsidRDefault="002A5078" w:rsidP="00A620ED">
      <w:pPr>
        <w:pStyle w:val="Default"/>
        <w:numPr>
          <w:ilvl w:val="0"/>
          <w:numId w:val="22"/>
        </w:numPr>
        <w:spacing w:after="180"/>
        <w:jc w:val="both"/>
        <w:rPr>
          <w:rFonts w:ascii="Arial" w:hAnsi="Arial" w:cs="Arial"/>
          <w:color w:val="auto"/>
        </w:rPr>
      </w:pPr>
      <w:r w:rsidRPr="00FB6E97">
        <w:rPr>
          <w:rFonts w:ascii="Arial" w:hAnsi="Arial" w:cs="Arial"/>
          <w:color w:val="auto"/>
        </w:rPr>
        <w:t>M</w:t>
      </w:r>
      <w:r w:rsidR="00A620ED" w:rsidRPr="00FB6E97">
        <w:rPr>
          <w:rFonts w:ascii="Arial" w:hAnsi="Arial" w:cs="Arial"/>
          <w:color w:val="auto"/>
        </w:rPr>
        <w:t>onetary payments to local planning authorities as part of planning obligations.</w:t>
      </w:r>
    </w:p>
    <w:p w14:paraId="0D1FB69C" w14:textId="0B026055" w:rsidR="00D96C6E" w:rsidRPr="00FB6E97" w:rsidRDefault="00D96C6E" w:rsidP="00B14226">
      <w:pPr>
        <w:spacing w:after="180"/>
        <w:jc w:val="both"/>
      </w:pPr>
      <w:r w:rsidRPr="00FB6E97">
        <w:t xml:space="preserve">There are a number of specific issues to note in relation </w:t>
      </w:r>
      <w:r w:rsidR="003C6FC4" w:rsidRPr="00FB6E97">
        <w:t xml:space="preserve">to </w:t>
      </w:r>
      <w:r w:rsidR="00665E36" w:rsidRPr="00FB6E97">
        <w:t xml:space="preserve">some of </w:t>
      </w:r>
      <w:r w:rsidR="003C6FC4" w:rsidRPr="00FB6E97">
        <w:t>these payment streams.</w:t>
      </w:r>
    </w:p>
    <w:p w14:paraId="10A30FD6" w14:textId="36664539" w:rsidR="00564C7C" w:rsidRPr="00FB6E97" w:rsidRDefault="00564C7C" w:rsidP="00B14226">
      <w:pPr>
        <w:spacing w:after="180"/>
        <w:jc w:val="both"/>
      </w:pPr>
      <w:r w:rsidRPr="00FB6E97">
        <w:t xml:space="preserve">Larger oil and gas companies pay mainstream </w:t>
      </w:r>
      <w:r w:rsidR="00157B10">
        <w:t>corporation tax (</w:t>
      </w:r>
      <w:r w:rsidRPr="00FB6E97">
        <w:t>CT</w:t>
      </w:r>
      <w:r w:rsidR="00157B10">
        <w:t>)</w:t>
      </w:r>
      <w:r w:rsidRPr="00FB6E97">
        <w:t>, RFCT and SC in instalments “in-year” (based on estimates). A number of these instalments will consist of a single payment covering all three taxes, which are allocated only at a later date, too late to be included within the reconciliation</w:t>
      </w:r>
      <w:r w:rsidR="00AB210B" w:rsidRPr="00FB6E97">
        <w:t>,</w:t>
      </w:r>
      <w:r w:rsidR="00665E36" w:rsidRPr="00FB6E97">
        <w:t xml:space="preserve"> which is </w:t>
      </w:r>
      <w:r w:rsidR="000D00B7" w:rsidRPr="00FB6E97">
        <w:t xml:space="preserve">anyway </w:t>
      </w:r>
      <w:r w:rsidR="00665E36" w:rsidRPr="00FB6E97">
        <w:t>on a cash basis</w:t>
      </w:r>
      <w:r w:rsidRPr="00FB6E97">
        <w:t xml:space="preserve">. All three taxes are </w:t>
      </w:r>
      <w:r w:rsidR="00D3508A" w:rsidRPr="00FB6E97">
        <w:t xml:space="preserve">based </w:t>
      </w:r>
      <w:r w:rsidRPr="00FB6E97">
        <w:t xml:space="preserve">on profits so </w:t>
      </w:r>
      <w:r w:rsidR="00665E36" w:rsidRPr="00FB6E97">
        <w:t xml:space="preserve">could </w:t>
      </w:r>
      <w:r w:rsidRPr="00FB6E97">
        <w:t>be treated as a single revenue stream for EITI purposes but mainstream corporation tax paid by oil and gas producers is not related to their UK extractive activities and is therefore out of scope of the UK EITI</w:t>
      </w:r>
      <w:r w:rsidR="00AB210B" w:rsidRPr="00FB6E97">
        <w:t>,</w:t>
      </w:r>
      <w:r w:rsidRPr="00FB6E97">
        <w:t xml:space="preserve"> so should not be reported.</w:t>
      </w:r>
    </w:p>
    <w:p w14:paraId="5AA332F9" w14:textId="65C8A32E" w:rsidR="004850B8" w:rsidRPr="00FB6E97" w:rsidRDefault="00571149" w:rsidP="00B14226">
      <w:pPr>
        <w:spacing w:after="180"/>
        <w:jc w:val="both"/>
      </w:pPr>
      <w:r w:rsidRPr="00FB6E97">
        <w:t xml:space="preserve">When </w:t>
      </w:r>
      <w:r w:rsidR="00D3508A" w:rsidRPr="00FB6E97">
        <w:t xml:space="preserve">companies make </w:t>
      </w:r>
      <w:r w:rsidRPr="00FB6E97">
        <w:t xml:space="preserve">their payments to HMRC, </w:t>
      </w:r>
      <w:r w:rsidR="00D3508A" w:rsidRPr="00FB6E97">
        <w:t xml:space="preserve">they </w:t>
      </w:r>
      <w:r w:rsidR="00436D3A" w:rsidRPr="00FB6E97">
        <w:t>may</w:t>
      </w:r>
      <w:r w:rsidR="00564C7C" w:rsidRPr="00FB6E97">
        <w:t xml:space="preserve"> </w:t>
      </w:r>
      <w:r w:rsidR="005F6019" w:rsidRPr="00FB6E97">
        <w:t xml:space="preserve">elect </w:t>
      </w:r>
      <w:r w:rsidR="00564C7C" w:rsidRPr="00FB6E97">
        <w:t>to confirm the split between in-scope and out-of-scope payments</w:t>
      </w:r>
      <w:r w:rsidR="00DF6862" w:rsidRPr="00FB6E97">
        <w:t xml:space="preserve"> (respectively RFCT and SC </w:t>
      </w:r>
      <w:r w:rsidRPr="00FB6E97">
        <w:t xml:space="preserve">on the one hand </w:t>
      </w:r>
      <w:r w:rsidR="00DF6862" w:rsidRPr="00FB6E97">
        <w:t>and mainstream</w:t>
      </w:r>
      <w:r w:rsidRPr="00FB6E97">
        <w:t xml:space="preserve"> CT on the other</w:t>
      </w:r>
      <w:r w:rsidR="00DF6862" w:rsidRPr="00FB6E97">
        <w:t>)</w:t>
      </w:r>
      <w:r w:rsidR="00564C7C" w:rsidRPr="00FB6E97">
        <w:t>.</w:t>
      </w:r>
    </w:p>
    <w:p w14:paraId="4D4D9F37" w14:textId="77777777" w:rsidR="00E8273F" w:rsidRDefault="003A70BD" w:rsidP="00B14226">
      <w:pPr>
        <w:spacing w:after="180"/>
        <w:jc w:val="both"/>
        <w:sectPr w:rsidR="00E8273F" w:rsidSect="003A014E">
          <w:headerReference w:type="default" r:id="rId11"/>
          <w:footerReference w:type="default" r:id="rId12"/>
          <w:headerReference w:type="first" r:id="rId13"/>
          <w:footerReference w:type="first" r:id="rId14"/>
          <w:pgSz w:w="11907" w:h="16840" w:code="9"/>
          <w:pgMar w:top="1440" w:right="1440" w:bottom="1440" w:left="1440" w:header="706" w:footer="706" w:gutter="0"/>
          <w:cols w:space="708"/>
          <w:titlePg/>
          <w:docGrid w:linePitch="326"/>
        </w:sectPr>
      </w:pPr>
      <w:r w:rsidRPr="00FB6E97">
        <w:t>I</w:t>
      </w:r>
      <w:r w:rsidR="004850B8" w:rsidRPr="00FB6E97">
        <w:t xml:space="preserve">f </w:t>
      </w:r>
      <w:r w:rsidRPr="00FB6E97">
        <w:t xml:space="preserve">a </w:t>
      </w:r>
      <w:r w:rsidR="004850B8" w:rsidRPr="00FB6E97">
        <w:t xml:space="preserve">company/group has not tagged its RFCT/SC payments as distinct from its mainstream CT payments under the </w:t>
      </w:r>
      <w:r w:rsidR="00A92BE3" w:rsidRPr="00FB6E97">
        <w:t xml:space="preserve">group payment arrangement </w:t>
      </w:r>
      <w:r w:rsidR="002362FD" w:rsidRPr="00FB6E97">
        <w:t xml:space="preserve">(GPA) </w:t>
      </w:r>
      <w:r w:rsidR="004850B8" w:rsidRPr="00FB6E97">
        <w:t xml:space="preserve">then they </w:t>
      </w:r>
      <w:r w:rsidR="0013676D" w:rsidRPr="00FB6E97">
        <w:t>report</w:t>
      </w:r>
      <w:r w:rsidR="004850B8" w:rsidRPr="00FB6E97">
        <w:t xml:space="preserve"> the total payment</w:t>
      </w:r>
      <w:r w:rsidRPr="00FB6E97">
        <w:t>s</w:t>
      </w:r>
      <w:r w:rsidR="004850B8" w:rsidRPr="00FB6E97">
        <w:t xml:space="preserve"> made in the period. If tagging has been </w:t>
      </w:r>
      <w:r w:rsidR="0013676D" w:rsidRPr="00FB6E97">
        <w:t>used,</w:t>
      </w:r>
      <w:r w:rsidR="004850B8" w:rsidRPr="00FB6E97">
        <w:t xml:space="preserve"> </w:t>
      </w:r>
      <w:r w:rsidR="0013676D" w:rsidRPr="00FB6E97">
        <w:t>they report</w:t>
      </w:r>
      <w:r w:rsidR="004850B8" w:rsidRPr="00FB6E97">
        <w:t xml:space="preserve"> only the total tagged RFCT/SC payment</w:t>
      </w:r>
      <w:r w:rsidRPr="00FB6E97">
        <w:t>s</w:t>
      </w:r>
      <w:r w:rsidR="004850B8" w:rsidRPr="00FB6E97">
        <w:t>.</w:t>
      </w:r>
    </w:p>
    <w:p w14:paraId="2B685479" w14:textId="2751CB3C" w:rsidR="00F41119" w:rsidRPr="00FB6E97" w:rsidRDefault="00564C7C" w:rsidP="00B14226">
      <w:pPr>
        <w:spacing w:after="180"/>
        <w:jc w:val="both"/>
      </w:pPr>
      <w:r w:rsidRPr="00FB6E97">
        <w:lastRenderedPageBreak/>
        <w:t>PRT should be reported at the project level (i.e.</w:t>
      </w:r>
      <w:r w:rsidR="00034091" w:rsidRPr="00FB6E97">
        <w:t xml:space="preserve"> </w:t>
      </w:r>
      <w:r w:rsidRPr="00FB6E97">
        <w:t>by field). However, in practice many companies pay the liability for a number of fields in one payment, covering numerous projects. To accommodate the MSG’s decision</w:t>
      </w:r>
      <w:r w:rsidR="00FE4539" w:rsidRPr="00FB6E97">
        <w:t xml:space="preserve"> on reporting PRT payments by field</w:t>
      </w:r>
      <w:r w:rsidRPr="00FB6E97">
        <w:t>, HMRC agreed to provide a breakdown of the cash payments received</w:t>
      </w:r>
      <w:r w:rsidR="003D509E">
        <w:t>/cask repayments made</w:t>
      </w:r>
      <w:r w:rsidRPr="00FB6E97">
        <w:t xml:space="preserve"> by company and by field and to provide </w:t>
      </w:r>
      <w:r w:rsidR="00EB62F5" w:rsidRPr="00FB6E97">
        <w:t xml:space="preserve">this </w:t>
      </w:r>
      <w:r w:rsidRPr="00FB6E97">
        <w:t>data to the I</w:t>
      </w:r>
      <w:r w:rsidR="00D6670A" w:rsidRPr="00FB6E97">
        <w:t xml:space="preserve">ndependent </w:t>
      </w:r>
      <w:r w:rsidRPr="00FB6E97">
        <w:t>A</w:t>
      </w:r>
      <w:r w:rsidR="00D6670A" w:rsidRPr="00FB6E97">
        <w:t>dminis</w:t>
      </w:r>
      <w:r w:rsidR="00D333BE" w:rsidRPr="00FB6E97">
        <w:t>trator (IA)</w:t>
      </w:r>
      <w:r w:rsidRPr="00FB6E97">
        <w:t>.</w:t>
      </w:r>
    </w:p>
    <w:p w14:paraId="157A810A" w14:textId="64812E90" w:rsidR="00DD2E6A" w:rsidRPr="00FB6E97" w:rsidRDefault="00DD2E6A" w:rsidP="002A5078">
      <w:pPr>
        <w:spacing w:after="180"/>
        <w:jc w:val="both"/>
      </w:pPr>
      <w:r w:rsidRPr="00FB6E97">
        <w:t xml:space="preserve">As there is no central record of planning obligation payments, the MSG agreed these payments should be </w:t>
      </w:r>
      <w:r w:rsidR="00857161" w:rsidRPr="00FB6E97">
        <w:t>disclosed</w:t>
      </w:r>
      <w:r w:rsidRPr="00FB6E97">
        <w:t xml:space="preserve"> unilaterally by companies.</w:t>
      </w:r>
    </w:p>
    <w:p w14:paraId="2E932680" w14:textId="32758989" w:rsidR="00564C7C" w:rsidRPr="00FB6E97" w:rsidRDefault="00564C7C" w:rsidP="00B556D0">
      <w:pPr>
        <w:pStyle w:val="Heading3"/>
        <w:numPr>
          <w:ilvl w:val="1"/>
          <w:numId w:val="18"/>
        </w:numPr>
        <w:spacing w:before="120" w:after="120" w:line="264" w:lineRule="auto"/>
        <w:ind w:left="567" w:right="482" w:hanging="567"/>
        <w:rPr>
          <w:rFonts w:eastAsiaTheme="majorEastAsia"/>
          <w:bCs/>
          <w:kern w:val="16"/>
          <w:sz w:val="24"/>
          <w:szCs w:val="24"/>
          <w:lang w:eastAsia="en-GB"/>
        </w:rPr>
      </w:pPr>
      <w:bookmarkStart w:id="6" w:name="_Hlk512337949"/>
      <w:r w:rsidRPr="00FB6E97">
        <w:rPr>
          <w:rFonts w:eastAsiaTheme="majorEastAsia"/>
          <w:bCs/>
          <w:kern w:val="16"/>
          <w:sz w:val="24"/>
          <w:szCs w:val="24"/>
          <w:lang w:eastAsia="en-GB"/>
        </w:rPr>
        <w:t>Mining and quarrying sector</w:t>
      </w:r>
    </w:p>
    <w:bookmarkEnd w:id="6"/>
    <w:p w14:paraId="5E38D896" w14:textId="4FDD34EC" w:rsidR="00564C7C" w:rsidRPr="00FB6E97" w:rsidRDefault="00564C7C" w:rsidP="007B17BA">
      <w:pPr>
        <w:pStyle w:val="Default"/>
        <w:keepNext/>
        <w:spacing w:after="180"/>
        <w:jc w:val="both"/>
        <w:rPr>
          <w:rFonts w:ascii="Arial" w:hAnsi="Arial" w:cs="Arial"/>
          <w:bCs/>
        </w:rPr>
      </w:pPr>
      <w:r w:rsidRPr="00FB6E97">
        <w:rPr>
          <w:rFonts w:ascii="Arial" w:hAnsi="Arial" w:cs="Arial"/>
          <w:bCs/>
        </w:rPr>
        <w:t xml:space="preserve">The following revenue streams for the </w:t>
      </w:r>
      <w:r w:rsidR="00052EFA" w:rsidRPr="00FB6E97">
        <w:rPr>
          <w:rFonts w:ascii="Arial" w:hAnsi="Arial" w:cs="Arial"/>
          <w:bCs/>
        </w:rPr>
        <w:t xml:space="preserve">mining </w:t>
      </w:r>
      <w:r w:rsidRPr="00FB6E97">
        <w:rPr>
          <w:rFonts w:ascii="Arial" w:hAnsi="Arial" w:cs="Arial"/>
          <w:bCs/>
        </w:rPr>
        <w:t xml:space="preserve">and </w:t>
      </w:r>
      <w:r w:rsidR="00052EFA" w:rsidRPr="00FB6E97">
        <w:rPr>
          <w:rFonts w:ascii="Arial" w:hAnsi="Arial" w:cs="Arial"/>
          <w:bCs/>
        </w:rPr>
        <w:t xml:space="preserve">quarrying </w:t>
      </w:r>
      <w:r w:rsidRPr="00FB6E97">
        <w:rPr>
          <w:rFonts w:ascii="Arial" w:hAnsi="Arial" w:cs="Arial"/>
          <w:bCs/>
        </w:rPr>
        <w:t>sector are included within the scope for UK EITI:</w:t>
      </w:r>
    </w:p>
    <w:p w14:paraId="45D9D566" w14:textId="20469F4A" w:rsidR="00564C7C"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Corporation Tax</w:t>
      </w:r>
      <w:r w:rsidR="00C1751D" w:rsidRPr="00FB6E97">
        <w:rPr>
          <w:rFonts w:ascii="Arial" w:hAnsi="Arial" w:cs="Arial"/>
          <w:color w:val="auto"/>
        </w:rPr>
        <w:t xml:space="preserve"> (CT</w:t>
      </w:r>
      <w:proofErr w:type="gramStart"/>
      <w:r w:rsidR="00C1751D" w:rsidRPr="00FB6E97">
        <w:rPr>
          <w:rFonts w:ascii="Arial" w:hAnsi="Arial" w:cs="Arial"/>
          <w:color w:val="auto"/>
        </w:rPr>
        <w:t>)</w:t>
      </w:r>
      <w:r w:rsidRPr="00FB6E97">
        <w:rPr>
          <w:rFonts w:ascii="Arial" w:hAnsi="Arial" w:cs="Arial"/>
          <w:color w:val="auto"/>
        </w:rPr>
        <w:t>;</w:t>
      </w:r>
      <w:proofErr w:type="gramEnd"/>
    </w:p>
    <w:p w14:paraId="3563C962" w14:textId="760A8F3E" w:rsidR="00564C7C"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Payments to </w:t>
      </w:r>
      <w:r w:rsidR="00052EFA" w:rsidRPr="00FB6E97">
        <w:rPr>
          <w:rFonts w:ascii="Arial" w:hAnsi="Arial" w:cs="Arial"/>
          <w:color w:val="auto"/>
        </w:rPr>
        <w:t>TCE</w:t>
      </w:r>
      <w:r w:rsidR="00034091" w:rsidRPr="00FB6E97">
        <w:rPr>
          <w:rFonts w:ascii="Arial" w:hAnsi="Arial" w:cs="Arial"/>
          <w:color w:val="auto"/>
        </w:rPr>
        <w:t xml:space="preserve"> and </w:t>
      </w:r>
      <w:r w:rsidR="00052EFA" w:rsidRPr="00FB6E97">
        <w:rPr>
          <w:rFonts w:ascii="Arial" w:hAnsi="Arial" w:cs="Arial"/>
          <w:color w:val="auto"/>
        </w:rPr>
        <w:t>CES</w:t>
      </w:r>
      <w:r w:rsidRPr="00FB6E97">
        <w:rPr>
          <w:rFonts w:ascii="Arial" w:hAnsi="Arial" w:cs="Arial"/>
          <w:color w:val="auto"/>
        </w:rPr>
        <w:t>; and</w:t>
      </w:r>
    </w:p>
    <w:p w14:paraId="503189CB" w14:textId="15815D58" w:rsidR="00564C7C"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Monetary payments to </w:t>
      </w:r>
      <w:r w:rsidR="001111BB">
        <w:rPr>
          <w:rFonts w:ascii="Arial" w:hAnsi="Arial" w:cs="Arial"/>
          <w:color w:val="auto"/>
        </w:rPr>
        <w:t>l</w:t>
      </w:r>
      <w:r w:rsidRPr="00FB6E97">
        <w:rPr>
          <w:rFonts w:ascii="Arial" w:hAnsi="Arial" w:cs="Arial"/>
          <w:color w:val="auto"/>
        </w:rPr>
        <w:t xml:space="preserve">ocal </w:t>
      </w:r>
      <w:r w:rsidR="001111BB">
        <w:rPr>
          <w:rFonts w:ascii="Arial" w:hAnsi="Arial" w:cs="Arial"/>
          <w:color w:val="auto"/>
        </w:rPr>
        <w:t>p</w:t>
      </w:r>
      <w:r w:rsidRPr="00FB6E97">
        <w:rPr>
          <w:rFonts w:ascii="Arial" w:hAnsi="Arial" w:cs="Arial"/>
          <w:color w:val="auto"/>
        </w:rPr>
        <w:t xml:space="preserve">lanning </w:t>
      </w:r>
      <w:r w:rsidR="001111BB">
        <w:rPr>
          <w:rFonts w:ascii="Arial" w:hAnsi="Arial" w:cs="Arial"/>
          <w:color w:val="auto"/>
        </w:rPr>
        <w:t>a</w:t>
      </w:r>
      <w:r w:rsidRPr="00FB6E97">
        <w:rPr>
          <w:rFonts w:ascii="Arial" w:hAnsi="Arial" w:cs="Arial"/>
          <w:color w:val="auto"/>
        </w:rPr>
        <w:t>uthorities as part of planning obligations.</w:t>
      </w:r>
    </w:p>
    <w:p w14:paraId="17801EBE" w14:textId="77777777" w:rsidR="00564C7C" w:rsidRPr="00FB6E97" w:rsidRDefault="00564C7C" w:rsidP="00F36ED8">
      <w:pPr>
        <w:pStyle w:val="Default"/>
        <w:spacing w:after="180"/>
        <w:jc w:val="both"/>
        <w:rPr>
          <w:rFonts w:ascii="Arial" w:hAnsi="Arial" w:cs="Arial"/>
        </w:rPr>
      </w:pPr>
      <w:r w:rsidRPr="00FB6E97">
        <w:rPr>
          <w:rFonts w:ascii="Arial" w:hAnsi="Arial" w:cs="Arial"/>
        </w:rPr>
        <w:t xml:space="preserve">As there is no central record of planning obligation payments, the MSG agreed these payments should be </w:t>
      </w:r>
      <w:r w:rsidR="00857161" w:rsidRPr="00FB6E97">
        <w:rPr>
          <w:rFonts w:ascii="Arial" w:hAnsi="Arial" w:cs="Arial"/>
        </w:rPr>
        <w:t>disclosed</w:t>
      </w:r>
      <w:r w:rsidRPr="00FB6E97">
        <w:rPr>
          <w:rFonts w:ascii="Arial" w:hAnsi="Arial" w:cs="Arial"/>
        </w:rPr>
        <w:t xml:space="preserve"> unilaterally by companies.</w:t>
      </w:r>
    </w:p>
    <w:p w14:paraId="0514DF3D" w14:textId="77777777" w:rsidR="00416178" w:rsidRPr="00FB6E97" w:rsidRDefault="00416178" w:rsidP="008B7E5F">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Miscellaneous</w:t>
      </w:r>
    </w:p>
    <w:p w14:paraId="0CC4E714" w14:textId="2BBB69A2" w:rsidR="00416178" w:rsidRPr="00FB6E97" w:rsidRDefault="00820CE4" w:rsidP="007B17BA">
      <w:pPr>
        <w:pStyle w:val="Default"/>
        <w:keepNext/>
        <w:spacing w:after="180"/>
        <w:jc w:val="both"/>
        <w:rPr>
          <w:rFonts w:ascii="Arial" w:hAnsi="Arial" w:cs="Arial"/>
          <w:bCs/>
        </w:rPr>
      </w:pPr>
      <w:r w:rsidRPr="00FB6E97">
        <w:rPr>
          <w:rFonts w:ascii="Arial" w:hAnsi="Arial" w:cs="Arial"/>
          <w:bCs/>
        </w:rPr>
        <w:t xml:space="preserve">The MSG </w:t>
      </w:r>
      <w:r w:rsidR="00416178" w:rsidRPr="00FB6E97">
        <w:rPr>
          <w:rFonts w:ascii="Arial" w:hAnsi="Arial" w:cs="Arial"/>
          <w:bCs/>
        </w:rPr>
        <w:t>confirmed that the following categories of payment are not present in the context of the UK extractives sector:</w:t>
      </w:r>
    </w:p>
    <w:p w14:paraId="78E19B6A" w14:textId="75B03778" w:rsidR="00416178" w:rsidRPr="00FB6E97" w:rsidRDefault="00416178"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in-kind revenues</w:t>
      </w:r>
      <w:r w:rsidR="00484555" w:rsidRPr="00FB6E97">
        <w:rPr>
          <w:rFonts w:ascii="Arial" w:hAnsi="Arial" w:cs="Arial"/>
          <w:color w:val="auto"/>
        </w:rPr>
        <w:t>;</w:t>
      </w:r>
      <w:r w:rsidR="00703C59" w:rsidRPr="00FB6E97">
        <w:rPr>
          <w:rStyle w:val="FootnoteReference"/>
          <w:rFonts w:ascii="Arial" w:hAnsi="Arial" w:cs="Arial"/>
          <w:color w:val="auto"/>
        </w:rPr>
        <w:footnoteReference w:id="2"/>
      </w:r>
    </w:p>
    <w:p w14:paraId="5CA9DA84" w14:textId="6D0A5C88" w:rsidR="00416178" w:rsidRPr="00FB6E97" w:rsidRDefault="00416178" w:rsidP="000E2964">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infrastructure provisions</w:t>
      </w:r>
      <w:r w:rsidR="00484555" w:rsidRPr="00FB6E97">
        <w:rPr>
          <w:rFonts w:ascii="Arial" w:hAnsi="Arial" w:cs="Arial"/>
          <w:color w:val="auto"/>
        </w:rPr>
        <w:t xml:space="preserve"> and </w:t>
      </w:r>
      <w:r w:rsidRPr="00FB6E97">
        <w:rPr>
          <w:rFonts w:ascii="Arial" w:hAnsi="Arial" w:cs="Arial"/>
          <w:color w:val="auto"/>
        </w:rPr>
        <w:t>barter arrangements</w:t>
      </w:r>
      <w:r w:rsidR="00484555" w:rsidRPr="00FB6E97">
        <w:rPr>
          <w:rFonts w:ascii="Arial" w:hAnsi="Arial" w:cs="Arial"/>
          <w:color w:val="auto"/>
        </w:rPr>
        <w:t>;</w:t>
      </w:r>
      <w:r w:rsidR="00CB5EB0" w:rsidRPr="00FB6E97">
        <w:rPr>
          <w:rStyle w:val="FootnoteReference"/>
          <w:rFonts w:ascii="Arial" w:hAnsi="Arial" w:cs="Arial"/>
          <w:color w:val="auto"/>
        </w:rPr>
        <w:footnoteReference w:id="3"/>
      </w:r>
      <w:r w:rsidR="00134A4A" w:rsidRPr="00FB6E97">
        <w:rPr>
          <w:rFonts w:ascii="Arial" w:hAnsi="Arial" w:cs="Arial"/>
          <w:color w:val="auto"/>
        </w:rPr>
        <w:t xml:space="preserve"> and</w:t>
      </w:r>
    </w:p>
    <w:p w14:paraId="04AEB3B5" w14:textId="2D00FFC5" w:rsidR="001A1CF0" w:rsidRPr="00FB6E97" w:rsidRDefault="00416178"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transportation payments</w:t>
      </w:r>
      <w:r w:rsidR="00484555" w:rsidRPr="00FB6E97">
        <w:rPr>
          <w:rFonts w:ascii="Arial" w:hAnsi="Arial" w:cs="Arial"/>
          <w:color w:val="auto"/>
        </w:rPr>
        <w:t>.</w:t>
      </w:r>
      <w:r w:rsidR="006B0125" w:rsidRPr="00FB6E97">
        <w:rPr>
          <w:rStyle w:val="FootnoteReference"/>
          <w:rFonts w:ascii="Arial" w:hAnsi="Arial" w:cs="Arial"/>
          <w:color w:val="auto"/>
        </w:rPr>
        <w:footnoteReference w:id="4"/>
      </w:r>
    </w:p>
    <w:p w14:paraId="00AA0355" w14:textId="77777777" w:rsidR="00201FAE" w:rsidRPr="00FB6E97" w:rsidRDefault="00201FAE" w:rsidP="00F36ED8">
      <w:pPr>
        <w:pStyle w:val="Default"/>
        <w:spacing w:after="180"/>
        <w:jc w:val="both"/>
        <w:rPr>
          <w:rFonts w:ascii="Arial" w:hAnsi="Arial" w:cs="Arial"/>
        </w:rPr>
      </w:pPr>
      <w:r w:rsidRPr="00FB6E97">
        <w:rPr>
          <w:rFonts w:ascii="Arial" w:hAnsi="Arial" w:cs="Arial"/>
        </w:rPr>
        <w:t>The MSG decided that any interest or penalty payments should be included as an element of the payment with which they are associated.</w:t>
      </w:r>
    </w:p>
    <w:p w14:paraId="1E89F546" w14:textId="1386A729" w:rsidR="00564C7C" w:rsidRPr="00FB6E97" w:rsidRDefault="00564C7C"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bookmarkStart w:id="7" w:name="_Toc478377611"/>
      <w:bookmarkStart w:id="8" w:name="_Toc513063211"/>
      <w:r w:rsidRPr="00FB6E97">
        <w:rPr>
          <w:rFonts w:eastAsiaTheme="majorEastAsia" w:cs="Arial"/>
          <w:color w:val="17365D" w:themeColor="text2" w:themeShade="BF"/>
          <w:sz w:val="28"/>
          <w:szCs w:val="24"/>
        </w:rPr>
        <w:t>Government Agencies</w:t>
      </w:r>
      <w:bookmarkEnd w:id="7"/>
      <w:bookmarkEnd w:id="8"/>
    </w:p>
    <w:p w14:paraId="2D93344E" w14:textId="79A72CED" w:rsidR="00564C7C" w:rsidRPr="00FB6E97" w:rsidRDefault="00564C7C" w:rsidP="00F36ED8">
      <w:pPr>
        <w:pStyle w:val="Default"/>
        <w:keepNext/>
        <w:spacing w:after="180"/>
        <w:jc w:val="both"/>
        <w:rPr>
          <w:rFonts w:ascii="Arial" w:hAnsi="Arial" w:cs="Arial"/>
        </w:rPr>
      </w:pPr>
      <w:r w:rsidRPr="00FB6E97">
        <w:rPr>
          <w:rFonts w:ascii="Arial" w:hAnsi="Arial" w:cs="Arial"/>
        </w:rPr>
        <w:t xml:space="preserve">The Government Agencies </w:t>
      </w:r>
      <w:r w:rsidR="00C039BF">
        <w:rPr>
          <w:rFonts w:ascii="Arial" w:hAnsi="Arial" w:cs="Arial"/>
        </w:rPr>
        <w:t xml:space="preserve">payments to which are </w:t>
      </w:r>
      <w:r w:rsidR="00E113C1" w:rsidRPr="00FB6E97">
        <w:rPr>
          <w:rFonts w:ascii="Arial" w:hAnsi="Arial" w:cs="Arial"/>
        </w:rPr>
        <w:t>included within the scope of</w:t>
      </w:r>
      <w:r w:rsidRPr="00FB6E97">
        <w:rPr>
          <w:rFonts w:ascii="Arial" w:hAnsi="Arial" w:cs="Arial"/>
        </w:rPr>
        <w:t xml:space="preserve"> UK EITI </w:t>
      </w:r>
      <w:r w:rsidR="00F52442" w:rsidRPr="00FB6E97">
        <w:rPr>
          <w:rFonts w:ascii="Arial" w:hAnsi="Arial" w:cs="Arial"/>
        </w:rPr>
        <w:t>are</w:t>
      </w:r>
      <w:r w:rsidRPr="00FB6E97">
        <w:rPr>
          <w:rFonts w:ascii="Arial" w:hAnsi="Arial" w:cs="Arial"/>
        </w:rPr>
        <w:t>:</w:t>
      </w:r>
    </w:p>
    <w:p w14:paraId="57244088" w14:textId="347D9033" w:rsidR="00564C7C" w:rsidRPr="00FB6E97" w:rsidRDefault="00E343FB" w:rsidP="00E343FB">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His </w:t>
      </w:r>
      <w:r w:rsidR="00564C7C" w:rsidRPr="00FB6E97">
        <w:rPr>
          <w:rFonts w:ascii="Arial" w:hAnsi="Arial" w:cs="Arial"/>
          <w:color w:val="auto"/>
        </w:rPr>
        <w:t>Majesty’s Revenue and Customs (HMRC</w:t>
      </w:r>
      <w:proofErr w:type="gramStart"/>
      <w:r w:rsidR="00564C7C" w:rsidRPr="00FB6E97">
        <w:rPr>
          <w:rFonts w:ascii="Arial" w:hAnsi="Arial" w:cs="Arial"/>
          <w:color w:val="auto"/>
        </w:rPr>
        <w:t>);</w:t>
      </w:r>
      <w:proofErr w:type="gramEnd"/>
      <w:r w:rsidRPr="00FB6E97" w:rsidDel="00E343FB">
        <w:rPr>
          <w:rFonts w:ascii="Arial" w:hAnsi="Arial" w:cs="Arial"/>
          <w:color w:val="auto"/>
        </w:rPr>
        <w:t xml:space="preserve"> </w:t>
      </w:r>
    </w:p>
    <w:p w14:paraId="7CF26D4B" w14:textId="5011C41A" w:rsidR="00F52442"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The Crown Estate (TCE</w:t>
      </w:r>
      <w:proofErr w:type="gramStart"/>
      <w:r w:rsidRPr="00FB6E97">
        <w:rPr>
          <w:rFonts w:ascii="Arial" w:hAnsi="Arial" w:cs="Arial"/>
          <w:color w:val="auto"/>
        </w:rPr>
        <w:t>);</w:t>
      </w:r>
      <w:proofErr w:type="gramEnd"/>
    </w:p>
    <w:p w14:paraId="24CC7BA0" w14:textId="549CEF89" w:rsidR="00564C7C" w:rsidRPr="00FB6E97" w:rsidRDefault="00F52442"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Crown Estate Scotland </w:t>
      </w:r>
      <w:r w:rsidR="00B56AEF" w:rsidRPr="00FB6E97">
        <w:rPr>
          <w:rFonts w:ascii="Arial" w:hAnsi="Arial" w:cs="Arial"/>
          <w:color w:val="auto"/>
        </w:rPr>
        <w:t>(CES</w:t>
      </w:r>
      <w:r w:rsidR="00916C7D" w:rsidRPr="00FB6E97">
        <w:rPr>
          <w:rFonts w:ascii="Arial" w:hAnsi="Arial" w:cs="Arial"/>
          <w:color w:val="auto"/>
        </w:rPr>
        <w:t>)</w:t>
      </w:r>
      <w:r w:rsidR="001D5639" w:rsidRPr="00FB6E97">
        <w:rPr>
          <w:rFonts w:ascii="Arial" w:hAnsi="Arial" w:cs="Arial"/>
          <w:color w:val="auto"/>
        </w:rPr>
        <w:t>; and</w:t>
      </w:r>
    </w:p>
    <w:p w14:paraId="75558FA4" w14:textId="7F397A70" w:rsidR="00E343FB" w:rsidRPr="00FB6E97" w:rsidRDefault="00E343FB"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The North Sea Transition Authority (NSTA)</w:t>
      </w:r>
      <w:r w:rsidR="00A41DD3" w:rsidRPr="00FB6E97">
        <w:rPr>
          <w:rFonts w:ascii="Arial" w:hAnsi="Arial" w:cs="Arial"/>
          <w:color w:val="auto"/>
        </w:rPr>
        <w:t>.</w:t>
      </w:r>
      <w:r w:rsidR="00A234BC" w:rsidRPr="00FB6E97">
        <w:rPr>
          <w:rStyle w:val="FootnoteReference"/>
          <w:rFonts w:ascii="Arial" w:hAnsi="Arial" w:cs="Arial"/>
          <w:color w:val="auto"/>
        </w:rPr>
        <w:footnoteReference w:id="5"/>
      </w:r>
    </w:p>
    <w:p w14:paraId="1F03C3BC" w14:textId="77777777" w:rsidR="00981539" w:rsidRDefault="00981539"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sectPr w:rsidR="00981539" w:rsidSect="003A014E">
          <w:headerReference w:type="first" r:id="rId15"/>
          <w:pgSz w:w="11907" w:h="16840" w:code="9"/>
          <w:pgMar w:top="1440" w:right="1440" w:bottom="1440" w:left="1440" w:header="706" w:footer="706" w:gutter="0"/>
          <w:cols w:space="708"/>
          <w:titlePg/>
          <w:docGrid w:linePitch="326"/>
        </w:sectPr>
      </w:pPr>
      <w:bookmarkStart w:id="9" w:name="_Toc478377612"/>
      <w:bookmarkStart w:id="10" w:name="_Toc513063212"/>
    </w:p>
    <w:p w14:paraId="0B325E18" w14:textId="77777777" w:rsidR="00564C7C" w:rsidRPr="00FB6E97" w:rsidRDefault="00564C7C"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r w:rsidRPr="00FB6E97">
        <w:rPr>
          <w:rFonts w:eastAsiaTheme="majorEastAsia" w:cs="Arial"/>
          <w:color w:val="17365D" w:themeColor="text2" w:themeShade="BF"/>
          <w:sz w:val="28"/>
          <w:szCs w:val="24"/>
        </w:rPr>
        <w:lastRenderedPageBreak/>
        <w:t>Materiality Threshold</w:t>
      </w:r>
      <w:bookmarkEnd w:id="9"/>
      <w:bookmarkEnd w:id="10"/>
    </w:p>
    <w:p w14:paraId="26506948" w14:textId="6D5F255C" w:rsidR="00564C7C" w:rsidRPr="00FB6E97" w:rsidRDefault="00564C7C" w:rsidP="00F36ED8">
      <w:pPr>
        <w:pStyle w:val="Default"/>
        <w:spacing w:after="180"/>
        <w:jc w:val="both"/>
        <w:rPr>
          <w:rFonts w:ascii="Arial" w:hAnsi="Arial" w:cs="Arial"/>
        </w:rPr>
      </w:pPr>
      <w:r w:rsidRPr="00FB6E97">
        <w:rPr>
          <w:rFonts w:ascii="Arial" w:hAnsi="Arial" w:cs="Arial"/>
        </w:rPr>
        <w:t>The MSG took an early decision to shadow the Reports on Payments to Governments Regulations 2014 where practicable.</w:t>
      </w:r>
      <w:r w:rsidRPr="00FB6E97">
        <w:rPr>
          <w:rStyle w:val="FootnoteReference"/>
          <w:rFonts w:ascii="Arial" w:hAnsi="Arial" w:cs="Arial"/>
        </w:rPr>
        <w:footnoteReference w:id="6"/>
      </w:r>
      <w:r w:rsidRPr="00FB6E97">
        <w:rPr>
          <w:rFonts w:ascii="Arial" w:hAnsi="Arial" w:cs="Arial"/>
        </w:rPr>
        <w:t xml:space="preserve"> These regulations implement</w:t>
      </w:r>
      <w:r w:rsidR="00737E91" w:rsidRPr="00FB6E97">
        <w:rPr>
          <w:rFonts w:ascii="Arial" w:hAnsi="Arial" w:cs="Arial"/>
        </w:rPr>
        <w:t>ed</w:t>
      </w:r>
      <w:r w:rsidRPr="00FB6E97">
        <w:rPr>
          <w:rFonts w:ascii="Arial" w:hAnsi="Arial" w:cs="Arial"/>
        </w:rPr>
        <w:t xml:space="preserve"> the 2013 EU Accounting Directive</w:t>
      </w:r>
      <w:r w:rsidR="00F127D8" w:rsidRPr="00FB6E97">
        <w:rPr>
          <w:rFonts w:ascii="Arial" w:hAnsi="Arial" w:cs="Arial"/>
        </w:rPr>
        <w:t>,</w:t>
      </w:r>
      <w:r w:rsidR="00AE2916" w:rsidRPr="00FB6E97">
        <w:rPr>
          <w:rStyle w:val="FootnoteReference"/>
          <w:rFonts w:ascii="Arial" w:hAnsi="Arial" w:cs="Arial"/>
        </w:rPr>
        <w:footnoteReference w:id="7"/>
      </w:r>
      <w:r w:rsidRPr="00FB6E97">
        <w:rPr>
          <w:rFonts w:ascii="Arial" w:hAnsi="Arial" w:cs="Arial"/>
        </w:rPr>
        <w:t xml:space="preserve"> which requires all EU large and publicly listed extractives companies to publish the payments they make to governments in all the countries where they operate.</w:t>
      </w:r>
    </w:p>
    <w:p w14:paraId="75E3A939" w14:textId="037DC58E" w:rsidR="00564C7C" w:rsidRPr="00981539" w:rsidRDefault="00564C7C" w:rsidP="00F36ED8">
      <w:pPr>
        <w:pStyle w:val="Default"/>
        <w:spacing w:after="180"/>
        <w:jc w:val="both"/>
        <w:rPr>
          <w:rFonts w:ascii="Arial" w:hAnsi="Arial" w:cs="Arial"/>
        </w:rPr>
      </w:pPr>
      <w:r w:rsidRPr="00FB6E97">
        <w:rPr>
          <w:rFonts w:ascii="Arial" w:hAnsi="Arial" w:cs="Arial"/>
        </w:rPr>
        <w:t xml:space="preserve">For the UK EITI, in line with the above regulations, the materiality threshold is set at £86,000 </w:t>
      </w:r>
      <w:r w:rsidR="00F127D8" w:rsidRPr="00FB6E97">
        <w:rPr>
          <w:rFonts w:ascii="Arial" w:hAnsi="Arial" w:cs="Arial"/>
        </w:rPr>
        <w:t>(</w:t>
      </w:r>
      <w:r w:rsidR="006E0F3B">
        <w:rPr>
          <w:rFonts w:ascii="Arial" w:hAnsi="Arial" w:cs="Arial"/>
        </w:rPr>
        <w:t xml:space="preserve">which was equivalent to </w:t>
      </w:r>
      <w:r w:rsidR="00F127D8" w:rsidRPr="00FB6E97">
        <w:rPr>
          <w:rFonts w:ascii="Arial" w:hAnsi="Arial" w:cs="Arial"/>
        </w:rPr>
        <w:t xml:space="preserve">€100,000) </w:t>
      </w:r>
      <w:r w:rsidRPr="00FB6E97">
        <w:rPr>
          <w:rFonts w:ascii="Arial" w:hAnsi="Arial" w:cs="Arial"/>
        </w:rPr>
        <w:t xml:space="preserve">and will apply to each revenue stream at group level. The threshold applies to the </w:t>
      </w:r>
      <w:r w:rsidR="00E82465" w:rsidRPr="00FB6E97">
        <w:rPr>
          <w:rFonts w:ascii="Arial" w:hAnsi="Arial" w:cs="Arial"/>
        </w:rPr>
        <w:t xml:space="preserve">net </w:t>
      </w:r>
      <w:r w:rsidRPr="00FB6E97">
        <w:rPr>
          <w:rFonts w:ascii="Arial" w:hAnsi="Arial" w:cs="Arial"/>
        </w:rPr>
        <w:t>total of payments and repayments – once the threshold has been reached in a revenue stream, then all individual payments within that stream will be included. This means that individual payments below £86,000 are included within the revenue stream total once the threshold has been reached.</w:t>
      </w:r>
    </w:p>
    <w:p w14:paraId="15AF29BD" w14:textId="70279FB9" w:rsidR="00981539" w:rsidRDefault="000D1FF5"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bookmarkStart w:id="11" w:name="_Toc478377613"/>
      <w:bookmarkStart w:id="12" w:name="_Toc513063213"/>
      <w:r w:rsidRPr="000D1FF5">
        <w:rPr>
          <w:rFonts w:eastAsiaTheme="majorEastAsia" w:cs="Arial"/>
          <w:color w:val="17365D" w:themeColor="text2" w:themeShade="BF"/>
          <w:sz w:val="28"/>
          <w:szCs w:val="24"/>
        </w:rPr>
        <w:t>Key changes</w:t>
      </w:r>
    </w:p>
    <w:p w14:paraId="2F671D23" w14:textId="487BC33D" w:rsidR="00C9156D" w:rsidRPr="00254428" w:rsidRDefault="00C9156D" w:rsidP="00503734">
      <w:pPr>
        <w:pStyle w:val="Default"/>
        <w:spacing w:after="180"/>
        <w:jc w:val="both"/>
      </w:pPr>
      <w:r w:rsidRPr="00503734">
        <w:rPr>
          <w:rFonts w:ascii="Arial" w:hAnsi="Arial" w:cs="Arial"/>
        </w:rPr>
        <w:t xml:space="preserve">The UK 2023 EITI Payments Report </w:t>
      </w:r>
      <w:r w:rsidR="002926C0">
        <w:rPr>
          <w:rFonts w:ascii="Arial" w:hAnsi="Arial" w:cs="Arial"/>
        </w:rPr>
        <w:t>is</w:t>
      </w:r>
      <w:r w:rsidRPr="00503734">
        <w:rPr>
          <w:rFonts w:ascii="Arial" w:hAnsi="Arial" w:cs="Arial"/>
        </w:rPr>
        <w:t xml:space="preserve"> the first to follow the </w:t>
      </w:r>
      <w:hyperlink r:id="rId16" w:history="1">
        <w:r w:rsidRPr="00503734">
          <w:rPr>
            <w:rFonts w:ascii="Arial" w:hAnsi="Arial"/>
          </w:rPr>
          <w:t>2023 EITI Standard</w:t>
        </w:r>
      </w:hyperlink>
      <w:r w:rsidRPr="00503734">
        <w:rPr>
          <w:rFonts w:ascii="Arial" w:hAnsi="Arial" w:cs="Arial"/>
        </w:rPr>
        <w:t xml:space="preserve"> launched in Dakar in June 2023. This includes several new and refined provisions that enable countries to respond to the most pressing challenges in governing natural resource extraction. It strengthens EITI disclosures and governance requirements to improve understanding of the impact of the energy transition, addresses corruption risks, promotes gender equity and strengthens revenue collection.</w:t>
      </w:r>
    </w:p>
    <w:p w14:paraId="1BCBD473" w14:textId="5CB8BB5F" w:rsidR="00C9156D" w:rsidRPr="00503734" w:rsidRDefault="00C9156D" w:rsidP="00503734">
      <w:pPr>
        <w:pStyle w:val="Default"/>
        <w:spacing w:after="180"/>
        <w:jc w:val="both"/>
      </w:pPr>
      <w:r w:rsidRPr="00503734">
        <w:rPr>
          <w:rFonts w:ascii="Arial" w:hAnsi="Arial" w:cs="Arial"/>
        </w:rPr>
        <w:t>For UK companies, the MSG agreed to include seven of the new or refined provisions in the 2023 Payments Report. The remaining new provisions will be considered further and may be introduced in future years. The table below shows these changes compared to the 2022 process:</w:t>
      </w:r>
    </w:p>
    <w:tbl>
      <w:tblPr>
        <w:tblW w:w="5018" w:type="pct"/>
        <w:tblLayout w:type="fixed"/>
        <w:tblCellMar>
          <w:left w:w="0" w:type="dxa"/>
          <w:right w:w="0" w:type="dxa"/>
        </w:tblCellMar>
        <w:tblLook w:val="04A0" w:firstRow="1" w:lastRow="0" w:firstColumn="1" w:lastColumn="0" w:noHBand="0" w:noVBand="1"/>
      </w:tblPr>
      <w:tblGrid>
        <w:gridCol w:w="456"/>
        <w:gridCol w:w="1921"/>
        <w:gridCol w:w="1638"/>
        <w:gridCol w:w="1361"/>
        <w:gridCol w:w="3683"/>
      </w:tblGrid>
      <w:tr w:rsidR="001F08EA" w:rsidRPr="00FA484C" w14:paraId="34696EA3" w14:textId="77777777" w:rsidTr="002C6E02">
        <w:trPr>
          <w:cantSplit/>
          <w:tblHeader/>
        </w:trPr>
        <w:tc>
          <w:tcPr>
            <w:tcW w:w="252" w:type="pct"/>
            <w:shd w:val="clear" w:color="auto" w:fill="203764"/>
            <w:tcMar>
              <w:top w:w="0" w:type="dxa"/>
              <w:left w:w="108" w:type="dxa"/>
              <w:bottom w:w="0" w:type="dxa"/>
              <w:right w:w="108" w:type="dxa"/>
            </w:tcMar>
            <w:vAlign w:val="center"/>
            <w:hideMark/>
          </w:tcPr>
          <w:p w14:paraId="75A205D5" w14:textId="77777777" w:rsidR="00317976" w:rsidRPr="00FA484C" w:rsidRDefault="00317976" w:rsidP="00FA484C">
            <w:pPr>
              <w:spacing w:before="40" w:after="40"/>
              <w:jc w:val="center"/>
              <w:rPr>
                <w:rFonts w:asciiTheme="minorBidi" w:hAnsiTheme="minorBidi" w:cstheme="minorBidi"/>
                <w:b/>
                <w:bCs/>
                <w:color w:val="FFFFFF"/>
                <w:sz w:val="18"/>
                <w:szCs w:val="18"/>
                <w:lang w:val="fr-FR" w:eastAsia="en-GB"/>
              </w:rPr>
            </w:pPr>
            <w:r w:rsidRPr="00FA484C">
              <w:rPr>
                <w:rFonts w:asciiTheme="minorBidi" w:hAnsiTheme="minorBidi" w:cstheme="minorBidi"/>
                <w:b/>
                <w:bCs/>
                <w:color w:val="FFFFFF"/>
                <w:sz w:val="18"/>
                <w:szCs w:val="18"/>
                <w:lang w:eastAsia="en-GB"/>
              </w:rPr>
              <w:t>N°</w:t>
            </w:r>
          </w:p>
        </w:tc>
        <w:tc>
          <w:tcPr>
            <w:tcW w:w="1060" w:type="pct"/>
            <w:shd w:val="clear" w:color="auto" w:fill="203764"/>
            <w:tcMar>
              <w:top w:w="0" w:type="dxa"/>
              <w:left w:w="108" w:type="dxa"/>
              <w:bottom w:w="0" w:type="dxa"/>
              <w:right w:w="108" w:type="dxa"/>
            </w:tcMar>
            <w:vAlign w:val="center"/>
            <w:hideMark/>
          </w:tcPr>
          <w:p w14:paraId="59491CF1" w14:textId="77777777" w:rsidR="00317976" w:rsidRPr="00FA484C" w:rsidRDefault="00317976" w:rsidP="00FA484C">
            <w:pPr>
              <w:spacing w:before="40" w:after="40"/>
              <w:rPr>
                <w:rFonts w:asciiTheme="minorBidi" w:hAnsiTheme="minorBidi" w:cstheme="minorBidi"/>
                <w:b/>
                <w:bCs/>
                <w:color w:val="FFFFFF"/>
                <w:sz w:val="18"/>
                <w:szCs w:val="18"/>
                <w:lang w:eastAsia="en-GB"/>
              </w:rPr>
            </w:pPr>
            <w:r w:rsidRPr="00FA484C">
              <w:rPr>
                <w:rFonts w:asciiTheme="minorBidi" w:hAnsiTheme="minorBidi" w:cstheme="minorBidi"/>
                <w:b/>
                <w:bCs/>
                <w:color w:val="FFFFFF"/>
                <w:sz w:val="18"/>
                <w:szCs w:val="18"/>
                <w:lang w:eastAsia="en-GB"/>
              </w:rPr>
              <w:t>Item</w:t>
            </w:r>
          </w:p>
        </w:tc>
        <w:tc>
          <w:tcPr>
            <w:tcW w:w="904" w:type="pct"/>
            <w:shd w:val="clear" w:color="auto" w:fill="203764"/>
            <w:tcMar>
              <w:top w:w="0" w:type="dxa"/>
              <w:left w:w="108" w:type="dxa"/>
              <w:bottom w:w="0" w:type="dxa"/>
              <w:right w:w="108" w:type="dxa"/>
            </w:tcMar>
            <w:vAlign w:val="center"/>
            <w:hideMark/>
          </w:tcPr>
          <w:p w14:paraId="64E835E5" w14:textId="77777777" w:rsidR="00317976" w:rsidRPr="00FA484C" w:rsidRDefault="00317976" w:rsidP="00FA484C">
            <w:pPr>
              <w:spacing w:before="40" w:after="40"/>
              <w:rPr>
                <w:rFonts w:asciiTheme="minorBidi" w:hAnsiTheme="minorBidi" w:cstheme="minorBidi"/>
                <w:b/>
                <w:bCs/>
                <w:color w:val="FFFFFF"/>
                <w:sz w:val="18"/>
                <w:szCs w:val="18"/>
                <w:lang w:eastAsia="en-GB"/>
              </w:rPr>
            </w:pPr>
            <w:r w:rsidRPr="00FA484C">
              <w:rPr>
                <w:rFonts w:asciiTheme="minorBidi" w:hAnsiTheme="minorBidi" w:cstheme="minorBidi"/>
                <w:b/>
                <w:bCs/>
                <w:color w:val="FFFFFF"/>
                <w:sz w:val="18"/>
                <w:szCs w:val="18"/>
                <w:lang w:eastAsia="en-GB"/>
              </w:rPr>
              <w:t>EITI provision</w:t>
            </w:r>
          </w:p>
        </w:tc>
        <w:tc>
          <w:tcPr>
            <w:tcW w:w="751" w:type="pct"/>
            <w:shd w:val="clear" w:color="auto" w:fill="203764"/>
            <w:tcMar>
              <w:top w:w="0" w:type="dxa"/>
              <w:left w:w="108" w:type="dxa"/>
              <w:bottom w:w="0" w:type="dxa"/>
              <w:right w:w="108" w:type="dxa"/>
            </w:tcMar>
            <w:vAlign w:val="center"/>
            <w:hideMark/>
          </w:tcPr>
          <w:p w14:paraId="3B68850F" w14:textId="2DD71D20" w:rsidR="00317976" w:rsidRPr="00FA484C" w:rsidRDefault="00317976" w:rsidP="00FA484C">
            <w:pPr>
              <w:spacing w:before="40" w:after="40"/>
              <w:rPr>
                <w:rFonts w:asciiTheme="minorBidi" w:hAnsiTheme="minorBidi" w:cstheme="minorBidi"/>
                <w:b/>
                <w:bCs/>
                <w:color w:val="FFFFFF"/>
                <w:sz w:val="18"/>
                <w:szCs w:val="18"/>
                <w:lang w:eastAsia="en-GB"/>
              </w:rPr>
            </w:pPr>
            <w:r w:rsidRPr="00FA484C">
              <w:rPr>
                <w:rFonts w:asciiTheme="minorBidi" w:hAnsiTheme="minorBidi" w:cstheme="minorBidi"/>
                <w:b/>
                <w:bCs/>
                <w:color w:val="FFFFFF"/>
                <w:sz w:val="18"/>
                <w:szCs w:val="18"/>
                <w:lang w:eastAsia="en-GB"/>
              </w:rPr>
              <w:t>Requirement type</w:t>
            </w:r>
            <w:r w:rsidR="00FA484C" w:rsidRPr="00FA484C">
              <w:rPr>
                <w:rStyle w:val="FootnoteReference"/>
                <w:rFonts w:asciiTheme="minorBidi" w:hAnsiTheme="minorBidi" w:cstheme="minorBidi"/>
                <w:b/>
                <w:bCs/>
                <w:color w:val="FFFFFF"/>
                <w:sz w:val="18"/>
                <w:szCs w:val="18"/>
                <w:lang w:eastAsia="en-GB"/>
              </w:rPr>
              <w:footnoteReference w:id="8"/>
            </w:r>
          </w:p>
        </w:tc>
        <w:tc>
          <w:tcPr>
            <w:tcW w:w="2034" w:type="pct"/>
            <w:shd w:val="clear" w:color="auto" w:fill="203764"/>
            <w:tcMar>
              <w:top w:w="0" w:type="dxa"/>
              <w:left w:w="108" w:type="dxa"/>
              <w:bottom w:w="0" w:type="dxa"/>
              <w:right w:w="108" w:type="dxa"/>
            </w:tcMar>
            <w:vAlign w:val="center"/>
            <w:hideMark/>
          </w:tcPr>
          <w:p w14:paraId="33C55562" w14:textId="77777777" w:rsidR="00317976" w:rsidRPr="00FA484C" w:rsidRDefault="00317976" w:rsidP="00FA484C">
            <w:pPr>
              <w:spacing w:before="40" w:after="40"/>
              <w:rPr>
                <w:rFonts w:asciiTheme="minorBidi" w:hAnsiTheme="minorBidi" w:cstheme="minorBidi"/>
                <w:b/>
                <w:bCs/>
                <w:color w:val="FFFFFF"/>
                <w:sz w:val="18"/>
                <w:szCs w:val="18"/>
                <w:lang w:eastAsia="en-GB"/>
              </w:rPr>
            </w:pPr>
            <w:r w:rsidRPr="00FA484C">
              <w:rPr>
                <w:rFonts w:asciiTheme="minorBidi" w:hAnsiTheme="minorBidi" w:cstheme="minorBidi"/>
                <w:b/>
                <w:bCs/>
                <w:color w:val="FFFFFF"/>
                <w:sz w:val="18"/>
                <w:szCs w:val="18"/>
                <w:lang w:eastAsia="en-GB"/>
              </w:rPr>
              <w:t>Description</w:t>
            </w:r>
          </w:p>
        </w:tc>
      </w:tr>
      <w:tr w:rsidR="001F08EA" w:rsidRPr="00FA484C" w14:paraId="59A30542" w14:textId="77777777" w:rsidTr="002C6E02">
        <w:trPr>
          <w:cantSplit/>
        </w:trPr>
        <w:tc>
          <w:tcPr>
            <w:tcW w:w="252" w:type="pct"/>
            <w:tcBorders>
              <w:top w:val="single" w:sz="8" w:space="0" w:color="auto"/>
              <w:left w:val="nil"/>
              <w:bottom w:val="single" w:sz="8" w:space="0" w:color="auto"/>
              <w:right w:val="nil"/>
            </w:tcBorders>
            <w:shd w:val="clear" w:color="auto" w:fill="BDD7EE"/>
            <w:tcMar>
              <w:top w:w="0" w:type="dxa"/>
              <w:left w:w="108" w:type="dxa"/>
              <w:bottom w:w="0" w:type="dxa"/>
              <w:right w:w="108" w:type="dxa"/>
            </w:tcMar>
            <w:vAlign w:val="center"/>
            <w:hideMark/>
          </w:tcPr>
          <w:p w14:paraId="4BC63B7B" w14:textId="77777777" w:rsidR="00317976" w:rsidRPr="00FA484C" w:rsidRDefault="00317976" w:rsidP="00FA484C">
            <w:pPr>
              <w:spacing w:before="40" w:after="40"/>
              <w:jc w:val="center"/>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1</w:t>
            </w:r>
          </w:p>
        </w:tc>
        <w:tc>
          <w:tcPr>
            <w:tcW w:w="1060" w:type="pct"/>
            <w:tcBorders>
              <w:top w:val="single" w:sz="8" w:space="0" w:color="auto"/>
              <w:left w:val="nil"/>
              <w:bottom w:val="single" w:sz="8" w:space="0" w:color="auto"/>
              <w:right w:val="nil"/>
            </w:tcBorders>
            <w:shd w:val="clear" w:color="auto" w:fill="BDD7EE"/>
            <w:tcMar>
              <w:top w:w="0" w:type="dxa"/>
              <w:left w:w="108" w:type="dxa"/>
              <w:bottom w:w="0" w:type="dxa"/>
              <w:right w:w="108" w:type="dxa"/>
            </w:tcMar>
            <w:vAlign w:val="center"/>
            <w:hideMark/>
          </w:tcPr>
          <w:p w14:paraId="77392329" w14:textId="726482DA"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 xml:space="preserve">Beneficial ownership </w:t>
            </w:r>
            <w:r w:rsidR="00AD7640" w:rsidRPr="00FA484C">
              <w:rPr>
                <w:rFonts w:asciiTheme="minorBidi" w:hAnsiTheme="minorBidi" w:cstheme="minorBidi"/>
                <w:color w:val="000000"/>
                <w:sz w:val="18"/>
                <w:szCs w:val="18"/>
                <w:lang w:eastAsia="en-GB"/>
              </w:rPr>
              <w:t xml:space="preserve">(BO) </w:t>
            </w:r>
            <w:r w:rsidRPr="00FA484C">
              <w:rPr>
                <w:rFonts w:asciiTheme="minorBidi" w:hAnsiTheme="minorBidi" w:cstheme="minorBidi"/>
                <w:color w:val="000000"/>
                <w:sz w:val="18"/>
                <w:szCs w:val="18"/>
                <w:lang w:eastAsia="en-GB"/>
              </w:rPr>
              <w:t>threshold</w:t>
            </w:r>
          </w:p>
        </w:tc>
        <w:tc>
          <w:tcPr>
            <w:tcW w:w="904" w:type="pct"/>
            <w:tcBorders>
              <w:top w:val="single" w:sz="8" w:space="0" w:color="auto"/>
              <w:left w:val="nil"/>
              <w:bottom w:val="single" w:sz="8" w:space="0" w:color="auto"/>
              <w:right w:val="nil"/>
            </w:tcBorders>
            <w:shd w:val="clear" w:color="auto" w:fill="BDD7EE"/>
            <w:tcMar>
              <w:top w:w="0" w:type="dxa"/>
              <w:left w:w="108" w:type="dxa"/>
              <w:bottom w:w="0" w:type="dxa"/>
              <w:right w:w="108" w:type="dxa"/>
            </w:tcMar>
            <w:vAlign w:val="center"/>
            <w:hideMark/>
          </w:tcPr>
          <w:p w14:paraId="6606C89D" w14:textId="687AEA48"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2.5.f BO</w:t>
            </w:r>
          </w:p>
        </w:tc>
        <w:tc>
          <w:tcPr>
            <w:tcW w:w="751" w:type="pct"/>
            <w:tcBorders>
              <w:top w:val="single" w:sz="8" w:space="0" w:color="auto"/>
              <w:left w:val="nil"/>
              <w:bottom w:val="single" w:sz="8" w:space="0" w:color="auto"/>
              <w:right w:val="nil"/>
            </w:tcBorders>
            <w:shd w:val="clear" w:color="auto" w:fill="BDD7EE"/>
            <w:tcMar>
              <w:top w:w="0" w:type="dxa"/>
              <w:left w:w="108" w:type="dxa"/>
              <w:bottom w:w="0" w:type="dxa"/>
              <w:right w:w="108" w:type="dxa"/>
            </w:tcMar>
            <w:vAlign w:val="center"/>
            <w:hideMark/>
          </w:tcPr>
          <w:p w14:paraId="2D4B1E74"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Encouraged</w:t>
            </w:r>
          </w:p>
        </w:tc>
        <w:tc>
          <w:tcPr>
            <w:tcW w:w="2034" w:type="pct"/>
            <w:tcBorders>
              <w:top w:val="single" w:sz="8" w:space="0" w:color="auto"/>
              <w:left w:val="nil"/>
              <w:bottom w:val="single" w:sz="8" w:space="0" w:color="auto"/>
              <w:right w:val="nil"/>
            </w:tcBorders>
            <w:shd w:val="clear" w:color="auto" w:fill="BDD7EE"/>
            <w:tcMar>
              <w:top w:w="0" w:type="dxa"/>
              <w:left w:w="108" w:type="dxa"/>
              <w:bottom w:w="0" w:type="dxa"/>
              <w:right w:w="108" w:type="dxa"/>
            </w:tcMar>
            <w:vAlign w:val="center"/>
            <w:hideMark/>
          </w:tcPr>
          <w:p w14:paraId="35DC25CD"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Please use the new threshold of 10% instead of 25%.</w:t>
            </w:r>
          </w:p>
        </w:tc>
      </w:tr>
      <w:tr w:rsidR="001F08EA" w:rsidRPr="00FA484C" w14:paraId="19ECB30C" w14:textId="77777777" w:rsidTr="002C6E02">
        <w:trPr>
          <w:cantSplit/>
        </w:trPr>
        <w:tc>
          <w:tcPr>
            <w:tcW w:w="252" w:type="pct"/>
            <w:tcBorders>
              <w:top w:val="nil"/>
              <w:left w:val="nil"/>
              <w:bottom w:val="single" w:sz="8" w:space="0" w:color="auto"/>
              <w:right w:val="nil"/>
            </w:tcBorders>
            <w:tcMar>
              <w:top w:w="0" w:type="dxa"/>
              <w:left w:w="108" w:type="dxa"/>
              <w:bottom w:w="0" w:type="dxa"/>
              <w:right w:w="108" w:type="dxa"/>
            </w:tcMar>
            <w:vAlign w:val="center"/>
            <w:hideMark/>
          </w:tcPr>
          <w:p w14:paraId="5E0DA25F"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sz w:val="18"/>
                <w:szCs w:val="18"/>
                <w:lang w:eastAsia="en-GB"/>
              </w:rPr>
              <w:t>2</w:t>
            </w:r>
          </w:p>
        </w:tc>
        <w:tc>
          <w:tcPr>
            <w:tcW w:w="1060" w:type="pct"/>
            <w:tcBorders>
              <w:top w:val="nil"/>
              <w:left w:val="nil"/>
              <w:bottom w:val="single" w:sz="8" w:space="0" w:color="auto"/>
              <w:right w:val="nil"/>
            </w:tcBorders>
            <w:tcMar>
              <w:top w:w="0" w:type="dxa"/>
              <w:left w:w="108" w:type="dxa"/>
              <w:bottom w:w="0" w:type="dxa"/>
              <w:right w:w="108" w:type="dxa"/>
            </w:tcMar>
            <w:vAlign w:val="center"/>
            <w:hideMark/>
          </w:tcPr>
          <w:p w14:paraId="41A2F16F"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Politically exposed persons (PEP) threshold</w:t>
            </w:r>
          </w:p>
        </w:tc>
        <w:tc>
          <w:tcPr>
            <w:tcW w:w="904" w:type="pct"/>
            <w:tcBorders>
              <w:top w:val="nil"/>
              <w:left w:val="nil"/>
              <w:bottom w:val="single" w:sz="8" w:space="0" w:color="auto"/>
              <w:right w:val="nil"/>
            </w:tcBorders>
            <w:tcMar>
              <w:top w:w="0" w:type="dxa"/>
              <w:left w:w="108" w:type="dxa"/>
              <w:bottom w:w="0" w:type="dxa"/>
              <w:right w:w="108" w:type="dxa"/>
            </w:tcMar>
            <w:vAlign w:val="center"/>
            <w:hideMark/>
          </w:tcPr>
          <w:p w14:paraId="2315129B" w14:textId="405137E2"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2.5.f BO</w:t>
            </w:r>
          </w:p>
        </w:tc>
        <w:tc>
          <w:tcPr>
            <w:tcW w:w="751" w:type="pct"/>
            <w:tcBorders>
              <w:top w:val="nil"/>
              <w:left w:val="nil"/>
              <w:bottom w:val="single" w:sz="8" w:space="0" w:color="auto"/>
              <w:right w:val="nil"/>
            </w:tcBorders>
            <w:tcMar>
              <w:top w:w="0" w:type="dxa"/>
              <w:left w:w="108" w:type="dxa"/>
              <w:bottom w:w="0" w:type="dxa"/>
              <w:right w:w="108" w:type="dxa"/>
            </w:tcMar>
            <w:vAlign w:val="center"/>
            <w:hideMark/>
          </w:tcPr>
          <w:p w14:paraId="7A7791A2"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Mandatory</w:t>
            </w:r>
          </w:p>
        </w:tc>
        <w:tc>
          <w:tcPr>
            <w:tcW w:w="2034" w:type="pct"/>
            <w:tcBorders>
              <w:top w:val="nil"/>
              <w:left w:val="nil"/>
              <w:bottom w:val="single" w:sz="8" w:space="0" w:color="auto"/>
              <w:right w:val="nil"/>
            </w:tcBorders>
            <w:tcMar>
              <w:top w:w="0" w:type="dxa"/>
              <w:left w:w="108" w:type="dxa"/>
              <w:bottom w:w="0" w:type="dxa"/>
              <w:right w:w="108" w:type="dxa"/>
            </w:tcMar>
            <w:vAlign w:val="center"/>
            <w:hideMark/>
          </w:tcPr>
          <w:p w14:paraId="581ADF13"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sz w:val="18"/>
                <w:szCs w:val="18"/>
                <w:lang w:eastAsia="en-GB"/>
              </w:rPr>
              <w:t xml:space="preserve">Please disclose information on any PEP, </w:t>
            </w:r>
            <w:r w:rsidRPr="00FA484C">
              <w:rPr>
                <w:rFonts w:asciiTheme="minorBidi" w:hAnsiTheme="minorBidi" w:cstheme="minorBidi"/>
                <w:i/>
                <w:iCs/>
                <w:sz w:val="18"/>
                <w:szCs w:val="18"/>
                <w:lang w:eastAsia="en-GB"/>
              </w:rPr>
              <w:t xml:space="preserve">regardless </w:t>
            </w:r>
            <w:r w:rsidRPr="00FA484C">
              <w:rPr>
                <w:rFonts w:asciiTheme="minorBidi" w:hAnsiTheme="minorBidi" w:cstheme="minorBidi"/>
                <w:sz w:val="18"/>
                <w:szCs w:val="18"/>
                <w:lang w:eastAsia="en-GB"/>
              </w:rPr>
              <w:t>of their ownership level (the 2022 threshold was 5%)</w:t>
            </w:r>
          </w:p>
        </w:tc>
      </w:tr>
      <w:tr w:rsidR="001F08EA" w:rsidRPr="00FA484C" w14:paraId="48B1BEED" w14:textId="77777777" w:rsidTr="002C6E02">
        <w:trPr>
          <w:cantSplit/>
        </w:trPr>
        <w:tc>
          <w:tcPr>
            <w:tcW w:w="252"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289D905A"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color w:val="000000"/>
                <w:sz w:val="18"/>
                <w:szCs w:val="18"/>
                <w:lang w:eastAsia="en-GB"/>
              </w:rPr>
              <w:t>3</w:t>
            </w:r>
          </w:p>
        </w:tc>
        <w:tc>
          <w:tcPr>
            <w:tcW w:w="1060"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02A7F104"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Anti-corruption policy</w:t>
            </w:r>
          </w:p>
        </w:tc>
        <w:tc>
          <w:tcPr>
            <w:tcW w:w="90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7FD5D787"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1.2.b Company engagement</w:t>
            </w:r>
          </w:p>
        </w:tc>
        <w:tc>
          <w:tcPr>
            <w:tcW w:w="751"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49BA5546"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Expected</w:t>
            </w:r>
          </w:p>
        </w:tc>
        <w:tc>
          <w:tcPr>
            <w:tcW w:w="203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0C663952"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Please provide a URL link to your anti-corruption policy setting out how your company manages corruption risk, including the use of beneficial ownership data.</w:t>
            </w:r>
          </w:p>
        </w:tc>
      </w:tr>
      <w:tr w:rsidR="001F08EA" w:rsidRPr="00FA484C" w14:paraId="39DFF0FD" w14:textId="77777777" w:rsidTr="002C6E02">
        <w:trPr>
          <w:cantSplit/>
        </w:trPr>
        <w:tc>
          <w:tcPr>
            <w:tcW w:w="252" w:type="pct"/>
            <w:tcBorders>
              <w:top w:val="nil"/>
              <w:left w:val="nil"/>
              <w:bottom w:val="single" w:sz="8" w:space="0" w:color="auto"/>
              <w:right w:val="nil"/>
            </w:tcBorders>
            <w:tcMar>
              <w:top w:w="0" w:type="dxa"/>
              <w:left w:w="108" w:type="dxa"/>
              <w:bottom w:w="0" w:type="dxa"/>
              <w:right w:w="108" w:type="dxa"/>
            </w:tcMar>
            <w:vAlign w:val="center"/>
            <w:hideMark/>
          </w:tcPr>
          <w:p w14:paraId="65F67684"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sz w:val="18"/>
                <w:szCs w:val="18"/>
                <w:lang w:eastAsia="en-GB"/>
              </w:rPr>
              <w:t>4</w:t>
            </w:r>
          </w:p>
        </w:tc>
        <w:tc>
          <w:tcPr>
            <w:tcW w:w="1060" w:type="pct"/>
            <w:tcBorders>
              <w:top w:val="nil"/>
              <w:left w:val="nil"/>
              <w:bottom w:val="single" w:sz="8" w:space="0" w:color="auto"/>
              <w:right w:val="nil"/>
            </w:tcBorders>
            <w:tcMar>
              <w:top w:w="0" w:type="dxa"/>
              <w:left w:w="108" w:type="dxa"/>
              <w:bottom w:w="0" w:type="dxa"/>
              <w:right w:w="108" w:type="dxa"/>
            </w:tcMar>
            <w:vAlign w:val="center"/>
            <w:hideMark/>
          </w:tcPr>
          <w:p w14:paraId="6057C932"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Ownership structure</w:t>
            </w:r>
          </w:p>
        </w:tc>
        <w:tc>
          <w:tcPr>
            <w:tcW w:w="904" w:type="pct"/>
            <w:tcBorders>
              <w:top w:val="nil"/>
              <w:left w:val="nil"/>
              <w:bottom w:val="single" w:sz="8" w:space="0" w:color="auto"/>
              <w:right w:val="nil"/>
            </w:tcBorders>
            <w:tcMar>
              <w:top w:w="0" w:type="dxa"/>
              <w:left w:w="108" w:type="dxa"/>
              <w:bottom w:w="0" w:type="dxa"/>
              <w:right w:w="108" w:type="dxa"/>
            </w:tcMar>
            <w:vAlign w:val="center"/>
            <w:hideMark/>
          </w:tcPr>
          <w:p w14:paraId="22CE6193"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2.5.g Beneficial ownership</w:t>
            </w:r>
          </w:p>
        </w:tc>
        <w:tc>
          <w:tcPr>
            <w:tcW w:w="751" w:type="pct"/>
            <w:tcBorders>
              <w:top w:val="nil"/>
              <w:left w:val="nil"/>
              <w:bottom w:val="single" w:sz="8" w:space="0" w:color="auto"/>
              <w:right w:val="nil"/>
            </w:tcBorders>
            <w:tcMar>
              <w:top w:w="0" w:type="dxa"/>
              <w:left w:w="108" w:type="dxa"/>
              <w:bottom w:w="0" w:type="dxa"/>
              <w:right w:w="108" w:type="dxa"/>
            </w:tcMar>
            <w:vAlign w:val="center"/>
            <w:hideMark/>
          </w:tcPr>
          <w:p w14:paraId="62821925"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Encouraged</w:t>
            </w:r>
          </w:p>
        </w:tc>
        <w:tc>
          <w:tcPr>
            <w:tcW w:w="2034" w:type="pct"/>
            <w:tcBorders>
              <w:top w:val="nil"/>
              <w:left w:val="nil"/>
              <w:bottom w:val="single" w:sz="8" w:space="0" w:color="auto"/>
              <w:right w:val="nil"/>
            </w:tcBorders>
            <w:tcMar>
              <w:top w:w="0" w:type="dxa"/>
              <w:left w:w="108" w:type="dxa"/>
              <w:bottom w:w="0" w:type="dxa"/>
              <w:right w:w="108" w:type="dxa"/>
            </w:tcMar>
            <w:vAlign w:val="center"/>
            <w:hideMark/>
          </w:tcPr>
          <w:p w14:paraId="340B8AFE"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sz w:val="18"/>
                <w:szCs w:val="18"/>
                <w:lang w:eastAsia="en-GB"/>
              </w:rPr>
              <w:t>Please provide a URL link to your ownership structure, including the full chain of legal entities leading to the beneficial owner(s).</w:t>
            </w:r>
          </w:p>
        </w:tc>
      </w:tr>
      <w:tr w:rsidR="001F08EA" w:rsidRPr="00FA484C" w14:paraId="4C63989F" w14:textId="77777777" w:rsidTr="002C6E02">
        <w:trPr>
          <w:cantSplit/>
        </w:trPr>
        <w:tc>
          <w:tcPr>
            <w:tcW w:w="252"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5F2CF505"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color w:val="000000"/>
                <w:sz w:val="18"/>
                <w:szCs w:val="18"/>
                <w:lang w:eastAsia="en-GB"/>
              </w:rPr>
              <w:lastRenderedPageBreak/>
              <w:t>5</w:t>
            </w:r>
          </w:p>
        </w:tc>
        <w:tc>
          <w:tcPr>
            <w:tcW w:w="1060"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2F01B6C4"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Financial statements</w:t>
            </w:r>
          </w:p>
        </w:tc>
        <w:tc>
          <w:tcPr>
            <w:tcW w:w="90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6FCD51CB"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4.1.e Comprehensive disclosure of taxes and revenues</w:t>
            </w:r>
          </w:p>
        </w:tc>
        <w:tc>
          <w:tcPr>
            <w:tcW w:w="751"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32C7DBB9" w14:textId="77777777" w:rsidR="00317976" w:rsidRPr="00FA484C" w:rsidRDefault="00317976" w:rsidP="00FA484C">
            <w:pPr>
              <w:spacing w:before="40" w:after="40"/>
              <w:rPr>
                <w:rFonts w:asciiTheme="minorBidi" w:hAnsiTheme="minorBidi" w:cstheme="minorBidi"/>
                <w:sz w:val="18"/>
                <w:szCs w:val="18"/>
                <w:lang w:val="fr-FR" w:eastAsia="en-GB"/>
              </w:rPr>
            </w:pPr>
            <w:r w:rsidRPr="00FA484C">
              <w:rPr>
                <w:rFonts w:asciiTheme="minorBidi" w:hAnsiTheme="minorBidi" w:cstheme="minorBidi"/>
                <w:color w:val="000000"/>
                <w:sz w:val="18"/>
                <w:szCs w:val="18"/>
                <w:lang w:eastAsia="en-GB"/>
              </w:rPr>
              <w:t>Expected</w:t>
            </w:r>
          </w:p>
        </w:tc>
        <w:tc>
          <w:tcPr>
            <w:tcW w:w="203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38450F2A"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Please provide a URL link to your latest audited financial statements (FS), or the main items (i.e. balance sheet, profit/loss statement, cash flow and effective tax rates) if FS are not available at country level.</w:t>
            </w:r>
            <w:r w:rsidRPr="00FA484C">
              <w:rPr>
                <w:rFonts w:asciiTheme="minorBidi" w:hAnsiTheme="minorBidi" w:cstheme="minorBidi"/>
                <w:color w:val="000000"/>
                <w:sz w:val="18"/>
                <w:szCs w:val="18"/>
                <w:lang w:eastAsia="en-GB"/>
              </w:rPr>
              <w:br/>
              <w:t>NB. The reporting period serving as the basis for preparing FS may not correspond to the EITI reporting period.</w:t>
            </w:r>
          </w:p>
        </w:tc>
      </w:tr>
      <w:tr w:rsidR="001F08EA" w:rsidRPr="00FA484C" w14:paraId="74F918EA" w14:textId="77777777" w:rsidTr="002C6E02">
        <w:trPr>
          <w:cantSplit/>
        </w:trPr>
        <w:tc>
          <w:tcPr>
            <w:tcW w:w="252" w:type="pct"/>
            <w:tcBorders>
              <w:top w:val="nil"/>
              <w:left w:val="nil"/>
              <w:bottom w:val="single" w:sz="8" w:space="0" w:color="auto"/>
              <w:right w:val="nil"/>
            </w:tcBorders>
            <w:tcMar>
              <w:top w:w="0" w:type="dxa"/>
              <w:left w:w="108" w:type="dxa"/>
              <w:bottom w:w="0" w:type="dxa"/>
              <w:right w:w="108" w:type="dxa"/>
            </w:tcMar>
            <w:vAlign w:val="center"/>
            <w:hideMark/>
          </w:tcPr>
          <w:p w14:paraId="23E2E7DA"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sz w:val="18"/>
                <w:szCs w:val="18"/>
                <w:lang w:eastAsia="en-GB"/>
              </w:rPr>
              <w:t>6</w:t>
            </w:r>
          </w:p>
        </w:tc>
        <w:tc>
          <w:tcPr>
            <w:tcW w:w="1060" w:type="pct"/>
            <w:tcBorders>
              <w:top w:val="nil"/>
              <w:left w:val="nil"/>
              <w:bottom w:val="single" w:sz="8" w:space="0" w:color="auto"/>
              <w:right w:val="nil"/>
            </w:tcBorders>
            <w:tcMar>
              <w:top w:w="0" w:type="dxa"/>
              <w:left w:w="108" w:type="dxa"/>
              <w:bottom w:w="0" w:type="dxa"/>
              <w:right w:w="108" w:type="dxa"/>
            </w:tcMar>
            <w:vAlign w:val="center"/>
            <w:hideMark/>
          </w:tcPr>
          <w:p w14:paraId="42A3ED82"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Environmental, social and governance (ESG)</w:t>
            </w:r>
          </w:p>
        </w:tc>
        <w:tc>
          <w:tcPr>
            <w:tcW w:w="904" w:type="pct"/>
            <w:tcBorders>
              <w:top w:val="nil"/>
              <w:left w:val="nil"/>
              <w:bottom w:val="single" w:sz="8" w:space="0" w:color="auto"/>
              <w:right w:val="nil"/>
            </w:tcBorders>
            <w:tcMar>
              <w:top w:w="0" w:type="dxa"/>
              <w:left w:w="108" w:type="dxa"/>
              <w:bottom w:w="0" w:type="dxa"/>
              <w:right w:w="108" w:type="dxa"/>
            </w:tcMar>
            <w:vAlign w:val="center"/>
            <w:hideMark/>
          </w:tcPr>
          <w:p w14:paraId="25DB6DB1"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sz w:val="18"/>
                <w:szCs w:val="18"/>
                <w:lang w:eastAsia="en-GB"/>
              </w:rPr>
              <w:t>6.4.b Environmental and social impact of extractive activities</w:t>
            </w:r>
          </w:p>
        </w:tc>
        <w:tc>
          <w:tcPr>
            <w:tcW w:w="751" w:type="pct"/>
            <w:tcBorders>
              <w:top w:val="nil"/>
              <w:left w:val="nil"/>
              <w:bottom w:val="single" w:sz="8" w:space="0" w:color="auto"/>
              <w:right w:val="nil"/>
            </w:tcBorders>
            <w:tcMar>
              <w:top w:w="0" w:type="dxa"/>
              <w:left w:w="108" w:type="dxa"/>
              <w:bottom w:w="0" w:type="dxa"/>
              <w:right w:w="108" w:type="dxa"/>
            </w:tcMar>
            <w:vAlign w:val="center"/>
            <w:hideMark/>
          </w:tcPr>
          <w:p w14:paraId="6E0BF47E" w14:textId="77777777" w:rsidR="00317976" w:rsidRPr="00FA484C" w:rsidRDefault="00317976" w:rsidP="00FA484C">
            <w:pPr>
              <w:spacing w:before="40" w:after="40"/>
              <w:rPr>
                <w:rFonts w:asciiTheme="minorBidi" w:hAnsiTheme="minorBidi" w:cstheme="minorBidi"/>
                <w:sz w:val="18"/>
                <w:szCs w:val="18"/>
                <w:lang w:val="fr-FR" w:eastAsia="en-GB"/>
              </w:rPr>
            </w:pPr>
            <w:r w:rsidRPr="00FA484C">
              <w:rPr>
                <w:rFonts w:asciiTheme="minorBidi" w:hAnsiTheme="minorBidi" w:cstheme="minorBidi"/>
                <w:sz w:val="18"/>
                <w:szCs w:val="18"/>
                <w:lang w:eastAsia="en-GB"/>
              </w:rPr>
              <w:t>Mandatory</w:t>
            </w:r>
          </w:p>
        </w:tc>
        <w:tc>
          <w:tcPr>
            <w:tcW w:w="2034" w:type="pct"/>
            <w:tcBorders>
              <w:top w:val="nil"/>
              <w:left w:val="nil"/>
              <w:bottom w:val="single" w:sz="8" w:space="0" w:color="auto"/>
              <w:right w:val="nil"/>
            </w:tcBorders>
            <w:tcMar>
              <w:top w:w="0" w:type="dxa"/>
              <w:left w:w="108" w:type="dxa"/>
              <w:bottom w:w="0" w:type="dxa"/>
              <w:right w:w="108" w:type="dxa"/>
            </w:tcMar>
            <w:vAlign w:val="center"/>
            <w:hideMark/>
          </w:tcPr>
          <w:p w14:paraId="5BAF73C4"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sz w:val="18"/>
                <w:szCs w:val="18"/>
                <w:lang w:eastAsia="en-GB"/>
              </w:rPr>
              <w:t>Please provide a URL link to your latest information about ESG and impact. (e.g. Annual Report, Sustainability Report, Environmental Statement, etc.).</w:t>
            </w:r>
          </w:p>
        </w:tc>
      </w:tr>
      <w:tr w:rsidR="001F08EA" w:rsidRPr="00FA484C" w14:paraId="6947C57B" w14:textId="77777777" w:rsidTr="002C6E02">
        <w:trPr>
          <w:cantSplit/>
        </w:trPr>
        <w:tc>
          <w:tcPr>
            <w:tcW w:w="252"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133DCCBC" w14:textId="77777777" w:rsidR="00317976" w:rsidRPr="00FA484C" w:rsidRDefault="00317976" w:rsidP="00FA484C">
            <w:pPr>
              <w:spacing w:before="40" w:after="40"/>
              <w:jc w:val="center"/>
              <w:rPr>
                <w:rFonts w:asciiTheme="minorBidi" w:hAnsiTheme="minorBidi" w:cstheme="minorBidi"/>
                <w:sz w:val="18"/>
                <w:szCs w:val="18"/>
                <w:lang w:val="fr-FR" w:eastAsia="en-GB"/>
              </w:rPr>
            </w:pPr>
            <w:r w:rsidRPr="00FA484C">
              <w:rPr>
                <w:rFonts w:asciiTheme="minorBidi" w:hAnsiTheme="minorBidi" w:cstheme="minorBidi"/>
                <w:color w:val="000000"/>
                <w:sz w:val="18"/>
                <w:szCs w:val="18"/>
                <w:lang w:eastAsia="en-GB"/>
              </w:rPr>
              <w:t>7</w:t>
            </w:r>
          </w:p>
        </w:tc>
        <w:tc>
          <w:tcPr>
            <w:tcW w:w="1060"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7B2196DF"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 xml:space="preserve">Gender </w:t>
            </w:r>
            <w:proofErr w:type="gramStart"/>
            <w:r w:rsidRPr="00FA484C">
              <w:rPr>
                <w:rFonts w:asciiTheme="minorBidi" w:hAnsiTheme="minorBidi" w:cstheme="minorBidi"/>
                <w:color w:val="000000"/>
                <w:sz w:val="18"/>
                <w:szCs w:val="18"/>
                <w:lang w:eastAsia="en-GB"/>
              </w:rPr>
              <w:t>pay</w:t>
            </w:r>
            <w:proofErr w:type="gramEnd"/>
            <w:r w:rsidRPr="00FA484C">
              <w:rPr>
                <w:rFonts w:asciiTheme="minorBidi" w:hAnsiTheme="minorBidi" w:cstheme="minorBidi"/>
                <w:color w:val="000000"/>
                <w:sz w:val="18"/>
                <w:szCs w:val="18"/>
                <w:lang w:eastAsia="en-GB"/>
              </w:rPr>
              <w:t xml:space="preserve"> gap</w:t>
            </w:r>
          </w:p>
        </w:tc>
        <w:tc>
          <w:tcPr>
            <w:tcW w:w="90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52A5E6F7" w14:textId="77777777" w:rsidR="00317976" w:rsidRPr="00FA484C" w:rsidRDefault="00317976" w:rsidP="00FA484C">
            <w:pPr>
              <w:spacing w:before="40" w:after="40"/>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6.3.a Contribution of the extractive sector to the economy</w:t>
            </w:r>
          </w:p>
        </w:tc>
        <w:tc>
          <w:tcPr>
            <w:tcW w:w="751"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419A789B" w14:textId="77777777" w:rsidR="00317976" w:rsidRPr="00FA484C" w:rsidRDefault="00317976" w:rsidP="00FA484C">
            <w:pPr>
              <w:spacing w:before="40" w:after="40"/>
              <w:rPr>
                <w:rFonts w:asciiTheme="minorBidi" w:hAnsiTheme="minorBidi" w:cstheme="minorBidi"/>
                <w:sz w:val="18"/>
                <w:szCs w:val="18"/>
                <w:lang w:val="fr-FR" w:eastAsia="en-GB"/>
              </w:rPr>
            </w:pPr>
            <w:r w:rsidRPr="00FA484C">
              <w:rPr>
                <w:rFonts w:asciiTheme="minorBidi" w:hAnsiTheme="minorBidi" w:cstheme="minorBidi"/>
                <w:color w:val="000000"/>
                <w:sz w:val="18"/>
                <w:szCs w:val="18"/>
                <w:lang w:eastAsia="en-GB"/>
              </w:rPr>
              <w:t>Encouraged</w:t>
            </w:r>
          </w:p>
        </w:tc>
        <w:tc>
          <w:tcPr>
            <w:tcW w:w="2034" w:type="pct"/>
            <w:tcBorders>
              <w:top w:val="nil"/>
              <w:left w:val="nil"/>
              <w:bottom w:val="single" w:sz="8" w:space="0" w:color="auto"/>
              <w:right w:val="nil"/>
            </w:tcBorders>
            <w:shd w:val="clear" w:color="auto" w:fill="BDD7EE"/>
            <w:tcMar>
              <w:top w:w="0" w:type="dxa"/>
              <w:left w:w="108" w:type="dxa"/>
              <w:bottom w:w="0" w:type="dxa"/>
              <w:right w:w="108" w:type="dxa"/>
            </w:tcMar>
            <w:vAlign w:val="center"/>
            <w:hideMark/>
          </w:tcPr>
          <w:p w14:paraId="5E11BB35" w14:textId="77777777" w:rsidR="00317976" w:rsidRPr="00FA484C" w:rsidRDefault="00317976" w:rsidP="00FA484C">
            <w:pPr>
              <w:spacing w:before="40" w:after="40"/>
              <w:jc w:val="both"/>
              <w:rPr>
                <w:rFonts w:asciiTheme="minorBidi" w:hAnsiTheme="minorBidi" w:cstheme="minorBidi"/>
                <w:sz w:val="18"/>
                <w:szCs w:val="18"/>
                <w:lang w:eastAsia="en-GB"/>
              </w:rPr>
            </w:pPr>
            <w:r w:rsidRPr="00FA484C">
              <w:rPr>
                <w:rFonts w:asciiTheme="minorBidi" w:hAnsiTheme="minorBidi" w:cstheme="minorBidi"/>
                <w:color w:val="000000"/>
                <w:sz w:val="18"/>
                <w:szCs w:val="18"/>
                <w:lang w:eastAsia="en-GB"/>
              </w:rPr>
              <w:t>Please provide a URL link to your latest information about any gender pay gaps.</w:t>
            </w:r>
          </w:p>
        </w:tc>
      </w:tr>
    </w:tbl>
    <w:p w14:paraId="39DFE725" w14:textId="0C9D9D7B" w:rsidR="00564C7C" w:rsidRPr="00FB6E97" w:rsidRDefault="00564C7C"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r w:rsidRPr="00FB6E97">
        <w:rPr>
          <w:rFonts w:eastAsiaTheme="majorEastAsia" w:cs="Arial"/>
          <w:color w:val="17365D" w:themeColor="text2" w:themeShade="BF"/>
          <w:sz w:val="28"/>
          <w:szCs w:val="24"/>
        </w:rPr>
        <w:t>Data Collection, Completeness and Reliability</w:t>
      </w:r>
      <w:bookmarkEnd w:id="11"/>
      <w:bookmarkEnd w:id="12"/>
    </w:p>
    <w:p w14:paraId="569BABCF" w14:textId="77777777" w:rsidR="0078308E" w:rsidRPr="0078308E" w:rsidRDefault="0078308E" w:rsidP="0078308E">
      <w:pPr>
        <w:pStyle w:val="ListParagraph"/>
        <w:numPr>
          <w:ilvl w:val="0"/>
          <w:numId w:val="18"/>
        </w:numPr>
        <w:spacing w:before="120" w:after="120" w:line="264" w:lineRule="auto"/>
        <w:ind w:right="482"/>
        <w:contextualSpacing w:val="0"/>
        <w:jc w:val="both"/>
        <w:outlineLvl w:val="2"/>
        <w:rPr>
          <w:rFonts w:eastAsiaTheme="majorEastAsia"/>
          <w:b/>
          <w:bCs/>
          <w:vanish/>
          <w:color w:val="0070C0"/>
          <w:kern w:val="16"/>
          <w:szCs w:val="24"/>
          <w:lang w:eastAsia="en-GB"/>
        </w:rPr>
      </w:pPr>
    </w:p>
    <w:p w14:paraId="7F1D9C79" w14:textId="77777777" w:rsidR="0078308E" w:rsidRPr="0078308E" w:rsidRDefault="0078308E" w:rsidP="0078308E">
      <w:pPr>
        <w:pStyle w:val="ListParagraph"/>
        <w:numPr>
          <w:ilvl w:val="0"/>
          <w:numId w:val="18"/>
        </w:numPr>
        <w:spacing w:before="120" w:after="120" w:line="264" w:lineRule="auto"/>
        <w:ind w:right="482"/>
        <w:contextualSpacing w:val="0"/>
        <w:jc w:val="both"/>
        <w:outlineLvl w:val="2"/>
        <w:rPr>
          <w:rFonts w:eastAsiaTheme="majorEastAsia"/>
          <w:b/>
          <w:bCs/>
          <w:vanish/>
          <w:color w:val="0070C0"/>
          <w:kern w:val="16"/>
          <w:szCs w:val="24"/>
          <w:lang w:eastAsia="en-GB"/>
        </w:rPr>
      </w:pPr>
    </w:p>
    <w:p w14:paraId="247D79C3" w14:textId="77777777" w:rsidR="0078308E" w:rsidRPr="0078308E" w:rsidRDefault="0078308E" w:rsidP="0078308E">
      <w:pPr>
        <w:pStyle w:val="ListParagraph"/>
        <w:numPr>
          <w:ilvl w:val="0"/>
          <w:numId w:val="18"/>
        </w:numPr>
        <w:spacing w:before="120" w:after="120" w:line="264" w:lineRule="auto"/>
        <w:ind w:right="482"/>
        <w:contextualSpacing w:val="0"/>
        <w:jc w:val="both"/>
        <w:outlineLvl w:val="2"/>
        <w:rPr>
          <w:rFonts w:eastAsiaTheme="majorEastAsia"/>
          <w:b/>
          <w:bCs/>
          <w:vanish/>
          <w:color w:val="0070C0"/>
          <w:kern w:val="16"/>
          <w:szCs w:val="24"/>
          <w:lang w:eastAsia="en-GB"/>
        </w:rPr>
      </w:pPr>
    </w:p>
    <w:p w14:paraId="450071E5" w14:textId="77777777" w:rsidR="0078308E" w:rsidRPr="0078308E" w:rsidRDefault="0078308E" w:rsidP="0078308E">
      <w:pPr>
        <w:pStyle w:val="ListParagraph"/>
        <w:numPr>
          <w:ilvl w:val="0"/>
          <w:numId w:val="18"/>
        </w:numPr>
        <w:spacing w:before="120" w:after="120" w:line="264" w:lineRule="auto"/>
        <w:ind w:right="482"/>
        <w:contextualSpacing w:val="0"/>
        <w:jc w:val="both"/>
        <w:outlineLvl w:val="2"/>
        <w:rPr>
          <w:rFonts w:eastAsiaTheme="majorEastAsia"/>
          <w:b/>
          <w:bCs/>
          <w:vanish/>
          <w:color w:val="0070C0"/>
          <w:kern w:val="16"/>
          <w:szCs w:val="24"/>
          <w:lang w:eastAsia="en-GB"/>
        </w:rPr>
      </w:pPr>
    </w:p>
    <w:p w14:paraId="5DB33E99" w14:textId="7CB4F3F8"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Taxpayer confidentiality</w:t>
      </w:r>
    </w:p>
    <w:p w14:paraId="40754A59" w14:textId="522FA266" w:rsidR="00564C7C" w:rsidRPr="00FB6E97" w:rsidRDefault="00564C7C" w:rsidP="00F36ED8">
      <w:pPr>
        <w:pStyle w:val="Default"/>
        <w:spacing w:after="180"/>
        <w:jc w:val="both"/>
        <w:rPr>
          <w:rFonts w:ascii="Arial" w:hAnsi="Arial" w:cs="Arial"/>
        </w:rPr>
      </w:pPr>
      <w:r w:rsidRPr="00FB6E97">
        <w:rPr>
          <w:rFonts w:ascii="Arial" w:hAnsi="Arial" w:cs="Arial"/>
        </w:rPr>
        <w:t xml:space="preserve">Many countries have taxpayer confidentiality provisions within their legal frameworks. In the UK these provisions are set out in the Commissioners for Revenue and Customs Act 2005. The EITI </w:t>
      </w:r>
      <w:r w:rsidR="00B04687" w:rsidRPr="00FB6E97">
        <w:rPr>
          <w:rFonts w:ascii="Arial" w:hAnsi="Arial" w:cs="Arial"/>
        </w:rPr>
        <w:t xml:space="preserve">International </w:t>
      </w:r>
      <w:r w:rsidRPr="00FB6E97">
        <w:rPr>
          <w:rFonts w:ascii="Arial" w:hAnsi="Arial" w:cs="Arial"/>
        </w:rPr>
        <w:t>Secretariat publishes guidance on how to address the issue of taxpayer confidentiality</w:t>
      </w:r>
      <w:r w:rsidR="004E0F40" w:rsidRPr="00FB6E97">
        <w:rPr>
          <w:rFonts w:ascii="Arial" w:hAnsi="Arial" w:cs="Arial"/>
        </w:rPr>
        <w:t>.</w:t>
      </w:r>
      <w:r w:rsidR="00133D25" w:rsidRPr="00FB6E97">
        <w:rPr>
          <w:rFonts w:ascii="Arial" w:hAnsi="Arial" w:cs="Arial"/>
        </w:rPr>
        <w:t xml:space="preserve"> In light of this guidance, the MSG determined at an early stage to adopt </w:t>
      </w:r>
      <w:r w:rsidR="00961421" w:rsidRPr="00FB6E97">
        <w:rPr>
          <w:rFonts w:ascii="Arial" w:hAnsi="Arial" w:cs="Arial"/>
        </w:rPr>
        <w:t>a standard taxpayer waiver</w:t>
      </w:r>
      <w:r w:rsidR="00220CB0" w:rsidRPr="00FB6E97">
        <w:rPr>
          <w:rFonts w:ascii="Arial" w:hAnsi="Arial" w:cs="Arial"/>
        </w:rPr>
        <w:t xml:space="preserve"> </w:t>
      </w:r>
      <w:r w:rsidR="00961421" w:rsidRPr="00FB6E97">
        <w:rPr>
          <w:rFonts w:ascii="Arial" w:hAnsi="Arial" w:cs="Arial"/>
        </w:rPr>
        <w:t>approac</w:t>
      </w:r>
      <w:r w:rsidR="00220CB0" w:rsidRPr="00FB6E97">
        <w:rPr>
          <w:rFonts w:ascii="Arial" w:hAnsi="Arial" w:cs="Arial"/>
        </w:rPr>
        <w:t>h in accordance with which voluntar</w:t>
      </w:r>
      <w:r w:rsidR="007931D7" w:rsidRPr="00FB6E97">
        <w:rPr>
          <w:rFonts w:ascii="Arial" w:hAnsi="Arial" w:cs="Arial"/>
        </w:rPr>
        <w:t xml:space="preserve">ily participating companies provide the </w:t>
      </w:r>
      <w:r w:rsidR="00371FAC" w:rsidRPr="00FB6E97">
        <w:rPr>
          <w:rFonts w:ascii="Arial" w:hAnsi="Arial" w:cs="Arial"/>
        </w:rPr>
        <w:t>IA</w:t>
      </w:r>
      <w:r w:rsidR="007931D7" w:rsidRPr="00FB6E97">
        <w:rPr>
          <w:rFonts w:ascii="Arial" w:hAnsi="Arial" w:cs="Arial"/>
        </w:rPr>
        <w:t xml:space="preserve"> with confidentiality waivers</w:t>
      </w:r>
      <w:r w:rsidR="00961421" w:rsidRPr="00FB6E97">
        <w:rPr>
          <w:rFonts w:ascii="Arial" w:hAnsi="Arial" w:cs="Arial"/>
        </w:rPr>
        <w:t>.</w:t>
      </w:r>
    </w:p>
    <w:p w14:paraId="6EB21F35" w14:textId="32C6DF9B" w:rsidR="00564C7C" w:rsidRPr="00FB6E97" w:rsidRDefault="00564C7C" w:rsidP="00F36ED8">
      <w:pPr>
        <w:pStyle w:val="Default"/>
        <w:spacing w:after="180"/>
        <w:jc w:val="both"/>
        <w:rPr>
          <w:rFonts w:ascii="Arial" w:hAnsi="Arial" w:cs="Arial"/>
        </w:rPr>
      </w:pPr>
      <w:r w:rsidRPr="00FB6E97">
        <w:rPr>
          <w:rFonts w:ascii="Arial" w:hAnsi="Arial" w:cs="Arial"/>
        </w:rPr>
        <w:t xml:space="preserve">The waivers </w:t>
      </w:r>
      <w:r w:rsidR="00E166BD" w:rsidRPr="00FB6E97">
        <w:rPr>
          <w:rFonts w:ascii="Arial" w:hAnsi="Arial" w:cs="Arial"/>
        </w:rPr>
        <w:t>are</w:t>
      </w:r>
      <w:r w:rsidRPr="00FB6E97">
        <w:rPr>
          <w:rFonts w:ascii="Arial" w:hAnsi="Arial" w:cs="Arial"/>
        </w:rPr>
        <w:t xml:space="preserve"> drafted to allow for their continued use in subsequent years and remain valid until withdrawn by the company. This means that new waivers are required only for companies that are participating in UK EITI for the first time.</w:t>
      </w:r>
    </w:p>
    <w:p w14:paraId="42641D27" w14:textId="77777777"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Identification of in-scope companies</w:t>
      </w:r>
    </w:p>
    <w:p w14:paraId="15BF4666" w14:textId="28DAF870" w:rsidR="00564C7C" w:rsidRPr="00FB6E97" w:rsidRDefault="00AD1C82" w:rsidP="00F36ED8">
      <w:pPr>
        <w:pStyle w:val="Default"/>
        <w:spacing w:after="180"/>
        <w:jc w:val="both"/>
        <w:rPr>
          <w:rFonts w:ascii="Arial" w:hAnsi="Arial" w:cs="Arial"/>
        </w:rPr>
      </w:pPr>
      <w:r w:rsidRPr="00FB6E97">
        <w:rPr>
          <w:rFonts w:ascii="Arial" w:hAnsi="Arial" w:cs="Arial"/>
        </w:rPr>
        <w:t xml:space="preserve">Due to taxpayer confidentiality, </w:t>
      </w:r>
      <w:r w:rsidR="00A068E4" w:rsidRPr="00FB6E97">
        <w:rPr>
          <w:rFonts w:ascii="Arial" w:hAnsi="Arial" w:cs="Arial"/>
        </w:rPr>
        <w:t>the MSG adopt</w:t>
      </w:r>
      <w:r w:rsidR="00F608F0" w:rsidRPr="00FB6E97">
        <w:rPr>
          <w:rFonts w:ascii="Arial" w:hAnsi="Arial" w:cs="Arial"/>
        </w:rPr>
        <w:t>ed</w:t>
      </w:r>
      <w:r w:rsidR="00A068E4" w:rsidRPr="00FB6E97">
        <w:rPr>
          <w:rFonts w:ascii="Arial" w:hAnsi="Arial" w:cs="Arial"/>
        </w:rPr>
        <w:t xml:space="preserve"> a two</w:t>
      </w:r>
      <w:r w:rsidR="00104DEE" w:rsidRPr="00FB6E97">
        <w:rPr>
          <w:rFonts w:ascii="Arial" w:hAnsi="Arial" w:cs="Arial"/>
        </w:rPr>
        <w:t>-pronged approach</w:t>
      </w:r>
      <w:r w:rsidR="00564C7C" w:rsidRPr="00FB6E97">
        <w:rPr>
          <w:rFonts w:ascii="Arial" w:hAnsi="Arial" w:cs="Arial"/>
        </w:rPr>
        <w:t xml:space="preserve"> for the identification of in-scope companies, the first relating to the oil and gas sector</w:t>
      </w:r>
      <w:r w:rsidR="000E6274" w:rsidRPr="00FB6E97">
        <w:rPr>
          <w:rFonts w:ascii="Arial" w:hAnsi="Arial" w:cs="Arial"/>
        </w:rPr>
        <w:t xml:space="preserve"> and</w:t>
      </w:r>
      <w:r w:rsidR="00564C7C" w:rsidRPr="00FB6E97">
        <w:rPr>
          <w:rFonts w:ascii="Arial" w:hAnsi="Arial" w:cs="Arial"/>
        </w:rPr>
        <w:t xml:space="preserve"> the second relating to </w:t>
      </w:r>
      <w:r w:rsidR="006D5DB1" w:rsidRPr="00FB6E97">
        <w:rPr>
          <w:rFonts w:ascii="Arial" w:hAnsi="Arial" w:cs="Arial"/>
        </w:rPr>
        <w:t xml:space="preserve">the </w:t>
      </w:r>
      <w:r w:rsidR="00564C7C" w:rsidRPr="00FB6E97">
        <w:rPr>
          <w:rFonts w:ascii="Arial" w:hAnsi="Arial" w:cs="Arial"/>
        </w:rPr>
        <w:t>mining and quarrying sector.</w:t>
      </w:r>
    </w:p>
    <w:p w14:paraId="65FC79BD" w14:textId="77777777" w:rsidR="00564C7C" w:rsidRPr="00FB6E97" w:rsidRDefault="00564C7C" w:rsidP="0071716A">
      <w:pPr>
        <w:keepNext/>
        <w:autoSpaceDE w:val="0"/>
        <w:autoSpaceDN w:val="0"/>
        <w:adjustRightInd w:val="0"/>
        <w:spacing w:after="180"/>
        <w:jc w:val="both"/>
        <w:outlineLvl w:val="0"/>
        <w:rPr>
          <w:b/>
          <w:bCs/>
          <w:szCs w:val="24"/>
        </w:rPr>
      </w:pPr>
      <w:r w:rsidRPr="00FB6E97">
        <w:rPr>
          <w:b/>
          <w:bCs/>
          <w:szCs w:val="24"/>
        </w:rPr>
        <w:t>Oil and gas companies</w:t>
      </w:r>
    </w:p>
    <w:p w14:paraId="7A2A5E38" w14:textId="59A33ACA" w:rsidR="00BC030A" w:rsidRPr="00FB6E97" w:rsidRDefault="00520E19" w:rsidP="00F36ED8">
      <w:pPr>
        <w:pStyle w:val="Default"/>
        <w:spacing w:after="180"/>
        <w:jc w:val="both"/>
        <w:rPr>
          <w:rFonts w:ascii="Arial" w:hAnsi="Arial" w:cs="Arial"/>
        </w:rPr>
      </w:pPr>
      <w:bookmarkStart w:id="13" w:name="_Hlk22312186"/>
      <w:r w:rsidRPr="00FB6E97">
        <w:rPr>
          <w:rFonts w:ascii="Arial" w:hAnsi="Arial" w:cs="Arial"/>
        </w:rPr>
        <w:t xml:space="preserve">The </w:t>
      </w:r>
      <w:r w:rsidR="00FE6814" w:rsidRPr="00FB6E97">
        <w:rPr>
          <w:rFonts w:ascii="Arial" w:hAnsi="Arial" w:cs="Arial"/>
        </w:rPr>
        <w:t xml:space="preserve">initial </w:t>
      </w:r>
      <w:r w:rsidRPr="00FB6E97">
        <w:rPr>
          <w:rFonts w:ascii="Arial" w:hAnsi="Arial" w:cs="Arial"/>
        </w:rPr>
        <w:t xml:space="preserve">scope </w:t>
      </w:r>
      <w:r w:rsidR="002344BB" w:rsidRPr="00FB6E97">
        <w:rPr>
          <w:rFonts w:ascii="Arial" w:hAnsi="Arial" w:cs="Arial"/>
        </w:rPr>
        <w:t xml:space="preserve">for </w:t>
      </w:r>
      <w:r w:rsidRPr="00FB6E97">
        <w:rPr>
          <w:rFonts w:ascii="Arial" w:hAnsi="Arial" w:cs="Arial"/>
        </w:rPr>
        <w:t>oil and gas companies for</w:t>
      </w:r>
      <w:r w:rsidR="008129EE" w:rsidRPr="00FB6E97">
        <w:rPr>
          <w:rFonts w:ascii="Arial" w:hAnsi="Arial" w:cs="Arial"/>
        </w:rPr>
        <w:t xml:space="preserve"> the</w:t>
      </w:r>
      <w:r w:rsidRPr="00FB6E97">
        <w:rPr>
          <w:rFonts w:ascii="Arial" w:hAnsi="Arial" w:cs="Arial"/>
        </w:rPr>
        <w:t xml:space="preserve"> </w:t>
      </w:r>
      <w:r w:rsidR="00827644" w:rsidRPr="00FB6E97">
        <w:rPr>
          <w:rFonts w:ascii="Arial" w:hAnsi="Arial" w:cs="Arial"/>
        </w:rPr>
        <w:t>202</w:t>
      </w:r>
      <w:r w:rsidR="00827644">
        <w:rPr>
          <w:rFonts w:ascii="Arial" w:hAnsi="Arial" w:cs="Arial"/>
        </w:rPr>
        <w:t>3</w:t>
      </w:r>
      <w:r w:rsidR="00827644" w:rsidRPr="00FB6E97">
        <w:rPr>
          <w:rFonts w:ascii="Arial" w:hAnsi="Arial" w:cs="Arial"/>
        </w:rPr>
        <w:t xml:space="preserve"> </w:t>
      </w:r>
      <w:r w:rsidRPr="00FB6E97">
        <w:rPr>
          <w:rFonts w:ascii="Arial" w:hAnsi="Arial" w:cs="Arial"/>
        </w:rPr>
        <w:t xml:space="preserve">EITI </w:t>
      </w:r>
      <w:r w:rsidR="008129EE" w:rsidRPr="00FB6E97">
        <w:rPr>
          <w:rFonts w:ascii="Arial" w:hAnsi="Arial" w:cs="Arial"/>
        </w:rPr>
        <w:t xml:space="preserve">reconciliation </w:t>
      </w:r>
      <w:r w:rsidRPr="00FB6E97">
        <w:rPr>
          <w:rFonts w:ascii="Arial" w:hAnsi="Arial" w:cs="Arial"/>
        </w:rPr>
        <w:t xml:space="preserve">process </w:t>
      </w:r>
      <w:r w:rsidR="00FE6814" w:rsidRPr="00FB6E97">
        <w:rPr>
          <w:rFonts w:ascii="Arial" w:hAnsi="Arial" w:cs="Arial"/>
        </w:rPr>
        <w:t xml:space="preserve">included the </w:t>
      </w:r>
      <w:r w:rsidR="00A611FF">
        <w:rPr>
          <w:rFonts w:ascii="Arial" w:hAnsi="Arial" w:cs="Arial"/>
        </w:rPr>
        <w:t>32</w:t>
      </w:r>
      <w:r w:rsidR="00CA4014">
        <w:rPr>
          <w:rStyle w:val="FootnoteReference"/>
          <w:rFonts w:ascii="Arial" w:hAnsi="Arial" w:cs="Arial"/>
        </w:rPr>
        <w:footnoteReference w:id="9"/>
      </w:r>
      <w:r w:rsidR="00827644" w:rsidRPr="00FB6E97">
        <w:rPr>
          <w:rFonts w:ascii="Arial" w:hAnsi="Arial" w:cs="Arial"/>
        </w:rPr>
        <w:t xml:space="preserve"> </w:t>
      </w:r>
      <w:r w:rsidR="00FE6814" w:rsidRPr="00FB6E97">
        <w:rPr>
          <w:rFonts w:ascii="Arial" w:hAnsi="Arial" w:cs="Arial"/>
        </w:rPr>
        <w:t xml:space="preserve">companies </w:t>
      </w:r>
      <w:r w:rsidR="00BE15B0" w:rsidRPr="00FB6E97">
        <w:rPr>
          <w:rFonts w:ascii="Arial" w:hAnsi="Arial" w:cs="Arial"/>
        </w:rPr>
        <w:t xml:space="preserve">which </w:t>
      </w:r>
      <w:r w:rsidR="00FE6814" w:rsidRPr="00FB6E97">
        <w:rPr>
          <w:rFonts w:ascii="Arial" w:hAnsi="Arial" w:cs="Arial"/>
        </w:rPr>
        <w:t xml:space="preserve">participated in the </w:t>
      </w:r>
      <w:r w:rsidR="00A33DB9" w:rsidRPr="00FB6E97">
        <w:rPr>
          <w:rFonts w:ascii="Arial" w:hAnsi="Arial" w:cs="Arial"/>
        </w:rPr>
        <w:t>202</w:t>
      </w:r>
      <w:r w:rsidR="00A33DB9">
        <w:rPr>
          <w:rFonts w:ascii="Arial" w:hAnsi="Arial" w:cs="Arial"/>
        </w:rPr>
        <w:t>2</w:t>
      </w:r>
      <w:r w:rsidR="00A33DB9" w:rsidRPr="00FB6E97">
        <w:rPr>
          <w:rFonts w:ascii="Arial" w:hAnsi="Arial" w:cs="Arial"/>
        </w:rPr>
        <w:t xml:space="preserve"> </w:t>
      </w:r>
      <w:r w:rsidR="00FE6814" w:rsidRPr="00FB6E97">
        <w:rPr>
          <w:rFonts w:ascii="Arial" w:hAnsi="Arial" w:cs="Arial"/>
        </w:rPr>
        <w:t>EITI process.</w:t>
      </w:r>
    </w:p>
    <w:p w14:paraId="1AD8F768" w14:textId="66133F15" w:rsidR="00B23B1C" w:rsidRPr="00FB6E97" w:rsidRDefault="0089386D" w:rsidP="00F36ED8">
      <w:pPr>
        <w:pStyle w:val="Default"/>
        <w:spacing w:after="180"/>
        <w:jc w:val="both"/>
        <w:rPr>
          <w:rFonts w:ascii="Arial" w:hAnsi="Arial" w:cs="Arial"/>
        </w:rPr>
      </w:pPr>
      <w:r>
        <w:rPr>
          <w:rFonts w:ascii="Arial" w:hAnsi="Arial" w:cs="Arial"/>
        </w:rPr>
        <w:t>15</w:t>
      </w:r>
      <w:r w:rsidR="00A33DB9" w:rsidRPr="00FB6E97">
        <w:rPr>
          <w:rFonts w:ascii="Arial" w:hAnsi="Arial" w:cs="Arial"/>
        </w:rPr>
        <w:t xml:space="preserve"> </w:t>
      </w:r>
      <w:r w:rsidR="00B23B1C" w:rsidRPr="00FB6E97">
        <w:rPr>
          <w:rFonts w:ascii="Arial" w:hAnsi="Arial" w:cs="Arial"/>
        </w:rPr>
        <w:t xml:space="preserve">companies </w:t>
      </w:r>
      <w:r w:rsidR="00900B1B" w:rsidRPr="00FB6E97">
        <w:rPr>
          <w:rFonts w:ascii="Arial" w:hAnsi="Arial" w:cs="Arial"/>
        </w:rPr>
        <w:t xml:space="preserve">were added during </w:t>
      </w:r>
      <w:r w:rsidR="008129EE" w:rsidRPr="00FB6E97">
        <w:rPr>
          <w:rFonts w:ascii="Arial" w:hAnsi="Arial" w:cs="Arial"/>
        </w:rPr>
        <w:t>the reconciliation process</w:t>
      </w:r>
      <w:r w:rsidR="00900B1B" w:rsidRPr="00FB6E97">
        <w:rPr>
          <w:rFonts w:ascii="Arial" w:hAnsi="Arial" w:cs="Arial"/>
        </w:rPr>
        <w:t xml:space="preserve"> as follows:</w:t>
      </w:r>
    </w:p>
    <w:p w14:paraId="5DFAA5F2" w14:textId="2DA6CD67" w:rsidR="00FC2971" w:rsidRPr="00FC2971" w:rsidRDefault="00EF42CB" w:rsidP="00FC2971">
      <w:pPr>
        <w:pStyle w:val="Default"/>
        <w:numPr>
          <w:ilvl w:val="0"/>
          <w:numId w:val="22"/>
        </w:numPr>
        <w:spacing w:after="180"/>
        <w:ind w:left="714" w:hanging="357"/>
        <w:jc w:val="both"/>
        <w:rPr>
          <w:rFonts w:ascii="Arial" w:hAnsi="Arial" w:cs="Arial"/>
          <w:color w:val="auto"/>
        </w:rPr>
      </w:pPr>
      <w:r>
        <w:rPr>
          <w:rFonts w:ascii="Arial" w:hAnsi="Arial" w:cs="Arial"/>
          <w:color w:val="auto"/>
        </w:rPr>
        <w:t>e</w:t>
      </w:r>
      <w:r w:rsidR="0057217B">
        <w:rPr>
          <w:rFonts w:ascii="Arial" w:hAnsi="Arial" w:cs="Arial"/>
          <w:color w:val="auto"/>
        </w:rPr>
        <w:t>ight</w:t>
      </w:r>
      <w:r w:rsidR="0057217B" w:rsidRPr="00FB6E97">
        <w:rPr>
          <w:rFonts w:ascii="Arial" w:hAnsi="Arial" w:cs="Arial"/>
          <w:color w:val="auto"/>
        </w:rPr>
        <w:t xml:space="preserve"> </w:t>
      </w:r>
      <w:r w:rsidR="00947121" w:rsidRPr="00FB6E97">
        <w:rPr>
          <w:rFonts w:ascii="Arial" w:hAnsi="Arial" w:cs="Arial"/>
          <w:color w:val="auto"/>
        </w:rPr>
        <w:t xml:space="preserve">companies that did not participate in the </w:t>
      </w:r>
      <w:r w:rsidR="002A6B66" w:rsidRPr="00FB6E97">
        <w:rPr>
          <w:rFonts w:ascii="Arial" w:hAnsi="Arial" w:cs="Arial"/>
          <w:color w:val="auto"/>
        </w:rPr>
        <w:t>202</w:t>
      </w:r>
      <w:r w:rsidR="002A6B66">
        <w:rPr>
          <w:rFonts w:ascii="Arial" w:hAnsi="Arial" w:cs="Arial"/>
          <w:color w:val="auto"/>
        </w:rPr>
        <w:t>2</w:t>
      </w:r>
      <w:r w:rsidR="002A6B66" w:rsidRPr="00FB6E97">
        <w:rPr>
          <w:rFonts w:ascii="Arial" w:hAnsi="Arial" w:cs="Arial"/>
          <w:color w:val="auto"/>
        </w:rPr>
        <w:t xml:space="preserve"> </w:t>
      </w:r>
      <w:r w:rsidR="00947121" w:rsidRPr="00FB6E97">
        <w:rPr>
          <w:rFonts w:ascii="Arial" w:hAnsi="Arial" w:cs="Arial"/>
          <w:color w:val="auto"/>
        </w:rPr>
        <w:t xml:space="preserve">reconciliation </w:t>
      </w:r>
      <w:proofErr w:type="gramStart"/>
      <w:r w:rsidR="00947121" w:rsidRPr="00FB6E97">
        <w:rPr>
          <w:rFonts w:ascii="Arial" w:hAnsi="Arial" w:cs="Arial"/>
          <w:color w:val="auto"/>
        </w:rPr>
        <w:t>process;</w:t>
      </w:r>
      <w:proofErr w:type="gramEnd"/>
      <w:r w:rsidR="00441336" w:rsidRPr="00FB6E97">
        <w:rPr>
          <w:rFonts w:ascii="Arial" w:hAnsi="Arial" w:cs="Arial"/>
          <w:color w:val="auto"/>
        </w:rPr>
        <w:t xml:space="preserve"> </w:t>
      </w:r>
    </w:p>
    <w:p w14:paraId="425AD2AE" w14:textId="6825ED7C" w:rsidR="00947121" w:rsidRPr="00FB6E97" w:rsidRDefault="00EF42CB" w:rsidP="00F36ED8">
      <w:pPr>
        <w:pStyle w:val="Default"/>
        <w:numPr>
          <w:ilvl w:val="0"/>
          <w:numId w:val="22"/>
        </w:numPr>
        <w:spacing w:after="180"/>
        <w:ind w:left="714" w:hanging="357"/>
        <w:jc w:val="both"/>
        <w:rPr>
          <w:rFonts w:ascii="Arial" w:hAnsi="Arial" w:cs="Arial"/>
          <w:color w:val="auto"/>
        </w:rPr>
      </w:pPr>
      <w:r>
        <w:rPr>
          <w:rFonts w:ascii="Arial" w:hAnsi="Arial" w:cs="Arial"/>
          <w:color w:val="auto"/>
        </w:rPr>
        <w:t>t</w:t>
      </w:r>
      <w:r w:rsidR="00FC2971">
        <w:rPr>
          <w:rFonts w:ascii="Arial" w:hAnsi="Arial" w:cs="Arial"/>
          <w:color w:val="auto"/>
        </w:rPr>
        <w:t xml:space="preserve">hree </w:t>
      </w:r>
      <w:r w:rsidR="00FC2971" w:rsidRPr="00FB6E97">
        <w:rPr>
          <w:rFonts w:ascii="Arial" w:hAnsi="Arial" w:cs="Arial"/>
          <w:color w:val="auto"/>
        </w:rPr>
        <w:t xml:space="preserve">companies that did </w:t>
      </w:r>
      <w:r w:rsidR="00CF6EE8">
        <w:rPr>
          <w:rFonts w:ascii="Arial" w:hAnsi="Arial" w:cs="Arial"/>
          <w:color w:val="auto"/>
        </w:rPr>
        <w:t xml:space="preserve">not </w:t>
      </w:r>
      <w:r w:rsidR="00FD2AFF" w:rsidRPr="00FD2AFF">
        <w:rPr>
          <w:rFonts w:ascii="Arial" w:hAnsi="Arial" w:cs="Arial"/>
          <w:color w:val="auto"/>
        </w:rPr>
        <w:t xml:space="preserve">reach the threshold </w:t>
      </w:r>
      <w:r w:rsidR="00FC2971" w:rsidRPr="00FB6E97">
        <w:rPr>
          <w:rFonts w:ascii="Arial" w:hAnsi="Arial" w:cs="Arial"/>
          <w:color w:val="auto"/>
        </w:rPr>
        <w:t>in the 202</w:t>
      </w:r>
      <w:r w:rsidR="00FC2971">
        <w:rPr>
          <w:rFonts w:ascii="Arial" w:hAnsi="Arial" w:cs="Arial"/>
          <w:color w:val="auto"/>
        </w:rPr>
        <w:t>2</w:t>
      </w:r>
      <w:r w:rsidR="00FC2971" w:rsidRPr="00FB6E97">
        <w:rPr>
          <w:rFonts w:ascii="Arial" w:hAnsi="Arial" w:cs="Arial"/>
          <w:color w:val="auto"/>
        </w:rPr>
        <w:t xml:space="preserve"> reconciliation process</w:t>
      </w:r>
      <w:r w:rsidR="0038020B">
        <w:rPr>
          <w:rFonts w:ascii="Arial" w:hAnsi="Arial" w:cs="Arial"/>
          <w:color w:val="auto"/>
        </w:rPr>
        <w:t xml:space="preserve"> to </w:t>
      </w:r>
      <w:r w:rsidR="00166A06">
        <w:rPr>
          <w:rFonts w:ascii="Arial" w:hAnsi="Arial" w:cs="Arial"/>
          <w:color w:val="auto"/>
        </w:rPr>
        <w:t>check if</w:t>
      </w:r>
      <w:r w:rsidR="0038020B">
        <w:rPr>
          <w:rFonts w:ascii="Arial" w:hAnsi="Arial" w:cs="Arial"/>
          <w:color w:val="auto"/>
        </w:rPr>
        <w:t xml:space="preserve"> they made </w:t>
      </w:r>
      <w:r w:rsidR="0038020B" w:rsidRPr="0038020B">
        <w:rPr>
          <w:rFonts w:ascii="Arial" w:hAnsi="Arial" w:cs="Arial"/>
          <w:color w:val="auto"/>
        </w:rPr>
        <w:t xml:space="preserve">material tax payments (or </w:t>
      </w:r>
      <w:r w:rsidR="0038020B">
        <w:rPr>
          <w:rFonts w:ascii="Arial" w:hAnsi="Arial" w:cs="Arial"/>
          <w:color w:val="auto"/>
        </w:rPr>
        <w:t xml:space="preserve">received </w:t>
      </w:r>
      <w:r w:rsidR="0038020B" w:rsidRPr="0038020B">
        <w:rPr>
          <w:rFonts w:ascii="Arial" w:hAnsi="Arial" w:cs="Arial"/>
          <w:color w:val="auto"/>
        </w:rPr>
        <w:t>repayments) in 202</w:t>
      </w:r>
      <w:r w:rsidR="0038020B">
        <w:rPr>
          <w:rFonts w:ascii="Arial" w:hAnsi="Arial" w:cs="Arial"/>
          <w:color w:val="auto"/>
        </w:rPr>
        <w:t>3</w:t>
      </w:r>
      <w:r w:rsidR="00FD2AFF">
        <w:rPr>
          <w:rFonts w:ascii="Arial" w:hAnsi="Arial" w:cs="Arial"/>
          <w:color w:val="auto"/>
        </w:rPr>
        <w:t>;</w:t>
      </w:r>
      <w:r w:rsidR="00FC2971" w:rsidRPr="00FB6E97">
        <w:rPr>
          <w:rFonts w:ascii="Arial" w:hAnsi="Arial" w:cs="Arial"/>
          <w:color w:val="auto"/>
        </w:rPr>
        <w:t xml:space="preserve"> </w:t>
      </w:r>
      <w:r w:rsidR="00441336" w:rsidRPr="00FB6E97">
        <w:rPr>
          <w:rFonts w:ascii="Arial" w:hAnsi="Arial" w:cs="Arial"/>
          <w:color w:val="auto"/>
        </w:rPr>
        <w:t>and</w:t>
      </w:r>
    </w:p>
    <w:p w14:paraId="6B000697" w14:textId="14A91080" w:rsidR="008E212E" w:rsidRPr="00FB6E97" w:rsidRDefault="00EF42CB" w:rsidP="00F36ED8">
      <w:pPr>
        <w:pStyle w:val="Default"/>
        <w:numPr>
          <w:ilvl w:val="0"/>
          <w:numId w:val="22"/>
        </w:numPr>
        <w:spacing w:after="180"/>
        <w:ind w:left="714" w:hanging="357"/>
        <w:jc w:val="both"/>
        <w:rPr>
          <w:rFonts w:ascii="Arial" w:hAnsi="Arial" w:cs="Arial"/>
          <w:color w:val="auto"/>
        </w:rPr>
      </w:pPr>
      <w:r>
        <w:rPr>
          <w:rFonts w:ascii="Arial" w:hAnsi="Arial" w:cs="Arial"/>
          <w:color w:val="auto"/>
        </w:rPr>
        <w:lastRenderedPageBreak/>
        <w:t>f</w:t>
      </w:r>
      <w:r w:rsidR="00C13F02">
        <w:rPr>
          <w:rFonts w:ascii="Arial" w:hAnsi="Arial" w:cs="Arial"/>
          <w:color w:val="auto"/>
        </w:rPr>
        <w:t>our</w:t>
      </w:r>
      <w:r w:rsidR="00C13F02" w:rsidRPr="00FB6E97">
        <w:rPr>
          <w:rFonts w:ascii="Arial" w:hAnsi="Arial" w:cs="Arial"/>
          <w:color w:val="auto"/>
        </w:rPr>
        <w:t xml:space="preserve"> </w:t>
      </w:r>
      <w:r w:rsidR="00F56CD7" w:rsidRPr="00FB6E97">
        <w:rPr>
          <w:rFonts w:ascii="Arial" w:hAnsi="Arial" w:cs="Arial"/>
          <w:color w:val="auto"/>
        </w:rPr>
        <w:t xml:space="preserve">further </w:t>
      </w:r>
      <w:r w:rsidR="00520E19" w:rsidRPr="00FB6E97">
        <w:rPr>
          <w:rFonts w:ascii="Arial" w:hAnsi="Arial" w:cs="Arial"/>
          <w:color w:val="auto"/>
        </w:rPr>
        <w:t xml:space="preserve">companies identified by HMRC as having made or received payments above the materiality threshold </w:t>
      </w:r>
      <w:r w:rsidR="00B15298" w:rsidRPr="00FB6E97">
        <w:rPr>
          <w:rFonts w:ascii="Arial" w:hAnsi="Arial" w:cs="Arial"/>
          <w:color w:val="auto"/>
        </w:rPr>
        <w:t xml:space="preserve">of </w:t>
      </w:r>
      <w:r w:rsidR="00520E19" w:rsidRPr="00FB6E97">
        <w:rPr>
          <w:rFonts w:ascii="Arial" w:hAnsi="Arial" w:cs="Arial"/>
          <w:color w:val="auto"/>
        </w:rPr>
        <w:t>£86,000</w:t>
      </w:r>
      <w:r w:rsidR="002F2BDC" w:rsidRPr="00FB6E97">
        <w:rPr>
          <w:rFonts w:ascii="Arial" w:hAnsi="Arial" w:cs="Arial"/>
          <w:color w:val="auto"/>
        </w:rPr>
        <w:t xml:space="preserve"> in </w:t>
      </w:r>
      <w:r w:rsidR="00246557" w:rsidRPr="00FB6E97">
        <w:rPr>
          <w:rFonts w:ascii="Arial" w:hAnsi="Arial" w:cs="Arial"/>
          <w:color w:val="auto"/>
        </w:rPr>
        <w:t>202</w:t>
      </w:r>
      <w:r w:rsidR="00246557">
        <w:rPr>
          <w:rFonts w:ascii="Arial" w:hAnsi="Arial" w:cs="Arial"/>
          <w:color w:val="auto"/>
        </w:rPr>
        <w:t>3</w:t>
      </w:r>
      <w:r w:rsidR="00441336" w:rsidRPr="00FB6E97">
        <w:rPr>
          <w:rFonts w:ascii="Arial" w:hAnsi="Arial" w:cs="Arial"/>
          <w:color w:val="auto"/>
        </w:rPr>
        <w:t>.</w:t>
      </w:r>
    </w:p>
    <w:p w14:paraId="6238E7AE" w14:textId="05977F28" w:rsidR="00613DDC" w:rsidRPr="00503734" w:rsidRDefault="00E9426D" w:rsidP="00503734">
      <w:pPr>
        <w:spacing w:before="180" w:after="120"/>
        <w:jc w:val="both"/>
        <w:rPr>
          <w:rFonts w:eastAsiaTheme="minorEastAsia"/>
          <w:noProof/>
          <w:szCs w:val="24"/>
        </w:rPr>
      </w:pPr>
      <w:bookmarkStart w:id="14" w:name="_Hlk22311431"/>
      <w:r w:rsidRPr="00FB6E97">
        <w:rPr>
          <w:rFonts w:eastAsiaTheme="minorEastAsia"/>
          <w:noProof/>
          <w:szCs w:val="24"/>
        </w:rPr>
        <w:t xml:space="preserve">Based on the above, reporting templates were dispatched to </w:t>
      </w:r>
      <w:r w:rsidR="00D31048">
        <w:rPr>
          <w:rFonts w:eastAsiaTheme="minorEastAsia"/>
          <w:noProof/>
          <w:szCs w:val="24"/>
        </w:rPr>
        <w:t>47</w:t>
      </w:r>
      <w:r w:rsidR="00D31048" w:rsidRPr="00FB6E97">
        <w:rPr>
          <w:rFonts w:eastAsiaTheme="minorEastAsia"/>
          <w:noProof/>
          <w:szCs w:val="24"/>
        </w:rPr>
        <w:t xml:space="preserve"> </w:t>
      </w:r>
      <w:r w:rsidRPr="00FB6E97">
        <w:rPr>
          <w:rFonts w:eastAsiaTheme="minorEastAsia"/>
          <w:noProof/>
          <w:szCs w:val="24"/>
        </w:rPr>
        <w:t xml:space="preserve">oil and gas companies. </w:t>
      </w:r>
      <w:bookmarkStart w:id="15" w:name="_Hlk22312625"/>
      <w:bookmarkStart w:id="16" w:name="_Hlk78276919"/>
      <w:r w:rsidRPr="00FB6E97">
        <w:rPr>
          <w:rFonts w:eastAsiaTheme="minorEastAsia"/>
          <w:noProof/>
          <w:szCs w:val="24"/>
        </w:rPr>
        <w:t xml:space="preserve">Following the </w:t>
      </w:r>
      <w:r w:rsidR="00D81EF8" w:rsidRPr="00FB6E97">
        <w:rPr>
          <w:rFonts w:eastAsiaTheme="minorEastAsia"/>
          <w:noProof/>
          <w:szCs w:val="24"/>
        </w:rPr>
        <w:t>analysis of data collected</w:t>
      </w:r>
      <w:r w:rsidRPr="00FB6E97">
        <w:rPr>
          <w:rFonts w:eastAsiaTheme="minorEastAsia"/>
          <w:noProof/>
          <w:szCs w:val="24"/>
        </w:rPr>
        <w:t>, the list of companies initially selected was adjusted as follows:</w:t>
      </w:r>
      <w:bookmarkEnd w:id="15"/>
    </w:p>
    <w:p w14:paraId="7A99B86A" w14:textId="1F4826CE" w:rsidR="00E9426D" w:rsidRPr="00FB6E97" w:rsidRDefault="00EF42CB" w:rsidP="00F36ED8">
      <w:pPr>
        <w:pStyle w:val="Default"/>
        <w:numPr>
          <w:ilvl w:val="0"/>
          <w:numId w:val="22"/>
        </w:numPr>
        <w:spacing w:after="180"/>
        <w:ind w:left="714" w:hanging="357"/>
        <w:jc w:val="both"/>
        <w:rPr>
          <w:rFonts w:ascii="Arial" w:hAnsi="Arial" w:cs="Arial"/>
          <w:color w:val="auto"/>
        </w:rPr>
      </w:pPr>
      <w:r>
        <w:rPr>
          <w:rFonts w:ascii="Arial" w:hAnsi="Arial" w:cs="Arial"/>
          <w:color w:val="auto"/>
        </w:rPr>
        <w:t>t</w:t>
      </w:r>
      <w:r w:rsidR="001E2BCC" w:rsidRPr="00503734">
        <w:rPr>
          <w:rFonts w:ascii="Arial" w:hAnsi="Arial" w:cs="Arial"/>
          <w:color w:val="auto"/>
        </w:rPr>
        <w:t>en</w:t>
      </w:r>
      <w:r w:rsidR="001E2BCC" w:rsidRPr="001E2BCC">
        <w:rPr>
          <w:rFonts w:ascii="Arial" w:hAnsi="Arial" w:cs="Arial"/>
          <w:color w:val="auto"/>
        </w:rPr>
        <w:t xml:space="preserve"> </w:t>
      </w:r>
      <w:r w:rsidR="004E5D83" w:rsidRPr="001E2BCC">
        <w:rPr>
          <w:rFonts w:ascii="Arial" w:hAnsi="Arial" w:cs="Arial"/>
          <w:color w:val="auto"/>
        </w:rPr>
        <w:t>compan</w:t>
      </w:r>
      <w:r w:rsidR="00877BFC" w:rsidRPr="001E2BCC">
        <w:rPr>
          <w:rFonts w:ascii="Arial" w:hAnsi="Arial" w:cs="Arial"/>
          <w:color w:val="auto"/>
        </w:rPr>
        <w:t>ies</w:t>
      </w:r>
      <w:r w:rsidR="004E5D83" w:rsidRPr="001E2BCC">
        <w:rPr>
          <w:rFonts w:ascii="Arial" w:hAnsi="Arial" w:cs="Arial"/>
          <w:color w:val="auto"/>
        </w:rPr>
        <w:t xml:space="preserve"> </w:t>
      </w:r>
      <w:r w:rsidR="00E9426D" w:rsidRPr="001E2BCC">
        <w:rPr>
          <w:rFonts w:ascii="Arial" w:hAnsi="Arial" w:cs="Arial"/>
          <w:color w:val="auto"/>
        </w:rPr>
        <w:t>confirmed</w:t>
      </w:r>
      <w:r w:rsidR="348376F2" w:rsidRPr="001E2BCC">
        <w:rPr>
          <w:rFonts w:ascii="Arial" w:hAnsi="Arial" w:cs="Arial"/>
          <w:color w:val="auto"/>
        </w:rPr>
        <w:t xml:space="preserve"> </w:t>
      </w:r>
      <w:r w:rsidR="00E9426D" w:rsidRPr="001E2BCC">
        <w:rPr>
          <w:rFonts w:ascii="Arial" w:hAnsi="Arial" w:cs="Arial"/>
          <w:color w:val="auto"/>
        </w:rPr>
        <w:t xml:space="preserve">not having made or received payments in </w:t>
      </w:r>
      <w:r w:rsidR="001E2BCC" w:rsidRPr="001E2BCC">
        <w:rPr>
          <w:rFonts w:ascii="Arial" w:hAnsi="Arial" w:cs="Arial"/>
          <w:color w:val="auto"/>
        </w:rPr>
        <w:t>202</w:t>
      </w:r>
      <w:r w:rsidR="001E2BCC" w:rsidRPr="00503734">
        <w:rPr>
          <w:rFonts w:ascii="Arial" w:hAnsi="Arial" w:cs="Arial"/>
          <w:color w:val="auto"/>
        </w:rPr>
        <w:t>3</w:t>
      </w:r>
      <w:r w:rsidR="001E2BCC" w:rsidRPr="001E2BCC">
        <w:rPr>
          <w:rFonts w:ascii="Arial" w:hAnsi="Arial" w:cs="Arial"/>
          <w:color w:val="auto"/>
        </w:rPr>
        <w:t xml:space="preserve"> </w:t>
      </w:r>
      <w:r w:rsidR="00E9426D" w:rsidRPr="001E2BCC">
        <w:rPr>
          <w:rFonts w:ascii="Arial" w:hAnsi="Arial" w:cs="Arial"/>
          <w:color w:val="auto"/>
        </w:rPr>
        <w:t>above the materiality threshold of £86,000 to either HMRC, TCE or CES. This</w:t>
      </w:r>
      <w:r w:rsidR="00E9426D" w:rsidRPr="00FB6E97">
        <w:rPr>
          <w:rFonts w:ascii="Arial" w:hAnsi="Arial" w:cs="Arial"/>
          <w:color w:val="auto"/>
        </w:rPr>
        <w:t xml:space="preserve"> </w:t>
      </w:r>
      <w:r w:rsidR="00D66FAD" w:rsidRPr="00FB6E97">
        <w:rPr>
          <w:rFonts w:ascii="Arial" w:hAnsi="Arial" w:cs="Arial"/>
          <w:color w:val="auto"/>
        </w:rPr>
        <w:t>w</w:t>
      </w:r>
      <w:r w:rsidR="00E9426D" w:rsidRPr="00FB6E97">
        <w:rPr>
          <w:rFonts w:ascii="Arial" w:hAnsi="Arial" w:cs="Arial"/>
          <w:color w:val="auto"/>
        </w:rPr>
        <w:t xml:space="preserve">as confirmed by those Government Agencies. Accordingly, </w:t>
      </w:r>
      <w:r w:rsidR="004E5D83" w:rsidRPr="00FB6E97">
        <w:rPr>
          <w:rFonts w:ascii="Arial" w:hAnsi="Arial" w:cs="Arial"/>
          <w:color w:val="auto"/>
        </w:rPr>
        <w:t>th</w:t>
      </w:r>
      <w:r w:rsidR="00877BFC" w:rsidRPr="00FB6E97">
        <w:rPr>
          <w:rFonts w:ascii="Arial" w:hAnsi="Arial" w:cs="Arial"/>
          <w:color w:val="auto"/>
        </w:rPr>
        <w:t>ese</w:t>
      </w:r>
      <w:r w:rsidR="004E5D83" w:rsidRPr="00FB6E97">
        <w:rPr>
          <w:rFonts w:ascii="Arial" w:hAnsi="Arial" w:cs="Arial"/>
          <w:color w:val="auto"/>
        </w:rPr>
        <w:t xml:space="preserve"> </w:t>
      </w:r>
      <w:r w:rsidR="00E9426D" w:rsidRPr="00FB6E97">
        <w:rPr>
          <w:rFonts w:ascii="Arial" w:hAnsi="Arial" w:cs="Arial"/>
          <w:color w:val="auto"/>
        </w:rPr>
        <w:t>compan</w:t>
      </w:r>
      <w:r w:rsidR="00877BFC" w:rsidRPr="00FB6E97">
        <w:rPr>
          <w:rFonts w:ascii="Arial" w:hAnsi="Arial" w:cs="Arial"/>
          <w:color w:val="auto"/>
        </w:rPr>
        <w:t>ies</w:t>
      </w:r>
      <w:r w:rsidR="00E9426D" w:rsidRPr="00FB6E97">
        <w:rPr>
          <w:rFonts w:ascii="Arial" w:hAnsi="Arial" w:cs="Arial"/>
          <w:color w:val="auto"/>
        </w:rPr>
        <w:t xml:space="preserve"> w</w:t>
      </w:r>
      <w:r w:rsidR="00877BFC" w:rsidRPr="00FB6E97">
        <w:rPr>
          <w:rFonts w:ascii="Arial" w:hAnsi="Arial" w:cs="Arial"/>
          <w:color w:val="auto"/>
        </w:rPr>
        <w:t>ere</w:t>
      </w:r>
      <w:r w:rsidR="00E9426D" w:rsidRPr="00FB6E97">
        <w:rPr>
          <w:rFonts w:ascii="Arial" w:hAnsi="Arial" w:cs="Arial"/>
          <w:color w:val="auto"/>
        </w:rPr>
        <w:t xml:space="preserve"> excluded from the reconciliation </w:t>
      </w:r>
      <w:r w:rsidR="00361CAA" w:rsidRPr="00FB6E97">
        <w:rPr>
          <w:rFonts w:ascii="Arial" w:hAnsi="Arial" w:cs="Arial"/>
          <w:color w:val="auto"/>
        </w:rPr>
        <w:t>process;</w:t>
      </w:r>
      <w:r w:rsidR="004E5D83" w:rsidRPr="00FB6E97">
        <w:rPr>
          <w:rFonts w:ascii="Arial" w:hAnsi="Arial" w:cs="Arial"/>
          <w:color w:val="auto"/>
        </w:rPr>
        <w:t xml:space="preserve"> and</w:t>
      </w:r>
    </w:p>
    <w:p w14:paraId="7A9E8449" w14:textId="0590B30F" w:rsidR="00410F32" w:rsidRPr="00FB6E97" w:rsidRDefault="003B609D" w:rsidP="00E82A35">
      <w:pPr>
        <w:pStyle w:val="Default"/>
        <w:numPr>
          <w:ilvl w:val="0"/>
          <w:numId w:val="22"/>
        </w:numPr>
        <w:spacing w:after="180"/>
        <w:ind w:left="714" w:hanging="357"/>
        <w:jc w:val="both"/>
        <w:rPr>
          <w:rFonts w:ascii="Arial" w:hAnsi="Arial" w:cs="Arial"/>
          <w:color w:val="auto"/>
        </w:rPr>
      </w:pPr>
      <w:r>
        <w:rPr>
          <w:rFonts w:ascii="Arial" w:hAnsi="Arial" w:cs="Arial"/>
          <w:color w:val="auto"/>
        </w:rPr>
        <w:t>t</w:t>
      </w:r>
      <w:r w:rsidR="00744673">
        <w:rPr>
          <w:rFonts w:ascii="Arial" w:hAnsi="Arial" w:cs="Arial"/>
          <w:color w:val="auto"/>
        </w:rPr>
        <w:t>wo</w:t>
      </w:r>
      <w:r w:rsidR="00744673" w:rsidRPr="00FB6E97">
        <w:rPr>
          <w:rFonts w:ascii="Arial" w:hAnsi="Arial" w:cs="Arial"/>
          <w:color w:val="auto"/>
        </w:rPr>
        <w:t xml:space="preserve"> </w:t>
      </w:r>
      <w:r w:rsidR="004E5D83" w:rsidRPr="00FB6E97">
        <w:rPr>
          <w:rFonts w:ascii="Arial" w:hAnsi="Arial" w:cs="Arial"/>
          <w:color w:val="auto"/>
        </w:rPr>
        <w:t>companies</w:t>
      </w:r>
      <w:r w:rsidR="0082495A" w:rsidRPr="00FB6E97">
        <w:rPr>
          <w:rFonts w:ascii="Arial" w:hAnsi="Arial" w:cs="Arial"/>
          <w:color w:val="auto"/>
        </w:rPr>
        <w:t xml:space="preserve">, including one of those not participating in the </w:t>
      </w:r>
      <w:r w:rsidR="00744673" w:rsidRPr="00FB6E97">
        <w:rPr>
          <w:rFonts w:ascii="Arial" w:hAnsi="Arial" w:cs="Arial"/>
          <w:color w:val="auto"/>
        </w:rPr>
        <w:t>202</w:t>
      </w:r>
      <w:r w:rsidR="00744673">
        <w:rPr>
          <w:rFonts w:ascii="Arial" w:hAnsi="Arial" w:cs="Arial"/>
          <w:color w:val="auto"/>
        </w:rPr>
        <w:t>2</w:t>
      </w:r>
      <w:r w:rsidR="00744673" w:rsidRPr="00FB6E97">
        <w:rPr>
          <w:rFonts w:ascii="Arial" w:hAnsi="Arial" w:cs="Arial"/>
          <w:color w:val="auto"/>
        </w:rPr>
        <w:t xml:space="preserve"> </w:t>
      </w:r>
      <w:r w:rsidR="0082495A" w:rsidRPr="00FB6E97">
        <w:rPr>
          <w:rFonts w:ascii="Arial" w:hAnsi="Arial" w:cs="Arial"/>
          <w:color w:val="auto"/>
        </w:rPr>
        <w:t>reconciliation process,</w:t>
      </w:r>
      <w:r w:rsidR="004E5D83" w:rsidRPr="00FB6E97">
        <w:rPr>
          <w:rFonts w:ascii="Arial" w:hAnsi="Arial" w:cs="Arial"/>
          <w:color w:val="auto"/>
        </w:rPr>
        <w:t xml:space="preserve"> </w:t>
      </w:r>
      <w:r w:rsidR="00115AA9" w:rsidRPr="00FB6E97">
        <w:rPr>
          <w:rFonts w:ascii="Arial" w:hAnsi="Arial" w:cs="Arial"/>
          <w:color w:val="auto"/>
        </w:rPr>
        <w:t>declined to participate in the reconciliation process.</w:t>
      </w:r>
      <w:bookmarkEnd w:id="13"/>
      <w:bookmarkEnd w:id="14"/>
      <w:bookmarkEnd w:id="16"/>
    </w:p>
    <w:p w14:paraId="52F1296B" w14:textId="2E45E34D" w:rsidR="00564C7C" w:rsidRPr="00FB6E97" w:rsidRDefault="00564C7C" w:rsidP="0071716A">
      <w:pPr>
        <w:keepNext/>
        <w:autoSpaceDE w:val="0"/>
        <w:autoSpaceDN w:val="0"/>
        <w:adjustRightInd w:val="0"/>
        <w:spacing w:before="180" w:after="180"/>
        <w:jc w:val="both"/>
        <w:outlineLvl w:val="0"/>
        <w:rPr>
          <w:b/>
          <w:bCs/>
          <w:szCs w:val="24"/>
        </w:rPr>
      </w:pPr>
      <w:r w:rsidRPr="00FB6E97">
        <w:rPr>
          <w:b/>
          <w:bCs/>
          <w:szCs w:val="24"/>
        </w:rPr>
        <w:t>Mining and quarrying companies</w:t>
      </w:r>
    </w:p>
    <w:p w14:paraId="435C0117" w14:textId="14F2A240" w:rsidR="007B1E1D" w:rsidRPr="00FB6E97" w:rsidRDefault="007B1E1D" w:rsidP="00F36ED8">
      <w:pPr>
        <w:spacing w:after="180"/>
        <w:jc w:val="both"/>
        <w:rPr>
          <w:rFonts w:eastAsiaTheme="minorEastAsia"/>
          <w:noProof/>
          <w:szCs w:val="24"/>
        </w:rPr>
      </w:pPr>
      <w:r w:rsidRPr="00FB6E97">
        <w:rPr>
          <w:rFonts w:eastAsiaTheme="minorEastAsia"/>
          <w:noProof/>
          <w:szCs w:val="24"/>
        </w:rPr>
        <w:t xml:space="preserve">The </w:t>
      </w:r>
      <w:r w:rsidR="00BE15B0" w:rsidRPr="00FB6E97">
        <w:t xml:space="preserve">initial scope for mining and quarrying companies for the </w:t>
      </w:r>
      <w:r w:rsidR="005A03E6" w:rsidRPr="00FB6E97">
        <w:t>202</w:t>
      </w:r>
      <w:r w:rsidR="005A03E6">
        <w:t>3</w:t>
      </w:r>
      <w:r w:rsidR="005A03E6" w:rsidRPr="00FB6E97">
        <w:t xml:space="preserve"> </w:t>
      </w:r>
      <w:r w:rsidR="00BE15B0" w:rsidRPr="00FB6E97">
        <w:t xml:space="preserve">EITI reconciliation process included </w:t>
      </w:r>
      <w:r w:rsidRPr="00FB6E97">
        <w:rPr>
          <w:rFonts w:eastAsiaTheme="minorEastAsia"/>
          <w:noProof/>
          <w:szCs w:val="24"/>
        </w:rPr>
        <w:t xml:space="preserve">the </w:t>
      </w:r>
      <w:r w:rsidR="008F63FB" w:rsidRPr="00FB6E97">
        <w:rPr>
          <w:rFonts w:eastAsiaTheme="minorEastAsia"/>
          <w:noProof/>
          <w:szCs w:val="24"/>
        </w:rPr>
        <w:t>1</w:t>
      </w:r>
      <w:r w:rsidR="008F63FB">
        <w:rPr>
          <w:rFonts w:eastAsiaTheme="minorEastAsia"/>
          <w:noProof/>
          <w:szCs w:val="24"/>
        </w:rPr>
        <w:t>4</w:t>
      </w:r>
      <w:r w:rsidR="008F63FB" w:rsidRPr="00FB6E97">
        <w:rPr>
          <w:rFonts w:eastAsiaTheme="minorEastAsia"/>
          <w:noProof/>
          <w:szCs w:val="24"/>
        </w:rPr>
        <w:t xml:space="preserve"> </w:t>
      </w:r>
      <w:r w:rsidRPr="00FB6E97">
        <w:rPr>
          <w:rFonts w:eastAsiaTheme="minorEastAsia"/>
          <w:noProof/>
          <w:szCs w:val="24"/>
        </w:rPr>
        <w:t xml:space="preserve">mining and quarrying companies </w:t>
      </w:r>
      <w:r w:rsidR="0082495A" w:rsidRPr="00FB6E97">
        <w:rPr>
          <w:rFonts w:eastAsiaTheme="minorEastAsia"/>
          <w:noProof/>
          <w:szCs w:val="24"/>
        </w:rPr>
        <w:t xml:space="preserve">which </w:t>
      </w:r>
      <w:r w:rsidRPr="00FB6E97">
        <w:rPr>
          <w:rFonts w:eastAsiaTheme="minorEastAsia"/>
          <w:noProof/>
          <w:szCs w:val="24"/>
        </w:rPr>
        <w:t xml:space="preserve">participated in the </w:t>
      </w:r>
      <w:r w:rsidR="008F63FB" w:rsidRPr="00FB6E97">
        <w:rPr>
          <w:rFonts w:eastAsiaTheme="minorEastAsia"/>
          <w:noProof/>
          <w:szCs w:val="24"/>
        </w:rPr>
        <w:t>202</w:t>
      </w:r>
      <w:r w:rsidR="008F63FB">
        <w:rPr>
          <w:rFonts w:eastAsiaTheme="minorEastAsia"/>
          <w:noProof/>
          <w:szCs w:val="24"/>
        </w:rPr>
        <w:t>2</w:t>
      </w:r>
      <w:r w:rsidR="008F63FB" w:rsidRPr="00FB6E97">
        <w:rPr>
          <w:rFonts w:eastAsiaTheme="minorEastAsia"/>
          <w:noProof/>
          <w:szCs w:val="24"/>
        </w:rPr>
        <w:t xml:space="preserve"> </w:t>
      </w:r>
      <w:r w:rsidRPr="00FB6E97">
        <w:rPr>
          <w:rFonts w:eastAsiaTheme="minorEastAsia"/>
          <w:noProof/>
          <w:szCs w:val="24"/>
        </w:rPr>
        <w:t>EITI process.</w:t>
      </w:r>
    </w:p>
    <w:p w14:paraId="2BBCEEAF" w14:textId="3B472AF2" w:rsidR="00F75C26" w:rsidRPr="00FB6E97" w:rsidRDefault="008B500F" w:rsidP="00A1286E">
      <w:pPr>
        <w:pStyle w:val="Default"/>
        <w:spacing w:after="120"/>
        <w:jc w:val="both"/>
        <w:rPr>
          <w:rFonts w:eastAsiaTheme="minorEastAsia"/>
          <w:noProof/>
        </w:rPr>
      </w:pPr>
      <w:r>
        <w:rPr>
          <w:rFonts w:ascii="Arial" w:hAnsi="Arial" w:cs="Arial"/>
        </w:rPr>
        <w:t>13</w:t>
      </w:r>
      <w:r w:rsidRPr="00FB6E97">
        <w:rPr>
          <w:rFonts w:ascii="Arial" w:hAnsi="Arial" w:cs="Arial"/>
        </w:rPr>
        <w:t xml:space="preserve"> </w:t>
      </w:r>
      <w:r w:rsidR="00F75C26" w:rsidRPr="00FB6E97">
        <w:rPr>
          <w:rFonts w:ascii="Arial" w:hAnsi="Arial" w:cs="Arial"/>
        </w:rPr>
        <w:t>companies were added during the reconciliation process as follows:</w:t>
      </w:r>
    </w:p>
    <w:p w14:paraId="2F88642D" w14:textId="664C4CEA" w:rsidR="003C1B0F" w:rsidRPr="00FB6E97" w:rsidRDefault="00D759CF" w:rsidP="00441336">
      <w:pPr>
        <w:pStyle w:val="Default"/>
        <w:numPr>
          <w:ilvl w:val="0"/>
          <w:numId w:val="22"/>
        </w:numPr>
        <w:spacing w:after="180"/>
        <w:ind w:left="714" w:hanging="357"/>
        <w:jc w:val="both"/>
        <w:rPr>
          <w:rFonts w:ascii="Arial" w:hAnsi="Arial" w:cs="Arial"/>
          <w:color w:val="auto"/>
        </w:rPr>
      </w:pPr>
      <w:r>
        <w:rPr>
          <w:rFonts w:ascii="Arial" w:hAnsi="Arial" w:cs="Arial"/>
          <w:color w:val="auto"/>
        </w:rPr>
        <w:t>four</w:t>
      </w:r>
      <w:r w:rsidR="00BA6ADF" w:rsidRPr="00FB6E97">
        <w:rPr>
          <w:rFonts w:ascii="Arial" w:hAnsi="Arial" w:cs="Arial"/>
          <w:color w:val="auto"/>
        </w:rPr>
        <w:t xml:space="preserve"> </w:t>
      </w:r>
      <w:r w:rsidR="00441336" w:rsidRPr="00FB6E97">
        <w:rPr>
          <w:rFonts w:ascii="Arial" w:hAnsi="Arial" w:cs="Arial"/>
          <w:color w:val="auto"/>
        </w:rPr>
        <w:t xml:space="preserve">companies </w:t>
      </w:r>
      <w:r w:rsidR="00FA1F9A" w:rsidRPr="00FA1F9A">
        <w:rPr>
          <w:rFonts w:ascii="Arial" w:hAnsi="Arial" w:cs="Arial"/>
          <w:color w:val="auto"/>
        </w:rPr>
        <w:t>that did not reach the threshold in 2022</w:t>
      </w:r>
      <w:r w:rsidR="00940AD0" w:rsidRPr="00940AD0">
        <w:rPr>
          <w:rFonts w:ascii="Arial" w:hAnsi="Arial" w:cs="Arial"/>
          <w:color w:val="auto"/>
        </w:rPr>
        <w:t xml:space="preserve"> </w:t>
      </w:r>
      <w:r w:rsidR="00940AD0" w:rsidRPr="00FB6E97">
        <w:rPr>
          <w:rFonts w:ascii="Arial" w:hAnsi="Arial" w:cs="Arial"/>
          <w:color w:val="auto"/>
        </w:rPr>
        <w:t xml:space="preserve">reconciliation </w:t>
      </w:r>
      <w:r w:rsidR="00FA484C" w:rsidRPr="00FB6E97">
        <w:rPr>
          <w:rFonts w:ascii="Arial" w:hAnsi="Arial" w:cs="Arial"/>
          <w:color w:val="auto"/>
        </w:rPr>
        <w:t>process</w:t>
      </w:r>
      <w:r w:rsidR="00166A06" w:rsidRPr="00166A06">
        <w:rPr>
          <w:rFonts w:ascii="Arial" w:hAnsi="Arial" w:cs="Arial"/>
          <w:color w:val="auto"/>
        </w:rPr>
        <w:t xml:space="preserve"> </w:t>
      </w:r>
      <w:r w:rsidR="00166A06">
        <w:rPr>
          <w:rFonts w:ascii="Arial" w:hAnsi="Arial" w:cs="Arial"/>
          <w:color w:val="auto"/>
        </w:rPr>
        <w:t xml:space="preserve">to check if they made </w:t>
      </w:r>
      <w:r w:rsidR="00166A06" w:rsidRPr="0038020B">
        <w:rPr>
          <w:rFonts w:ascii="Arial" w:hAnsi="Arial" w:cs="Arial"/>
          <w:color w:val="auto"/>
        </w:rPr>
        <w:t xml:space="preserve">material tax payments (or </w:t>
      </w:r>
      <w:r w:rsidR="00166A06">
        <w:rPr>
          <w:rFonts w:ascii="Arial" w:hAnsi="Arial" w:cs="Arial"/>
          <w:color w:val="auto"/>
        </w:rPr>
        <w:t xml:space="preserve">received </w:t>
      </w:r>
      <w:r w:rsidR="00166A06" w:rsidRPr="0038020B">
        <w:rPr>
          <w:rFonts w:ascii="Arial" w:hAnsi="Arial" w:cs="Arial"/>
          <w:color w:val="auto"/>
        </w:rPr>
        <w:t>repayments) in 202</w:t>
      </w:r>
      <w:r w:rsidR="00166A06">
        <w:rPr>
          <w:rFonts w:ascii="Arial" w:hAnsi="Arial" w:cs="Arial"/>
          <w:color w:val="auto"/>
        </w:rPr>
        <w:t>3</w:t>
      </w:r>
      <w:r w:rsidR="00FA484C" w:rsidRPr="00FB6E97" w:rsidDel="00940AD0">
        <w:rPr>
          <w:rFonts w:ascii="Arial" w:hAnsi="Arial" w:cs="Arial"/>
          <w:color w:val="auto"/>
        </w:rPr>
        <w:t>;</w:t>
      </w:r>
      <w:r w:rsidR="00F75C26" w:rsidRPr="00FB6E97">
        <w:rPr>
          <w:rFonts w:ascii="Arial" w:hAnsi="Arial" w:cs="Arial"/>
          <w:color w:val="auto"/>
        </w:rPr>
        <w:t xml:space="preserve"> and</w:t>
      </w:r>
    </w:p>
    <w:p w14:paraId="2E345FB3" w14:textId="3BC13F8A" w:rsidR="00AD0FCC" w:rsidRPr="00AD0FCC" w:rsidRDefault="00130F1C" w:rsidP="00AD0FCC">
      <w:pPr>
        <w:pStyle w:val="Default"/>
        <w:numPr>
          <w:ilvl w:val="0"/>
          <w:numId w:val="22"/>
        </w:numPr>
        <w:spacing w:after="180"/>
        <w:jc w:val="both"/>
        <w:rPr>
          <w:rFonts w:ascii="Arial" w:hAnsi="Arial" w:cs="Arial"/>
          <w:color w:val="auto"/>
        </w:rPr>
      </w:pPr>
      <w:r>
        <w:rPr>
          <w:rFonts w:ascii="Arial" w:hAnsi="Arial" w:cs="Arial"/>
          <w:color w:val="auto"/>
        </w:rPr>
        <w:t>nine</w:t>
      </w:r>
      <w:r w:rsidR="00BA6ADF" w:rsidRPr="00FB6E97">
        <w:rPr>
          <w:rFonts w:ascii="Arial" w:hAnsi="Arial" w:cs="Arial"/>
          <w:color w:val="auto"/>
        </w:rPr>
        <w:t xml:space="preserve"> </w:t>
      </w:r>
      <w:r w:rsidR="00AD0FCC">
        <w:rPr>
          <w:rFonts w:ascii="Arial" w:hAnsi="Arial" w:cs="Arial"/>
          <w:color w:val="auto"/>
        </w:rPr>
        <w:t>a</w:t>
      </w:r>
      <w:r w:rsidR="00AD0FCC" w:rsidRPr="00AD0FCC">
        <w:rPr>
          <w:rFonts w:ascii="Arial" w:hAnsi="Arial" w:cs="Arial"/>
          <w:color w:val="auto"/>
        </w:rPr>
        <w:t>dditional companies</w:t>
      </w:r>
      <w:r w:rsidR="005B3862">
        <w:rPr>
          <w:rFonts w:ascii="Arial" w:hAnsi="Arial" w:cs="Arial"/>
          <w:color w:val="auto"/>
        </w:rPr>
        <w:t xml:space="preserve"> were</w:t>
      </w:r>
      <w:r w:rsidR="00AD0FCC" w:rsidRPr="00AD0FCC">
        <w:rPr>
          <w:rFonts w:ascii="Arial" w:hAnsi="Arial" w:cs="Arial"/>
          <w:color w:val="auto"/>
        </w:rPr>
        <w:t xml:space="preserve"> expected</w:t>
      </w:r>
      <w:r w:rsidR="00FA73A6">
        <w:rPr>
          <w:rFonts w:ascii="Arial" w:hAnsi="Arial" w:cs="Arial"/>
          <w:color w:val="auto"/>
        </w:rPr>
        <w:t xml:space="preserve"> </w:t>
      </w:r>
      <w:r w:rsidR="00D209D8">
        <w:rPr>
          <w:rFonts w:ascii="Arial" w:hAnsi="Arial" w:cs="Arial"/>
          <w:color w:val="auto"/>
        </w:rPr>
        <w:t>by the m</w:t>
      </w:r>
      <w:r w:rsidR="00D209D8" w:rsidRPr="00D209D8">
        <w:rPr>
          <w:rFonts w:ascii="Arial" w:hAnsi="Arial" w:cs="Arial"/>
          <w:color w:val="auto"/>
        </w:rPr>
        <w:t xml:space="preserve">ining &amp; </w:t>
      </w:r>
      <w:r w:rsidR="00D209D8">
        <w:rPr>
          <w:rFonts w:ascii="Arial" w:hAnsi="Arial" w:cs="Arial"/>
          <w:color w:val="auto"/>
        </w:rPr>
        <w:t>q</w:t>
      </w:r>
      <w:r w:rsidR="00D209D8" w:rsidRPr="00D209D8">
        <w:rPr>
          <w:rFonts w:ascii="Arial" w:hAnsi="Arial" w:cs="Arial"/>
          <w:color w:val="auto"/>
        </w:rPr>
        <w:t>uarrying subgroup</w:t>
      </w:r>
      <w:r w:rsidR="00D209D8" w:rsidRPr="00AD0FCC">
        <w:rPr>
          <w:rFonts w:ascii="Arial" w:hAnsi="Arial" w:cs="Arial"/>
          <w:color w:val="auto"/>
        </w:rPr>
        <w:t xml:space="preserve"> </w:t>
      </w:r>
      <w:r w:rsidR="00AD0FCC" w:rsidRPr="00AD0FCC">
        <w:rPr>
          <w:rFonts w:ascii="Arial" w:hAnsi="Arial" w:cs="Arial"/>
          <w:color w:val="auto"/>
        </w:rPr>
        <w:t>to be in scope of the 2023 reconciliation process</w:t>
      </w:r>
      <w:r w:rsidR="005B3862">
        <w:rPr>
          <w:rFonts w:ascii="Arial" w:hAnsi="Arial" w:cs="Arial"/>
          <w:color w:val="auto"/>
        </w:rPr>
        <w:t>.</w:t>
      </w:r>
    </w:p>
    <w:p w14:paraId="33B2D0C9" w14:textId="076DDED4" w:rsidR="00715702" w:rsidRDefault="003C1B0F" w:rsidP="002361A4">
      <w:pPr>
        <w:spacing w:before="180" w:after="180"/>
        <w:jc w:val="both"/>
        <w:rPr>
          <w:rFonts w:eastAsiaTheme="minorEastAsia"/>
          <w:noProof/>
          <w:szCs w:val="24"/>
        </w:rPr>
      </w:pPr>
      <w:r w:rsidRPr="00FB6E97">
        <w:rPr>
          <w:rFonts w:eastAsiaTheme="minorEastAsia"/>
          <w:noProof/>
          <w:szCs w:val="24"/>
        </w:rPr>
        <w:t xml:space="preserve">Based on the above, reporting templates were dispatched to </w:t>
      </w:r>
      <w:r w:rsidR="004E72A1">
        <w:rPr>
          <w:rFonts w:eastAsiaTheme="minorEastAsia"/>
          <w:noProof/>
          <w:szCs w:val="24"/>
        </w:rPr>
        <w:t>27</w:t>
      </w:r>
      <w:r w:rsidR="004E72A1" w:rsidRPr="00FB6E97">
        <w:rPr>
          <w:rFonts w:eastAsiaTheme="minorEastAsia"/>
          <w:noProof/>
          <w:szCs w:val="24"/>
        </w:rPr>
        <w:t xml:space="preserve"> </w:t>
      </w:r>
      <w:r w:rsidRPr="00FB6E97">
        <w:rPr>
          <w:rFonts w:eastAsiaTheme="minorEastAsia"/>
          <w:noProof/>
          <w:szCs w:val="24"/>
        </w:rPr>
        <w:t xml:space="preserve">mining and </w:t>
      </w:r>
      <w:r w:rsidR="002B7E56" w:rsidRPr="00FB6E97">
        <w:rPr>
          <w:rFonts w:eastAsiaTheme="minorEastAsia"/>
          <w:noProof/>
          <w:szCs w:val="24"/>
        </w:rPr>
        <w:t xml:space="preserve">quarrying </w:t>
      </w:r>
      <w:r w:rsidRPr="00FB6E97">
        <w:rPr>
          <w:rFonts w:eastAsiaTheme="minorEastAsia"/>
          <w:noProof/>
          <w:szCs w:val="24"/>
        </w:rPr>
        <w:t>companies</w:t>
      </w:r>
      <w:r w:rsidR="002E295A" w:rsidRPr="00FB6E97">
        <w:rPr>
          <w:rFonts w:eastAsiaTheme="minorEastAsia"/>
          <w:noProof/>
          <w:szCs w:val="24"/>
        </w:rPr>
        <w:t>.</w:t>
      </w:r>
    </w:p>
    <w:p w14:paraId="63C59F9A" w14:textId="62475520" w:rsidR="00FE57FE" w:rsidRDefault="00FE57FE" w:rsidP="002361A4">
      <w:pPr>
        <w:spacing w:before="180" w:after="180"/>
        <w:jc w:val="both"/>
        <w:rPr>
          <w:rFonts w:eastAsiaTheme="minorEastAsia"/>
          <w:noProof/>
          <w:szCs w:val="24"/>
        </w:rPr>
      </w:pPr>
      <w:r w:rsidRPr="00FE57FE">
        <w:rPr>
          <w:rFonts w:eastAsiaTheme="minorEastAsia"/>
          <w:noProof/>
          <w:szCs w:val="24"/>
        </w:rPr>
        <w:t xml:space="preserve">Following the analysis of data collected, the </w:t>
      </w:r>
      <w:r w:rsidR="00F1181D">
        <w:rPr>
          <w:rFonts w:eastAsiaTheme="minorEastAsia"/>
          <w:noProof/>
          <w:szCs w:val="24"/>
        </w:rPr>
        <w:t>number</w:t>
      </w:r>
      <w:r w:rsidRPr="00FE57FE">
        <w:rPr>
          <w:rFonts w:eastAsiaTheme="minorEastAsia"/>
          <w:noProof/>
          <w:szCs w:val="24"/>
        </w:rPr>
        <w:t xml:space="preserve"> of companies initially selected was adjusted as follows:</w:t>
      </w:r>
    </w:p>
    <w:p w14:paraId="40DFE443" w14:textId="2E056E40" w:rsidR="000266D2" w:rsidRPr="0074519C" w:rsidRDefault="000266D2" w:rsidP="000266D2">
      <w:pPr>
        <w:pStyle w:val="Default"/>
        <w:numPr>
          <w:ilvl w:val="0"/>
          <w:numId w:val="22"/>
        </w:numPr>
        <w:spacing w:after="180"/>
        <w:ind w:left="714" w:hanging="357"/>
        <w:jc w:val="both"/>
        <w:rPr>
          <w:rFonts w:ascii="Arial" w:hAnsi="Arial" w:cs="Arial"/>
          <w:color w:val="auto"/>
        </w:rPr>
      </w:pPr>
      <w:r>
        <w:rPr>
          <w:rFonts w:ascii="Arial" w:hAnsi="Arial" w:cs="Arial"/>
          <w:color w:val="auto"/>
        </w:rPr>
        <w:t>t</w:t>
      </w:r>
      <w:r w:rsidRPr="00894453">
        <w:rPr>
          <w:rFonts w:ascii="Arial" w:hAnsi="Arial" w:cs="Arial"/>
          <w:color w:val="auto"/>
        </w:rPr>
        <w:t>en</w:t>
      </w:r>
      <w:r w:rsidRPr="001E2BCC">
        <w:rPr>
          <w:rFonts w:ascii="Arial" w:hAnsi="Arial" w:cs="Arial"/>
          <w:color w:val="auto"/>
        </w:rPr>
        <w:t xml:space="preserve"> companies confirmed not having made or received payments in 202</w:t>
      </w:r>
      <w:r w:rsidRPr="00894453">
        <w:rPr>
          <w:rFonts w:ascii="Arial" w:hAnsi="Arial" w:cs="Arial"/>
          <w:color w:val="auto"/>
        </w:rPr>
        <w:t>3</w:t>
      </w:r>
      <w:r w:rsidRPr="001E2BCC">
        <w:rPr>
          <w:rFonts w:ascii="Arial" w:hAnsi="Arial" w:cs="Arial"/>
          <w:color w:val="auto"/>
        </w:rPr>
        <w:t xml:space="preserve"> above the materiality threshold of £86,000 to either HMRC, TCE or CES. This</w:t>
      </w:r>
      <w:r w:rsidRPr="00FB6E97">
        <w:rPr>
          <w:rFonts w:ascii="Arial" w:hAnsi="Arial" w:cs="Arial"/>
          <w:color w:val="auto"/>
        </w:rPr>
        <w:t xml:space="preserve"> was confirmed by those Government Agencies. Accordingly, these companies were excluded from the reconciliation process; and</w:t>
      </w:r>
    </w:p>
    <w:p w14:paraId="79F522EA" w14:textId="1F9EC6B2" w:rsidR="0074519C" w:rsidRPr="0074519C" w:rsidRDefault="0041764F" w:rsidP="0074519C">
      <w:pPr>
        <w:pStyle w:val="Default"/>
        <w:numPr>
          <w:ilvl w:val="0"/>
          <w:numId w:val="22"/>
        </w:numPr>
        <w:spacing w:after="180"/>
        <w:ind w:left="714" w:hanging="357"/>
        <w:jc w:val="both"/>
        <w:rPr>
          <w:rFonts w:ascii="Arial" w:hAnsi="Arial" w:cs="Arial"/>
          <w:color w:val="auto"/>
        </w:rPr>
      </w:pPr>
      <w:r>
        <w:rPr>
          <w:rFonts w:ascii="Arial" w:hAnsi="Arial" w:cs="Arial"/>
          <w:color w:val="auto"/>
        </w:rPr>
        <w:t>four</w:t>
      </w:r>
      <w:r w:rsidR="0074519C" w:rsidRPr="00FB6E97">
        <w:rPr>
          <w:rFonts w:ascii="Arial" w:hAnsi="Arial" w:cs="Arial"/>
          <w:color w:val="auto"/>
        </w:rPr>
        <w:t xml:space="preserve"> companies, including </w:t>
      </w:r>
      <w:r w:rsidR="00E235C6">
        <w:rPr>
          <w:rFonts w:ascii="Arial" w:hAnsi="Arial" w:cs="Arial"/>
          <w:color w:val="auto"/>
        </w:rPr>
        <w:t>three</w:t>
      </w:r>
      <w:r w:rsidR="0074519C" w:rsidRPr="00FB6E97">
        <w:rPr>
          <w:rFonts w:ascii="Arial" w:hAnsi="Arial" w:cs="Arial"/>
          <w:color w:val="auto"/>
        </w:rPr>
        <w:t xml:space="preserve"> of those not participating in the 202</w:t>
      </w:r>
      <w:r w:rsidR="0074519C">
        <w:rPr>
          <w:rFonts w:ascii="Arial" w:hAnsi="Arial" w:cs="Arial"/>
          <w:color w:val="auto"/>
        </w:rPr>
        <w:t>2</w:t>
      </w:r>
      <w:r w:rsidR="0074519C" w:rsidRPr="00FB6E97">
        <w:rPr>
          <w:rFonts w:ascii="Arial" w:hAnsi="Arial" w:cs="Arial"/>
          <w:color w:val="auto"/>
        </w:rPr>
        <w:t xml:space="preserve"> reconciliation process, declined to participate in the reconciliation process.</w:t>
      </w:r>
    </w:p>
    <w:p w14:paraId="58C1A8DD" w14:textId="77777777"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Collection of company payment data</w:t>
      </w:r>
    </w:p>
    <w:p w14:paraId="13007465" w14:textId="77777777" w:rsidR="00E966DA" w:rsidRPr="002C6E02" w:rsidRDefault="00E966DA" w:rsidP="002C6E02">
      <w:pPr>
        <w:autoSpaceDE w:val="0"/>
        <w:autoSpaceDN w:val="0"/>
        <w:adjustRightInd w:val="0"/>
        <w:spacing w:after="180"/>
        <w:jc w:val="both"/>
        <w:rPr>
          <w:szCs w:val="24"/>
        </w:rPr>
      </w:pPr>
      <w:r w:rsidRPr="002C6E02">
        <w:rPr>
          <w:szCs w:val="24"/>
        </w:rPr>
        <w:t>Guidance and templates were made available on-line on the UK EITI website in March 2024 for companies that self-assessed that they were in-scope for 2023.</w:t>
      </w:r>
    </w:p>
    <w:p w14:paraId="18780C6A" w14:textId="288236D9" w:rsidR="00564C7C" w:rsidRPr="00FB6E97" w:rsidRDefault="00564C7C" w:rsidP="00F36ED8">
      <w:pPr>
        <w:autoSpaceDE w:val="0"/>
        <w:autoSpaceDN w:val="0"/>
        <w:adjustRightInd w:val="0"/>
        <w:spacing w:after="180"/>
        <w:jc w:val="both"/>
        <w:rPr>
          <w:szCs w:val="24"/>
        </w:rPr>
      </w:pPr>
      <w:r w:rsidRPr="00FB6E97">
        <w:rPr>
          <w:szCs w:val="24"/>
        </w:rPr>
        <w:t xml:space="preserve">The MSG developed instructions for reporting companies, including templates and guidelines, which can be found </w:t>
      </w:r>
      <w:r w:rsidR="002B7E56" w:rsidRPr="00FB6E97">
        <w:rPr>
          <w:szCs w:val="24"/>
        </w:rPr>
        <w:t>at the following link</w:t>
      </w:r>
      <w:r w:rsidRPr="00FB6E97">
        <w:rPr>
          <w:szCs w:val="24"/>
        </w:rPr>
        <w:t xml:space="preserve">: </w:t>
      </w:r>
      <w:hyperlink r:id="rId17" w:history="1">
        <w:r w:rsidR="003C248C" w:rsidRPr="00FB6E97">
          <w:rPr>
            <w:rStyle w:val="Hyperlink"/>
            <w:szCs w:val="24"/>
          </w:rPr>
          <w:t>https://www.ukeiti.org/reporting-guidance</w:t>
        </w:r>
      </w:hyperlink>
      <w:r w:rsidR="003C248C" w:rsidRPr="00FB6E97">
        <w:rPr>
          <w:rStyle w:val="Hyperlink"/>
        </w:rPr>
        <w:t>.</w:t>
      </w:r>
    </w:p>
    <w:p w14:paraId="2F22C9D2" w14:textId="77777777" w:rsidR="00FA484C" w:rsidRDefault="00FA484C">
      <w:pPr>
        <w:spacing w:after="200" w:line="276" w:lineRule="auto"/>
        <w:rPr>
          <w:szCs w:val="24"/>
        </w:rPr>
      </w:pPr>
      <w:r>
        <w:rPr>
          <w:szCs w:val="24"/>
        </w:rPr>
        <w:br w:type="page"/>
      </w:r>
    </w:p>
    <w:p w14:paraId="50810816" w14:textId="6987D055" w:rsidR="00564C7C" w:rsidRPr="00FB6E97" w:rsidRDefault="00564C7C" w:rsidP="00F36ED8">
      <w:pPr>
        <w:autoSpaceDE w:val="0"/>
        <w:autoSpaceDN w:val="0"/>
        <w:adjustRightInd w:val="0"/>
        <w:spacing w:after="180"/>
        <w:jc w:val="both"/>
        <w:rPr>
          <w:szCs w:val="24"/>
        </w:rPr>
      </w:pPr>
      <w:r w:rsidRPr="00FB6E97">
        <w:rPr>
          <w:szCs w:val="24"/>
        </w:rPr>
        <w:lastRenderedPageBreak/>
        <w:t>The reporting package include</w:t>
      </w:r>
      <w:r w:rsidR="00D064FC">
        <w:rPr>
          <w:szCs w:val="24"/>
        </w:rPr>
        <w:t>d</w:t>
      </w:r>
      <w:r w:rsidRPr="00FB6E97">
        <w:rPr>
          <w:szCs w:val="24"/>
        </w:rPr>
        <w:t>:</w:t>
      </w:r>
    </w:p>
    <w:p w14:paraId="01201C12" w14:textId="75F42885" w:rsidR="00564C7C"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Reporting </w:t>
      </w:r>
      <w:proofErr w:type="gramStart"/>
      <w:r w:rsidR="00F02E3D" w:rsidRPr="00FB6E97">
        <w:rPr>
          <w:rFonts w:ascii="Arial" w:hAnsi="Arial" w:cs="Arial"/>
          <w:color w:val="auto"/>
        </w:rPr>
        <w:t>templates</w:t>
      </w:r>
      <w:r w:rsidR="00FA484C" w:rsidRPr="00FB6E97">
        <w:rPr>
          <w:rFonts w:ascii="Arial" w:hAnsi="Arial" w:cs="Arial"/>
          <w:color w:val="auto"/>
        </w:rPr>
        <w:t>;</w:t>
      </w:r>
      <w:proofErr w:type="gramEnd"/>
    </w:p>
    <w:p w14:paraId="47E19D7B" w14:textId="736DB09A" w:rsidR="00564C7C" w:rsidRPr="00FB6E97" w:rsidRDefault="00EB62BE"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Guidance on </w:t>
      </w:r>
      <w:r w:rsidR="00564C7C" w:rsidRPr="00FB6E97">
        <w:rPr>
          <w:rFonts w:ascii="Arial" w:hAnsi="Arial" w:cs="Arial"/>
          <w:color w:val="auto"/>
        </w:rPr>
        <w:t xml:space="preserve">EITI </w:t>
      </w:r>
      <w:r w:rsidRPr="00FB6E97">
        <w:rPr>
          <w:rFonts w:ascii="Arial" w:hAnsi="Arial" w:cs="Arial"/>
          <w:color w:val="auto"/>
        </w:rPr>
        <w:t xml:space="preserve">reporting </w:t>
      </w:r>
      <w:r w:rsidR="00564C7C" w:rsidRPr="00FB6E97">
        <w:rPr>
          <w:rFonts w:ascii="Arial" w:hAnsi="Arial" w:cs="Arial"/>
          <w:color w:val="auto"/>
        </w:rPr>
        <w:t xml:space="preserve">(Step-by-step) </w:t>
      </w:r>
      <w:proofErr w:type="gramStart"/>
      <w:r w:rsidR="00564C7C" w:rsidRPr="00FB6E97">
        <w:rPr>
          <w:rFonts w:ascii="Arial" w:hAnsi="Arial" w:cs="Arial"/>
          <w:color w:val="auto"/>
        </w:rPr>
        <w:t>guide;</w:t>
      </w:r>
      <w:proofErr w:type="gramEnd"/>
    </w:p>
    <w:p w14:paraId="3B0E2404" w14:textId="27223F34" w:rsidR="00C67581" w:rsidRPr="00FB6E97" w:rsidRDefault="00C67581"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Beneficial ownership </w:t>
      </w:r>
      <w:r w:rsidR="002376F3" w:rsidRPr="00FB6E97">
        <w:rPr>
          <w:rFonts w:ascii="Arial" w:hAnsi="Arial" w:cs="Arial"/>
          <w:color w:val="auto"/>
        </w:rPr>
        <w:t xml:space="preserve">declaration </w:t>
      </w:r>
      <w:proofErr w:type="gramStart"/>
      <w:r w:rsidR="002376F3" w:rsidRPr="00FB6E97">
        <w:rPr>
          <w:rFonts w:ascii="Arial" w:hAnsi="Arial" w:cs="Arial"/>
          <w:color w:val="auto"/>
        </w:rPr>
        <w:t>form</w:t>
      </w:r>
      <w:r w:rsidRPr="00FB6E97">
        <w:rPr>
          <w:rFonts w:ascii="Arial" w:hAnsi="Arial" w:cs="Arial"/>
          <w:color w:val="auto"/>
        </w:rPr>
        <w:t>;</w:t>
      </w:r>
      <w:proofErr w:type="gramEnd"/>
    </w:p>
    <w:p w14:paraId="35634157" w14:textId="77777777" w:rsidR="00564C7C" w:rsidRPr="00FB6E97" w:rsidRDefault="00564C7C" w:rsidP="00F36ED8">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Beneficial ownership guide; and</w:t>
      </w:r>
    </w:p>
    <w:p w14:paraId="21F6A538" w14:textId="410CEFF5" w:rsidR="00FA484C" w:rsidRPr="00FA484C" w:rsidRDefault="00564C7C" w:rsidP="0048096C">
      <w:pPr>
        <w:pStyle w:val="Default"/>
        <w:numPr>
          <w:ilvl w:val="0"/>
          <w:numId w:val="22"/>
        </w:numPr>
        <w:spacing w:after="180"/>
        <w:ind w:left="714" w:hanging="357"/>
        <w:jc w:val="both"/>
        <w:rPr>
          <w:rFonts w:ascii="Arial" w:hAnsi="Arial" w:cs="Arial"/>
          <w:color w:val="auto"/>
        </w:rPr>
      </w:pPr>
      <w:r w:rsidRPr="00FA484C">
        <w:rPr>
          <w:rFonts w:ascii="Arial" w:hAnsi="Arial" w:cs="Arial"/>
          <w:color w:val="auto"/>
        </w:rPr>
        <w:t>Confidentiality waiver.</w:t>
      </w:r>
    </w:p>
    <w:p w14:paraId="10DCFE7F" w14:textId="77777777"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Data reliability and credibility</w:t>
      </w:r>
    </w:p>
    <w:p w14:paraId="1143238C" w14:textId="0F303064" w:rsidR="00564C7C" w:rsidRPr="00FB6E97" w:rsidRDefault="007D3CB0" w:rsidP="00F36ED8">
      <w:pPr>
        <w:pStyle w:val="Default"/>
        <w:spacing w:after="180"/>
        <w:jc w:val="both"/>
        <w:rPr>
          <w:rFonts w:ascii="Arial" w:hAnsi="Arial" w:cs="Arial"/>
        </w:rPr>
      </w:pPr>
      <w:r w:rsidRPr="00FB6E97">
        <w:rPr>
          <w:rFonts w:ascii="Arial" w:hAnsi="Arial" w:cs="Arial"/>
        </w:rPr>
        <w:t xml:space="preserve">The </w:t>
      </w:r>
      <w:r w:rsidR="00564C7C" w:rsidRPr="00FB6E97">
        <w:rPr>
          <w:rFonts w:ascii="Arial" w:hAnsi="Arial" w:cs="Arial"/>
        </w:rPr>
        <w:t xml:space="preserve">MSG </w:t>
      </w:r>
      <w:r w:rsidRPr="00FB6E97">
        <w:rPr>
          <w:rFonts w:ascii="Arial" w:hAnsi="Arial" w:cs="Arial"/>
        </w:rPr>
        <w:t>is of the opinion</w:t>
      </w:r>
      <w:r w:rsidR="00564C7C" w:rsidRPr="00FB6E97">
        <w:rPr>
          <w:rFonts w:ascii="Arial" w:hAnsi="Arial" w:cs="Arial"/>
        </w:rPr>
        <w:t xml:space="preserve"> that </w:t>
      </w:r>
      <w:bookmarkStart w:id="17" w:name="_Hlk512513665"/>
      <w:r w:rsidR="00564C7C" w:rsidRPr="00FB6E97">
        <w:rPr>
          <w:rFonts w:ascii="Arial" w:hAnsi="Arial" w:cs="Arial"/>
        </w:rPr>
        <w:t xml:space="preserve">companies and </w:t>
      </w:r>
      <w:r w:rsidR="007168F6" w:rsidRPr="00FB6E97">
        <w:rPr>
          <w:rFonts w:ascii="Arial" w:hAnsi="Arial" w:cs="Arial"/>
        </w:rPr>
        <w:t xml:space="preserve">Government </w:t>
      </w:r>
      <w:r w:rsidR="00564C7C" w:rsidRPr="00FB6E97">
        <w:rPr>
          <w:rFonts w:ascii="Arial" w:hAnsi="Arial" w:cs="Arial"/>
        </w:rPr>
        <w:t xml:space="preserve">agencies </w:t>
      </w:r>
      <w:bookmarkEnd w:id="17"/>
      <w:r w:rsidR="00564C7C" w:rsidRPr="00FB6E97">
        <w:rPr>
          <w:rFonts w:ascii="Arial" w:hAnsi="Arial" w:cs="Arial"/>
        </w:rPr>
        <w:t>are subject to robust regulatory requirements and that no additional audit and assurance should be requested for EITI purposes.</w:t>
      </w:r>
    </w:p>
    <w:p w14:paraId="347D65F9" w14:textId="383FA91E" w:rsidR="00490087" w:rsidRPr="00FB6E97" w:rsidRDefault="00564C7C" w:rsidP="00F36ED8">
      <w:pPr>
        <w:pStyle w:val="Default"/>
        <w:spacing w:after="180"/>
        <w:jc w:val="both"/>
        <w:rPr>
          <w:rFonts w:ascii="Arial" w:hAnsi="Arial" w:cs="Arial"/>
        </w:rPr>
      </w:pPr>
      <w:r w:rsidRPr="00FB6E97">
        <w:rPr>
          <w:rFonts w:ascii="Arial" w:hAnsi="Arial" w:cs="Arial"/>
        </w:rPr>
        <w:t xml:space="preserve">Extractive companies </w:t>
      </w:r>
      <w:r w:rsidR="008D47F0" w:rsidRPr="00FB6E97">
        <w:rPr>
          <w:rFonts w:ascii="Arial" w:hAnsi="Arial" w:cs="Arial"/>
        </w:rPr>
        <w:t>have been requested</w:t>
      </w:r>
      <w:r w:rsidRPr="00FB6E97">
        <w:rPr>
          <w:rFonts w:ascii="Arial" w:hAnsi="Arial" w:cs="Arial"/>
        </w:rPr>
        <w:t xml:space="preserve"> to have their reporting templates </w:t>
      </w:r>
      <w:r w:rsidR="00CE4E59" w:rsidRPr="00FB6E97">
        <w:rPr>
          <w:rFonts w:ascii="Arial" w:hAnsi="Arial" w:cs="Arial"/>
        </w:rPr>
        <w:t xml:space="preserve">approved </w:t>
      </w:r>
      <w:r w:rsidRPr="00FB6E97">
        <w:rPr>
          <w:rFonts w:ascii="Arial" w:hAnsi="Arial" w:cs="Arial"/>
        </w:rPr>
        <w:t>by a senior official.</w:t>
      </w:r>
      <w:r w:rsidR="006313B3" w:rsidRPr="00FB6E97">
        <w:rPr>
          <w:rFonts w:ascii="Arial" w:hAnsi="Arial" w:cs="Arial"/>
        </w:rPr>
        <w:t xml:space="preserve"> </w:t>
      </w:r>
      <w:r w:rsidRPr="00FB6E97">
        <w:rPr>
          <w:rFonts w:ascii="Arial" w:hAnsi="Arial" w:cs="Arial"/>
        </w:rPr>
        <w:t xml:space="preserve">For </w:t>
      </w:r>
      <w:r w:rsidR="0057445D" w:rsidRPr="00FB6E97">
        <w:rPr>
          <w:rFonts w:ascii="Arial" w:hAnsi="Arial" w:cs="Arial"/>
        </w:rPr>
        <w:t>G</w:t>
      </w:r>
      <w:r w:rsidRPr="00FB6E97">
        <w:rPr>
          <w:rFonts w:ascii="Arial" w:hAnsi="Arial" w:cs="Arial"/>
        </w:rPr>
        <w:t>overnment agencies, the MSG accept</w:t>
      </w:r>
      <w:r w:rsidR="00D67E11" w:rsidRPr="00FB6E97">
        <w:rPr>
          <w:rFonts w:ascii="Arial" w:hAnsi="Arial" w:cs="Arial"/>
        </w:rPr>
        <w:t xml:space="preserve">s </w:t>
      </w:r>
      <w:r w:rsidRPr="00FB6E97">
        <w:rPr>
          <w:rFonts w:ascii="Arial" w:hAnsi="Arial" w:cs="Arial"/>
        </w:rPr>
        <w:t>that rules of government accounting in the UK appl</w:t>
      </w:r>
      <w:r w:rsidR="00D67E11" w:rsidRPr="00FB6E97">
        <w:rPr>
          <w:rFonts w:ascii="Arial" w:hAnsi="Arial" w:cs="Arial"/>
        </w:rPr>
        <w:t>y</w:t>
      </w:r>
      <w:r w:rsidR="00BB259E" w:rsidRPr="00FB6E97">
        <w:rPr>
          <w:rFonts w:ascii="Arial" w:hAnsi="Arial" w:cs="Arial"/>
        </w:rPr>
        <w:t xml:space="preserve"> and can be relied upon.</w:t>
      </w:r>
    </w:p>
    <w:p w14:paraId="1070C85E" w14:textId="550517C1" w:rsidR="00564C7C" w:rsidRPr="00FB6E97" w:rsidRDefault="00564C7C"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bookmarkStart w:id="18" w:name="_Toc478377614"/>
      <w:bookmarkStart w:id="19" w:name="_Toc513063214"/>
      <w:r w:rsidRPr="00FB6E97">
        <w:rPr>
          <w:rFonts w:eastAsiaTheme="majorEastAsia" w:cs="Arial"/>
          <w:color w:val="17365D" w:themeColor="text2" w:themeShade="BF"/>
          <w:sz w:val="28"/>
          <w:szCs w:val="24"/>
        </w:rPr>
        <w:t>Reconciliation Scope and Methodology</w:t>
      </w:r>
      <w:bookmarkEnd w:id="18"/>
      <w:bookmarkEnd w:id="19"/>
    </w:p>
    <w:p w14:paraId="776EAE7F" w14:textId="77777777" w:rsidR="00894011" w:rsidRPr="00894011" w:rsidRDefault="00894011" w:rsidP="00894011">
      <w:pPr>
        <w:pStyle w:val="ListParagraph"/>
        <w:numPr>
          <w:ilvl w:val="0"/>
          <w:numId w:val="18"/>
        </w:numPr>
        <w:spacing w:before="120" w:after="120" w:line="264" w:lineRule="auto"/>
        <w:ind w:right="482"/>
        <w:contextualSpacing w:val="0"/>
        <w:jc w:val="both"/>
        <w:outlineLvl w:val="2"/>
        <w:rPr>
          <w:rFonts w:eastAsiaTheme="majorEastAsia"/>
          <w:b/>
          <w:bCs/>
          <w:vanish/>
          <w:color w:val="0070C0"/>
          <w:kern w:val="16"/>
          <w:szCs w:val="24"/>
          <w:lang w:eastAsia="en-GB"/>
        </w:rPr>
      </w:pPr>
    </w:p>
    <w:p w14:paraId="51C3700D" w14:textId="021B96A3"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Analysis of the reconciliation scope</w:t>
      </w:r>
    </w:p>
    <w:p w14:paraId="51AE7B83" w14:textId="7D47C05B" w:rsidR="00564C7C" w:rsidRPr="00FB6E97" w:rsidRDefault="00564C7C" w:rsidP="00F36ED8">
      <w:pPr>
        <w:pStyle w:val="Default"/>
        <w:spacing w:after="180"/>
        <w:jc w:val="both"/>
        <w:rPr>
          <w:rFonts w:ascii="Arial" w:hAnsi="Arial" w:cs="Arial"/>
        </w:rPr>
      </w:pPr>
      <w:r w:rsidRPr="00FB6E97">
        <w:rPr>
          <w:rFonts w:ascii="Arial" w:hAnsi="Arial" w:cs="Arial"/>
        </w:rPr>
        <w:t>The IA undert</w:t>
      </w:r>
      <w:r w:rsidR="001E4ADF" w:rsidRPr="00FB6E97">
        <w:rPr>
          <w:rFonts w:ascii="Arial" w:hAnsi="Arial" w:cs="Arial"/>
        </w:rPr>
        <w:t>akes</w:t>
      </w:r>
      <w:r w:rsidRPr="00FB6E97">
        <w:rPr>
          <w:rFonts w:ascii="Arial" w:hAnsi="Arial" w:cs="Arial"/>
        </w:rPr>
        <w:t xml:space="preserve"> a preliminary analysis in accordance with their Terms of Reference (</w:t>
      </w:r>
      <w:proofErr w:type="spellStart"/>
      <w:r w:rsidRPr="00FB6E97">
        <w:rPr>
          <w:rFonts w:ascii="Arial" w:hAnsi="Arial" w:cs="Arial"/>
        </w:rPr>
        <w:t>ToR</w:t>
      </w:r>
      <w:proofErr w:type="spellEnd"/>
      <w:r w:rsidRPr="00FB6E97">
        <w:rPr>
          <w:rFonts w:ascii="Arial" w:hAnsi="Arial" w:cs="Arial"/>
        </w:rPr>
        <w:t xml:space="preserve">) for the purpose of reviewing the scope of the reconciliation exercise </w:t>
      </w:r>
      <w:r w:rsidR="00C54A9A" w:rsidRPr="00FB6E97">
        <w:rPr>
          <w:rFonts w:ascii="Arial" w:hAnsi="Arial" w:cs="Arial"/>
        </w:rPr>
        <w:t>each</w:t>
      </w:r>
      <w:r w:rsidRPr="00FB6E97">
        <w:rPr>
          <w:rFonts w:ascii="Arial" w:hAnsi="Arial" w:cs="Arial"/>
        </w:rPr>
        <w:t xml:space="preserve"> calendar year. This preliminary analysis covers the UK’s extractive industries and related entities (</w:t>
      </w:r>
      <w:r w:rsidR="007168F6" w:rsidRPr="00FB6E97">
        <w:rPr>
          <w:rFonts w:ascii="Arial" w:hAnsi="Arial" w:cs="Arial"/>
        </w:rPr>
        <w:t xml:space="preserve">Government </w:t>
      </w:r>
      <w:r w:rsidRPr="00FB6E97">
        <w:rPr>
          <w:rFonts w:ascii="Arial" w:hAnsi="Arial" w:cs="Arial"/>
        </w:rPr>
        <w:t>agencies and extractive companies).</w:t>
      </w:r>
    </w:p>
    <w:p w14:paraId="2DC533CC" w14:textId="3E91C617" w:rsidR="00564C7C" w:rsidRPr="00FB6E97" w:rsidRDefault="00564C7C" w:rsidP="00F36ED8">
      <w:pPr>
        <w:pStyle w:val="Default"/>
        <w:spacing w:after="180"/>
        <w:jc w:val="both"/>
        <w:rPr>
          <w:rFonts w:ascii="Arial" w:hAnsi="Arial" w:cs="Arial"/>
        </w:rPr>
      </w:pPr>
      <w:r w:rsidRPr="00FB6E97">
        <w:rPr>
          <w:rFonts w:ascii="Arial" w:hAnsi="Arial" w:cs="Arial"/>
        </w:rPr>
        <w:t>The analysis</w:t>
      </w:r>
      <w:r w:rsidR="00F72A40" w:rsidRPr="00FB6E97">
        <w:rPr>
          <w:rFonts w:ascii="Arial" w:hAnsi="Arial" w:cs="Arial"/>
        </w:rPr>
        <w:t xml:space="preserve"> includes</w:t>
      </w:r>
      <w:r w:rsidRPr="00FB6E97">
        <w:rPr>
          <w:rFonts w:ascii="Arial" w:hAnsi="Arial" w:cs="Arial"/>
        </w:rPr>
        <w:t>:</w:t>
      </w:r>
    </w:p>
    <w:p w14:paraId="0160DF79" w14:textId="77777777"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acquiring a good understanding of the extractive resources and industries of the </w:t>
      </w:r>
      <w:proofErr w:type="gramStart"/>
      <w:r w:rsidRPr="00FB6E97">
        <w:rPr>
          <w:rFonts w:ascii="Arial" w:hAnsi="Arial" w:cs="Arial"/>
          <w:color w:val="auto"/>
        </w:rPr>
        <w:t>country;</w:t>
      </w:r>
      <w:proofErr w:type="gramEnd"/>
    </w:p>
    <w:p w14:paraId="7C69C792" w14:textId="05E4A6CE"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reviewing the fiscal regime and other relevant revenue streams applicable to the extractive </w:t>
      </w:r>
      <w:proofErr w:type="gramStart"/>
      <w:r w:rsidRPr="00FB6E97">
        <w:rPr>
          <w:rFonts w:ascii="Arial" w:hAnsi="Arial" w:cs="Arial"/>
          <w:color w:val="auto"/>
        </w:rPr>
        <w:t>sector;</w:t>
      </w:r>
      <w:proofErr w:type="gramEnd"/>
    </w:p>
    <w:p w14:paraId="011A291A" w14:textId="7EE08983"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reviewing existing data from the relevant period to determine significant revenue </w:t>
      </w:r>
      <w:proofErr w:type="gramStart"/>
      <w:r w:rsidRPr="00FB6E97">
        <w:rPr>
          <w:rFonts w:ascii="Arial" w:hAnsi="Arial" w:cs="Arial"/>
          <w:color w:val="auto"/>
        </w:rPr>
        <w:t>streams;</w:t>
      </w:r>
      <w:proofErr w:type="gramEnd"/>
    </w:p>
    <w:p w14:paraId="63A7693D" w14:textId="533D0E53"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reviewing materiality thresholds for revenue streams set by the </w:t>
      </w:r>
      <w:proofErr w:type="gramStart"/>
      <w:r w:rsidRPr="00FB6E97">
        <w:rPr>
          <w:rFonts w:ascii="Arial" w:hAnsi="Arial" w:cs="Arial"/>
          <w:color w:val="auto"/>
        </w:rPr>
        <w:t>MSG;</w:t>
      </w:r>
      <w:proofErr w:type="gramEnd"/>
    </w:p>
    <w:p w14:paraId="287D3C1A" w14:textId="619A4E18"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identifying extractive companies </w:t>
      </w:r>
      <w:r w:rsidR="00E35EE3" w:rsidRPr="00FB6E97">
        <w:rPr>
          <w:rFonts w:ascii="Arial" w:hAnsi="Arial" w:cs="Arial"/>
          <w:color w:val="auto"/>
        </w:rPr>
        <w:t>that</w:t>
      </w:r>
      <w:r w:rsidR="00A66F8A" w:rsidRPr="00FB6E97">
        <w:rPr>
          <w:rFonts w:ascii="Arial" w:hAnsi="Arial" w:cs="Arial"/>
          <w:color w:val="auto"/>
        </w:rPr>
        <w:t xml:space="preserve"> </w:t>
      </w:r>
      <w:r w:rsidRPr="00FB6E97">
        <w:rPr>
          <w:rFonts w:ascii="Arial" w:hAnsi="Arial" w:cs="Arial"/>
          <w:color w:val="auto"/>
        </w:rPr>
        <w:t xml:space="preserve">make material payments within the scope of the agreed material revenue </w:t>
      </w:r>
      <w:proofErr w:type="gramStart"/>
      <w:r w:rsidRPr="00FB6E97">
        <w:rPr>
          <w:rFonts w:ascii="Arial" w:hAnsi="Arial" w:cs="Arial"/>
          <w:color w:val="auto"/>
        </w:rPr>
        <w:t>streams;</w:t>
      </w:r>
      <w:proofErr w:type="gramEnd"/>
    </w:p>
    <w:p w14:paraId="677788CF" w14:textId="07086F43"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identifying </w:t>
      </w:r>
      <w:r w:rsidR="00371FAC" w:rsidRPr="00FB6E97">
        <w:rPr>
          <w:rFonts w:ascii="Arial" w:hAnsi="Arial" w:cs="Arial"/>
          <w:color w:val="auto"/>
        </w:rPr>
        <w:t xml:space="preserve">Government </w:t>
      </w:r>
      <w:r w:rsidRPr="00FB6E97">
        <w:rPr>
          <w:rFonts w:ascii="Arial" w:hAnsi="Arial" w:cs="Arial"/>
          <w:color w:val="auto"/>
        </w:rPr>
        <w:t xml:space="preserve">agencies </w:t>
      </w:r>
      <w:r w:rsidR="00E35EE3" w:rsidRPr="00FB6E97">
        <w:rPr>
          <w:rFonts w:ascii="Arial" w:hAnsi="Arial" w:cs="Arial"/>
          <w:color w:val="auto"/>
        </w:rPr>
        <w:t xml:space="preserve">that </w:t>
      </w:r>
      <w:r w:rsidRPr="00FB6E97">
        <w:rPr>
          <w:rFonts w:ascii="Arial" w:hAnsi="Arial" w:cs="Arial"/>
          <w:color w:val="auto"/>
        </w:rPr>
        <w:t xml:space="preserve">collect material revenues within the scope of the agreed material revenue </w:t>
      </w:r>
      <w:proofErr w:type="gramStart"/>
      <w:r w:rsidRPr="00FB6E97">
        <w:rPr>
          <w:rFonts w:ascii="Arial" w:hAnsi="Arial" w:cs="Arial"/>
          <w:color w:val="auto"/>
        </w:rPr>
        <w:t>streams;</w:t>
      </w:r>
      <w:proofErr w:type="gramEnd"/>
    </w:p>
    <w:p w14:paraId="6FC86575" w14:textId="59D81AA2"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reviewing the reporting template to be used; and</w:t>
      </w:r>
    </w:p>
    <w:p w14:paraId="75E927CC" w14:textId="027A4E37" w:rsidR="00FA484C"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acquiring a good understanding of assurances to be provided by reporting entities to ensure the credibility of the data made available.</w:t>
      </w:r>
    </w:p>
    <w:p w14:paraId="2917358D" w14:textId="77777777" w:rsidR="00FA484C" w:rsidRDefault="00FA484C">
      <w:pPr>
        <w:spacing w:after="200" w:line="276" w:lineRule="auto"/>
        <w:rPr>
          <w:rFonts w:eastAsia="Calibri"/>
          <w:szCs w:val="24"/>
        </w:rPr>
      </w:pPr>
      <w:r>
        <w:br w:type="page"/>
      </w:r>
    </w:p>
    <w:p w14:paraId="50C3C38B" w14:textId="04E19A71"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lastRenderedPageBreak/>
        <w:t>Reconciliation process</w:t>
      </w:r>
    </w:p>
    <w:p w14:paraId="0131972C" w14:textId="314B8B6E" w:rsidR="00564C7C" w:rsidRPr="00FB6E97" w:rsidRDefault="00564C7C" w:rsidP="00F36ED8">
      <w:pPr>
        <w:pStyle w:val="Default"/>
        <w:keepNext/>
        <w:spacing w:after="180"/>
        <w:jc w:val="both"/>
        <w:rPr>
          <w:rFonts w:ascii="Arial" w:hAnsi="Arial" w:cs="Arial"/>
        </w:rPr>
      </w:pPr>
      <w:r w:rsidRPr="00FB6E97">
        <w:rPr>
          <w:rFonts w:ascii="Arial" w:hAnsi="Arial" w:cs="Arial"/>
        </w:rPr>
        <w:t>The reconciliation process consist</w:t>
      </w:r>
      <w:r w:rsidR="003C36B1" w:rsidRPr="00FB6E97">
        <w:rPr>
          <w:rFonts w:ascii="Arial" w:hAnsi="Arial" w:cs="Arial"/>
        </w:rPr>
        <w:t>s</w:t>
      </w:r>
      <w:r w:rsidRPr="00FB6E97">
        <w:rPr>
          <w:rFonts w:ascii="Arial" w:hAnsi="Arial" w:cs="Arial"/>
        </w:rPr>
        <w:t xml:space="preserve"> of the following steps:</w:t>
      </w:r>
    </w:p>
    <w:p w14:paraId="66812722" w14:textId="77777777"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analysis of the reconciliation scope prepared by the </w:t>
      </w:r>
      <w:proofErr w:type="gramStart"/>
      <w:r w:rsidRPr="00FB6E97">
        <w:rPr>
          <w:rFonts w:ascii="Arial" w:hAnsi="Arial" w:cs="Arial"/>
          <w:color w:val="auto"/>
        </w:rPr>
        <w:t>MSG;</w:t>
      </w:r>
      <w:proofErr w:type="gramEnd"/>
    </w:p>
    <w:p w14:paraId="03C72D61" w14:textId="3BA63C7A"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collection of payment data from </w:t>
      </w:r>
      <w:r w:rsidR="00371FAC" w:rsidRPr="00FB6E97">
        <w:rPr>
          <w:rFonts w:ascii="Arial" w:hAnsi="Arial" w:cs="Arial"/>
          <w:color w:val="auto"/>
        </w:rPr>
        <w:t xml:space="preserve">Government </w:t>
      </w:r>
      <w:r w:rsidRPr="00FB6E97">
        <w:rPr>
          <w:rFonts w:ascii="Arial" w:hAnsi="Arial" w:cs="Arial"/>
          <w:color w:val="auto"/>
        </w:rPr>
        <w:t xml:space="preserve">agencies and extractive companies which provide the basis for the </w:t>
      </w:r>
      <w:proofErr w:type="gramStart"/>
      <w:r w:rsidRPr="00FB6E97">
        <w:rPr>
          <w:rFonts w:ascii="Arial" w:hAnsi="Arial" w:cs="Arial"/>
          <w:color w:val="auto"/>
        </w:rPr>
        <w:t>reconciliation;</w:t>
      </w:r>
      <w:proofErr w:type="gramEnd"/>
    </w:p>
    <w:p w14:paraId="0B24A201" w14:textId="736AF81F" w:rsidR="00564C7C" w:rsidRPr="00FB6E97" w:rsidRDefault="00564C7C" w:rsidP="002254D2">
      <w:pPr>
        <w:pStyle w:val="Default"/>
        <w:numPr>
          <w:ilvl w:val="0"/>
          <w:numId w:val="22"/>
        </w:numPr>
        <w:spacing w:after="180"/>
        <w:ind w:left="714" w:hanging="357"/>
        <w:jc w:val="both"/>
        <w:rPr>
          <w:rFonts w:ascii="Arial" w:hAnsi="Arial" w:cs="Arial"/>
          <w:color w:val="auto"/>
        </w:rPr>
      </w:pPr>
      <w:r w:rsidRPr="00FB6E97">
        <w:rPr>
          <w:rFonts w:ascii="Arial" w:hAnsi="Arial" w:cs="Arial"/>
          <w:color w:val="auto"/>
        </w:rPr>
        <w:t xml:space="preserve">comparison of amounts reported by </w:t>
      </w:r>
      <w:r w:rsidR="00371FAC" w:rsidRPr="00FB6E97">
        <w:rPr>
          <w:rFonts w:ascii="Arial" w:hAnsi="Arial" w:cs="Arial"/>
          <w:color w:val="auto"/>
        </w:rPr>
        <w:t xml:space="preserve">Government </w:t>
      </w:r>
      <w:r w:rsidRPr="00FB6E97">
        <w:rPr>
          <w:rFonts w:ascii="Arial" w:hAnsi="Arial" w:cs="Arial"/>
          <w:color w:val="auto"/>
        </w:rPr>
        <w:t>agencies and extractive companies to determine if there were discrepancies between the two sources of information; and</w:t>
      </w:r>
    </w:p>
    <w:p w14:paraId="1767C9F2" w14:textId="2EC9D39A" w:rsidR="00564C7C" w:rsidRPr="00FB6E97" w:rsidRDefault="00564C7C" w:rsidP="002254D2">
      <w:pPr>
        <w:pStyle w:val="Default"/>
        <w:numPr>
          <w:ilvl w:val="0"/>
          <w:numId w:val="22"/>
        </w:numPr>
        <w:spacing w:after="180"/>
        <w:ind w:left="714" w:hanging="357"/>
        <w:jc w:val="both"/>
        <w:rPr>
          <w:rFonts w:ascii="Arial" w:hAnsi="Arial" w:cs="Arial"/>
        </w:rPr>
      </w:pPr>
      <w:r w:rsidRPr="00FB6E97">
        <w:rPr>
          <w:rFonts w:ascii="Arial" w:hAnsi="Arial" w:cs="Arial"/>
        </w:rPr>
        <w:t xml:space="preserve">contact with </w:t>
      </w:r>
      <w:r w:rsidR="00371FAC" w:rsidRPr="00FB6E97">
        <w:rPr>
          <w:rFonts w:ascii="Arial" w:hAnsi="Arial" w:cs="Arial"/>
        </w:rPr>
        <w:t xml:space="preserve">Government </w:t>
      </w:r>
      <w:r w:rsidRPr="00FB6E97">
        <w:rPr>
          <w:rFonts w:ascii="Arial" w:hAnsi="Arial" w:cs="Arial"/>
        </w:rPr>
        <w:t xml:space="preserve">agencies and extractive </w:t>
      </w:r>
      <w:r w:rsidR="001D726B" w:rsidRPr="00FB6E97">
        <w:rPr>
          <w:rFonts w:ascii="Arial" w:hAnsi="Arial" w:cs="Arial"/>
        </w:rPr>
        <w:t>c</w:t>
      </w:r>
      <w:r w:rsidRPr="00FB6E97">
        <w:rPr>
          <w:rFonts w:ascii="Arial" w:hAnsi="Arial" w:cs="Arial"/>
        </w:rPr>
        <w:t>ompanies to resolve the discrepancies.</w:t>
      </w:r>
    </w:p>
    <w:p w14:paraId="03BB0AA1" w14:textId="5DEE8564" w:rsidR="00564C7C" w:rsidRPr="00FB6E97" w:rsidRDefault="00564C7C" w:rsidP="00503734">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FB6E97">
        <w:rPr>
          <w:rFonts w:eastAsiaTheme="majorEastAsia"/>
          <w:bCs/>
          <w:kern w:val="16"/>
          <w:sz w:val="24"/>
          <w:szCs w:val="24"/>
          <w:lang w:eastAsia="en-GB"/>
        </w:rPr>
        <w:t>Material deviation</w:t>
      </w:r>
    </w:p>
    <w:p w14:paraId="3993816E" w14:textId="35DD6A6F" w:rsidR="00564C7C" w:rsidRPr="00FB6E97" w:rsidRDefault="00350F0B" w:rsidP="00F36ED8">
      <w:pPr>
        <w:pStyle w:val="Default"/>
        <w:spacing w:after="180"/>
        <w:jc w:val="both"/>
        <w:rPr>
          <w:rFonts w:ascii="Arial" w:hAnsi="Arial" w:cs="Arial"/>
        </w:rPr>
      </w:pPr>
      <w:r w:rsidRPr="00FB6E97">
        <w:rPr>
          <w:rFonts w:ascii="Arial" w:hAnsi="Arial" w:cs="Arial"/>
        </w:rPr>
        <w:t xml:space="preserve">The current approach </w:t>
      </w:r>
      <w:r w:rsidR="006F30A1" w:rsidRPr="00FB6E97">
        <w:rPr>
          <w:rFonts w:ascii="Arial" w:hAnsi="Arial" w:cs="Arial"/>
        </w:rPr>
        <w:t>of the MSG is to</w:t>
      </w:r>
      <w:r w:rsidR="00564C7C" w:rsidRPr="00FB6E97">
        <w:rPr>
          <w:rFonts w:ascii="Arial" w:hAnsi="Arial" w:cs="Arial"/>
        </w:rPr>
        <w:t xml:space="preserve"> reconcile differences for any specific company payment or for any revenue stream per company of over 1% or £10,000, whichever </w:t>
      </w:r>
      <w:r w:rsidRPr="00FB6E97">
        <w:rPr>
          <w:rFonts w:ascii="Arial" w:hAnsi="Arial" w:cs="Arial"/>
        </w:rPr>
        <w:t>is</w:t>
      </w:r>
      <w:r w:rsidR="00564C7C" w:rsidRPr="00FB6E97">
        <w:rPr>
          <w:rFonts w:ascii="Arial" w:hAnsi="Arial" w:cs="Arial"/>
        </w:rPr>
        <w:t xml:space="preserve"> the lower.</w:t>
      </w:r>
    </w:p>
    <w:p w14:paraId="1AC914B5" w14:textId="77777777" w:rsidR="00564C7C" w:rsidRPr="00FB6E97" w:rsidRDefault="00564C7C"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bookmarkStart w:id="20" w:name="_Toc478377615"/>
      <w:bookmarkStart w:id="21" w:name="_Toc513063215"/>
      <w:r w:rsidRPr="00FB6E97">
        <w:rPr>
          <w:rFonts w:eastAsiaTheme="majorEastAsia" w:cs="Arial"/>
          <w:color w:val="17365D" w:themeColor="text2" w:themeShade="BF"/>
          <w:sz w:val="28"/>
          <w:szCs w:val="24"/>
        </w:rPr>
        <w:t>Beneficial Ownership</w:t>
      </w:r>
      <w:bookmarkEnd w:id="20"/>
      <w:bookmarkEnd w:id="21"/>
    </w:p>
    <w:p w14:paraId="2F2C2684" w14:textId="69484C53" w:rsidR="00564C7C" w:rsidRPr="00FB6E97" w:rsidRDefault="00564C7C" w:rsidP="00F36ED8">
      <w:pPr>
        <w:pStyle w:val="Default"/>
        <w:spacing w:after="180"/>
        <w:jc w:val="both"/>
        <w:rPr>
          <w:rFonts w:ascii="Arial" w:hAnsi="Arial" w:cs="Arial"/>
        </w:rPr>
      </w:pPr>
      <w:r w:rsidRPr="00FB6E97">
        <w:rPr>
          <w:rFonts w:ascii="Arial" w:hAnsi="Arial" w:cs="Arial"/>
        </w:rPr>
        <w:t xml:space="preserve">The UK EITI MSG agreed to incorporate beneficial ownership (BO) disclosure from the first report and as an ongoing reporting requirement. Accordingly, companies reporting under the UK EITI </w:t>
      </w:r>
      <w:r w:rsidR="005B6F91" w:rsidRPr="00FB6E97">
        <w:rPr>
          <w:rFonts w:ascii="Arial" w:hAnsi="Arial" w:cs="Arial"/>
        </w:rPr>
        <w:t>are</w:t>
      </w:r>
      <w:r w:rsidRPr="00FB6E97">
        <w:rPr>
          <w:rFonts w:ascii="Arial" w:hAnsi="Arial" w:cs="Arial"/>
        </w:rPr>
        <w:t xml:space="preserve"> asked to disclose their beneficial owners, that is, the identity of the people who ultimately own and control each company.</w:t>
      </w:r>
    </w:p>
    <w:p w14:paraId="4BCE69B9" w14:textId="1D0BF196" w:rsidR="00564C7C" w:rsidRPr="00FB6E97" w:rsidRDefault="00564C7C" w:rsidP="00F36ED8">
      <w:pPr>
        <w:pStyle w:val="Default"/>
        <w:spacing w:after="180"/>
        <w:jc w:val="both"/>
        <w:rPr>
          <w:rFonts w:ascii="Arial" w:hAnsi="Arial" w:cs="Arial"/>
        </w:rPr>
      </w:pPr>
      <w:r w:rsidRPr="00FB6E97">
        <w:rPr>
          <w:rFonts w:ascii="Arial" w:hAnsi="Arial" w:cs="Arial"/>
        </w:rPr>
        <w:t>The approach to BO for UK EITI is aligned with the related provisions of the Small Business, Enterprise and Employment Act 2015.</w:t>
      </w:r>
      <w:r w:rsidRPr="00FB6E97">
        <w:rPr>
          <w:rFonts w:ascii="Arial" w:hAnsi="Arial" w:cs="Arial"/>
          <w:vertAlign w:val="superscript"/>
        </w:rPr>
        <w:footnoteReference w:id="10"/>
      </w:r>
      <w:r w:rsidRPr="00FB6E97">
        <w:rPr>
          <w:rFonts w:ascii="Arial" w:hAnsi="Arial" w:cs="Arial"/>
        </w:rPr>
        <w:t xml:space="preserve"> Since 30 June 2016, companies incorporated in the UK are required to submit information to Companies House on people with significant control (PSC) along with a statement of confirmation.</w:t>
      </w:r>
      <w:r w:rsidRPr="00FB6E97">
        <w:rPr>
          <w:rFonts w:ascii="Arial" w:hAnsi="Arial" w:cs="Arial"/>
          <w:vertAlign w:val="superscript"/>
        </w:rPr>
        <w:footnoteReference w:id="11"/>
      </w:r>
      <w:r w:rsidRPr="00FB6E97">
        <w:rPr>
          <w:rFonts w:ascii="Arial" w:hAnsi="Arial" w:cs="Arial"/>
        </w:rPr>
        <w:t xml:space="preserve"> Under the UK EITI, companies </w:t>
      </w:r>
      <w:r w:rsidR="006F6475" w:rsidRPr="00FB6E97">
        <w:rPr>
          <w:rFonts w:ascii="Arial" w:hAnsi="Arial" w:cs="Arial"/>
        </w:rPr>
        <w:t xml:space="preserve">which </w:t>
      </w:r>
      <w:r w:rsidRPr="00FB6E97">
        <w:rPr>
          <w:rFonts w:ascii="Arial" w:hAnsi="Arial" w:cs="Arial"/>
        </w:rPr>
        <w:t xml:space="preserve">have filed this information at Companies House were permitted to confirm their filing and provide the link to the relevant page at Companies House as a way of disclosing </w:t>
      </w:r>
      <w:r w:rsidR="00C2473A" w:rsidRPr="00FB6E97">
        <w:rPr>
          <w:rFonts w:ascii="Arial" w:hAnsi="Arial" w:cs="Arial"/>
        </w:rPr>
        <w:t>b</w:t>
      </w:r>
      <w:r w:rsidRPr="00FB6E97">
        <w:rPr>
          <w:rFonts w:ascii="Arial" w:hAnsi="Arial" w:cs="Arial"/>
        </w:rPr>
        <w:t xml:space="preserve">eneficial </w:t>
      </w:r>
      <w:r w:rsidR="00C2473A" w:rsidRPr="00FB6E97">
        <w:rPr>
          <w:rFonts w:ascii="Arial" w:hAnsi="Arial" w:cs="Arial"/>
        </w:rPr>
        <w:t>o</w:t>
      </w:r>
      <w:r w:rsidRPr="00FB6E97">
        <w:rPr>
          <w:rFonts w:ascii="Arial" w:hAnsi="Arial" w:cs="Arial"/>
        </w:rPr>
        <w:t>wnership.</w:t>
      </w:r>
    </w:p>
    <w:p w14:paraId="48BABAE5" w14:textId="31F187AA" w:rsidR="00564C7C" w:rsidRPr="00FB6E97" w:rsidRDefault="00564C7C" w:rsidP="00F36ED8">
      <w:pPr>
        <w:pStyle w:val="Default"/>
        <w:spacing w:after="180"/>
        <w:jc w:val="both"/>
        <w:rPr>
          <w:rFonts w:ascii="Arial" w:hAnsi="Arial" w:cs="Arial"/>
        </w:rPr>
      </w:pPr>
      <w:r w:rsidRPr="00FB6E97">
        <w:rPr>
          <w:rFonts w:ascii="Arial" w:hAnsi="Arial" w:cs="Arial"/>
        </w:rPr>
        <w:t xml:space="preserve">Publicly listed companies </w:t>
      </w:r>
      <w:r w:rsidR="007C4DAA" w:rsidRPr="00FB6E97">
        <w:rPr>
          <w:rFonts w:ascii="Arial" w:hAnsi="Arial" w:cs="Arial"/>
        </w:rPr>
        <w:t>are</w:t>
      </w:r>
      <w:r w:rsidRPr="00FB6E97">
        <w:rPr>
          <w:rFonts w:ascii="Arial" w:hAnsi="Arial" w:cs="Arial"/>
        </w:rPr>
        <w:t xml:space="preserve"> asked to confirm their listed status, because they are already required to provide ownership information under stock exchange requirements. Private companies are asked to identify the owners who exercise control or receive economic benefits from the company. This control or benefit could be represented by owners having shareholdings of </w:t>
      </w:r>
      <w:r w:rsidR="00612D04">
        <w:rPr>
          <w:rFonts w:ascii="Arial" w:hAnsi="Arial" w:cs="Arial"/>
        </w:rPr>
        <w:t>10</w:t>
      </w:r>
      <w:r w:rsidRPr="00FB6E97">
        <w:rPr>
          <w:rFonts w:ascii="Arial" w:hAnsi="Arial" w:cs="Arial"/>
        </w:rPr>
        <w:t>% or more or be exercised through one or more intermediary companies (trusts or company partners) or by other means.</w:t>
      </w:r>
    </w:p>
    <w:p w14:paraId="39808368" w14:textId="30A8EA50" w:rsidR="00FA484C" w:rsidRPr="002926C0" w:rsidRDefault="00564C7C" w:rsidP="002926C0">
      <w:pPr>
        <w:pStyle w:val="Default"/>
        <w:spacing w:after="180"/>
        <w:jc w:val="both"/>
        <w:rPr>
          <w:rFonts w:ascii="Arial" w:hAnsi="Arial" w:cs="Arial"/>
        </w:rPr>
      </w:pPr>
      <w:r w:rsidRPr="00FB6E97">
        <w:rPr>
          <w:rFonts w:ascii="Arial" w:hAnsi="Arial" w:cs="Arial"/>
        </w:rPr>
        <w:t xml:space="preserve">Private companies are also asked to disclose information on any owners who are identified as </w:t>
      </w:r>
      <w:r w:rsidR="00F7580D" w:rsidRPr="00FB6E97">
        <w:rPr>
          <w:rFonts w:ascii="Arial" w:hAnsi="Arial" w:cs="Arial"/>
          <w:sz w:val="23"/>
          <w:szCs w:val="23"/>
        </w:rPr>
        <w:t>politically exposed people (PEP)</w:t>
      </w:r>
      <w:r w:rsidR="003A33FD">
        <w:rPr>
          <w:rFonts w:ascii="Arial" w:hAnsi="Arial" w:cs="Arial"/>
          <w:sz w:val="23"/>
          <w:szCs w:val="23"/>
        </w:rPr>
        <w:t xml:space="preserve"> </w:t>
      </w:r>
      <w:r w:rsidR="003A33FD" w:rsidRPr="003A33FD">
        <w:rPr>
          <w:rFonts w:ascii="Arial" w:hAnsi="Arial" w:cs="Arial"/>
          <w:sz w:val="23"/>
          <w:szCs w:val="23"/>
        </w:rPr>
        <w:t>regardless of their ownership level</w:t>
      </w:r>
      <w:r w:rsidRPr="00FB6E97">
        <w:rPr>
          <w:rFonts w:ascii="Arial" w:hAnsi="Arial" w:cs="Arial"/>
        </w:rPr>
        <w:t>, i.e. have political influence or who, as family members or close associates, have links to senior political figures or government officials in the UK or abroad</w:t>
      </w:r>
      <w:r w:rsidR="00372A9E">
        <w:rPr>
          <w:rFonts w:ascii="Arial" w:hAnsi="Arial" w:cs="Arial"/>
        </w:rPr>
        <w:t>.</w:t>
      </w:r>
      <w:r w:rsidRPr="00FB6E97">
        <w:rPr>
          <w:rFonts w:ascii="Arial" w:hAnsi="Arial" w:cs="Arial"/>
        </w:rPr>
        <w:t xml:space="preserve"> A senior company official is required to verify the information provided.</w:t>
      </w:r>
      <w:r w:rsidR="00FA484C">
        <w:rPr>
          <w:rFonts w:ascii="Arial" w:hAnsi="Arial" w:cs="Arial"/>
        </w:rPr>
        <w:br w:type="page"/>
      </w:r>
    </w:p>
    <w:p w14:paraId="44315C84" w14:textId="77777777" w:rsidR="006306CA" w:rsidRPr="00FB6E97" w:rsidRDefault="00374A42" w:rsidP="002926C0">
      <w:pPr>
        <w:pStyle w:val="Heading2"/>
        <w:keepNext w:val="0"/>
        <w:keepLines w:val="0"/>
        <w:numPr>
          <w:ilvl w:val="0"/>
          <w:numId w:val="37"/>
        </w:numPr>
        <w:shd w:val="clear" w:color="auto" w:fill="auto"/>
        <w:tabs>
          <w:tab w:val="clear" w:pos="567"/>
        </w:tabs>
        <w:spacing w:before="240" w:after="120" w:line="264" w:lineRule="auto"/>
        <w:ind w:left="567" w:right="482" w:hanging="567"/>
        <w:jc w:val="both"/>
        <w:rPr>
          <w:rFonts w:eastAsiaTheme="majorEastAsia" w:cs="Arial"/>
          <w:color w:val="17365D" w:themeColor="text2" w:themeShade="BF"/>
          <w:sz w:val="28"/>
          <w:szCs w:val="24"/>
        </w:rPr>
      </w:pPr>
      <w:bookmarkStart w:id="22" w:name="_Toc513063216"/>
      <w:r w:rsidRPr="00FB6E97">
        <w:rPr>
          <w:rFonts w:eastAsiaTheme="majorEastAsia" w:cs="Arial"/>
          <w:color w:val="17365D" w:themeColor="text2" w:themeShade="BF"/>
          <w:sz w:val="28"/>
          <w:szCs w:val="24"/>
        </w:rPr>
        <w:lastRenderedPageBreak/>
        <w:t>Nature and extent of IA work</w:t>
      </w:r>
      <w:bookmarkEnd w:id="22"/>
    </w:p>
    <w:p w14:paraId="34B7168F" w14:textId="64601F47" w:rsidR="006306CA" w:rsidRPr="00FB6E97" w:rsidRDefault="00440356" w:rsidP="00F36ED8">
      <w:pPr>
        <w:spacing w:after="180"/>
        <w:jc w:val="both"/>
        <w:rPr>
          <w:szCs w:val="24"/>
        </w:rPr>
      </w:pPr>
      <w:bookmarkStart w:id="23" w:name="_Toc478377616"/>
      <w:r w:rsidRPr="00FB6E97">
        <w:rPr>
          <w:szCs w:val="24"/>
        </w:rPr>
        <w:t xml:space="preserve">This </w:t>
      </w:r>
      <w:r w:rsidR="006306CA" w:rsidRPr="00FB6E97">
        <w:rPr>
          <w:szCs w:val="24"/>
        </w:rPr>
        <w:t xml:space="preserve">IA </w:t>
      </w:r>
      <w:r w:rsidRPr="00FB6E97">
        <w:rPr>
          <w:szCs w:val="24"/>
        </w:rPr>
        <w:t xml:space="preserve">engagement was </w:t>
      </w:r>
      <w:r w:rsidR="006306CA" w:rsidRPr="00FB6E97">
        <w:rPr>
          <w:szCs w:val="24"/>
        </w:rPr>
        <w:t>performed in accordance with the International Auditing Standards applicable to related services (ISRS 4400 Engagements to perform agreed upon procedures regarding Financial Information).</w:t>
      </w:r>
    </w:p>
    <w:p w14:paraId="0660A579" w14:textId="4D2CF002" w:rsidR="00564C7C" w:rsidRPr="00FB6E97" w:rsidRDefault="006306CA" w:rsidP="00F36ED8">
      <w:pPr>
        <w:spacing w:after="180"/>
        <w:jc w:val="both"/>
        <w:rPr>
          <w:szCs w:val="24"/>
        </w:rPr>
      </w:pPr>
      <w:r w:rsidRPr="00FB6E97">
        <w:rPr>
          <w:szCs w:val="24"/>
        </w:rPr>
        <w:t xml:space="preserve">The reconciliation procedures carried out </w:t>
      </w:r>
      <w:r w:rsidR="00AC7207" w:rsidRPr="00FB6E97">
        <w:rPr>
          <w:szCs w:val="24"/>
        </w:rPr>
        <w:t>are</w:t>
      </w:r>
      <w:r w:rsidRPr="00FB6E97">
        <w:rPr>
          <w:szCs w:val="24"/>
        </w:rPr>
        <w:t xml:space="preserve"> not designed to constitute an audit or </w:t>
      </w:r>
      <w:r w:rsidR="00D10AC9" w:rsidRPr="00FB6E97">
        <w:rPr>
          <w:szCs w:val="24"/>
        </w:rPr>
        <w:t xml:space="preserve">a </w:t>
      </w:r>
      <w:r w:rsidRPr="00FB6E97">
        <w:rPr>
          <w:szCs w:val="24"/>
        </w:rPr>
        <w:t xml:space="preserve">review in accordance with International Standards on Auditing or International Standards on Review Engagements and as a result the IA does not express any assurance on the transactions beyond the explicit statements set out in </w:t>
      </w:r>
      <w:r w:rsidR="00633997" w:rsidRPr="00FB6E97">
        <w:rPr>
          <w:szCs w:val="24"/>
        </w:rPr>
        <w:t>reconciliation reports</w:t>
      </w:r>
      <w:r w:rsidRPr="00FB6E97">
        <w:rPr>
          <w:szCs w:val="24"/>
        </w:rPr>
        <w:t>.</w:t>
      </w:r>
      <w:bookmarkEnd w:id="23"/>
    </w:p>
    <w:p w14:paraId="5D7BC717" w14:textId="4B093173" w:rsidR="002254D2" w:rsidRDefault="00564C7C" w:rsidP="00F36ED8">
      <w:pPr>
        <w:pStyle w:val="Default"/>
        <w:spacing w:after="180"/>
        <w:jc w:val="both"/>
        <w:rPr>
          <w:rFonts w:ascii="Arial" w:hAnsi="Arial" w:cs="Arial"/>
        </w:rPr>
        <w:sectPr w:rsidR="002254D2" w:rsidSect="003A014E">
          <w:pgSz w:w="11907" w:h="16840" w:code="9"/>
          <w:pgMar w:top="1440" w:right="1440" w:bottom="1440" w:left="1440" w:header="706" w:footer="706" w:gutter="0"/>
          <w:cols w:space="708"/>
          <w:titlePg/>
          <w:docGrid w:linePitch="326"/>
        </w:sectPr>
      </w:pPr>
      <w:r w:rsidRPr="00FB6E97">
        <w:rPr>
          <w:rFonts w:ascii="Arial" w:hAnsi="Arial" w:cs="Arial"/>
        </w:rPr>
        <w:t>The IA provide</w:t>
      </w:r>
      <w:r w:rsidR="00A5240B" w:rsidRPr="00FB6E97">
        <w:rPr>
          <w:rFonts w:ascii="Arial" w:hAnsi="Arial" w:cs="Arial"/>
        </w:rPr>
        <w:t>s</w:t>
      </w:r>
      <w:r w:rsidRPr="00FB6E97">
        <w:rPr>
          <w:rFonts w:ascii="Arial" w:hAnsi="Arial" w:cs="Arial"/>
        </w:rPr>
        <w:t xml:space="preserve"> recommendations where they note deviations from the EITI </w:t>
      </w:r>
      <w:r w:rsidR="00770198">
        <w:rPr>
          <w:rFonts w:ascii="Arial" w:hAnsi="Arial" w:cs="Arial"/>
        </w:rPr>
        <w:t>2023</w:t>
      </w:r>
      <w:r w:rsidR="00770198" w:rsidRPr="00FB6E97">
        <w:rPr>
          <w:rFonts w:ascii="Arial" w:hAnsi="Arial" w:cs="Arial"/>
        </w:rPr>
        <w:t xml:space="preserve"> </w:t>
      </w:r>
      <w:r w:rsidRPr="00FB6E97">
        <w:rPr>
          <w:rFonts w:ascii="Arial" w:hAnsi="Arial" w:cs="Arial"/>
        </w:rPr>
        <w:t>Standard or where they fe</w:t>
      </w:r>
      <w:r w:rsidR="007D4EFA" w:rsidRPr="00FB6E97">
        <w:rPr>
          <w:rFonts w:ascii="Arial" w:hAnsi="Arial" w:cs="Arial"/>
        </w:rPr>
        <w:t>e</w:t>
      </w:r>
      <w:r w:rsidRPr="00FB6E97">
        <w:rPr>
          <w:rFonts w:ascii="Arial" w:hAnsi="Arial" w:cs="Arial"/>
        </w:rPr>
        <w:t xml:space="preserve">l improvements </w:t>
      </w:r>
      <w:r w:rsidR="007D4EFA" w:rsidRPr="00FB6E97">
        <w:rPr>
          <w:rFonts w:ascii="Arial" w:hAnsi="Arial" w:cs="Arial"/>
        </w:rPr>
        <w:t>c</w:t>
      </w:r>
      <w:r w:rsidRPr="00FB6E97">
        <w:rPr>
          <w:rFonts w:ascii="Arial" w:hAnsi="Arial" w:cs="Arial"/>
        </w:rPr>
        <w:t>ould make the UK EITI reporting process more efficient and assist the MSG in its future reconciliation exercises.</w:t>
      </w:r>
      <w:r w:rsidR="00374A42" w:rsidRPr="00FB6E97">
        <w:rPr>
          <w:rFonts w:ascii="Arial" w:hAnsi="Arial" w:cs="Arial"/>
        </w:rPr>
        <w:t xml:space="preserve"> </w:t>
      </w:r>
    </w:p>
    <w:p w14:paraId="03CA13D5" w14:textId="20606B95" w:rsidR="00472329" w:rsidRPr="00FB6E97" w:rsidRDefault="00FC1EF4" w:rsidP="001B0E63">
      <w:pPr>
        <w:pStyle w:val="Headin1"/>
        <w:spacing w:after="360"/>
        <w:rPr>
          <w:rFonts w:ascii="Arial" w:hAnsi="Arial" w:cs="Arial"/>
          <w:sz w:val="36"/>
          <w:szCs w:val="32"/>
          <w:lang w:eastAsia="en-GB"/>
        </w:rPr>
      </w:pPr>
      <w:r w:rsidRPr="00FB6E97">
        <w:rPr>
          <w:rFonts w:ascii="Arial" w:hAnsi="Arial" w:cs="Arial"/>
          <w:sz w:val="36"/>
          <w:szCs w:val="32"/>
          <w:lang w:eastAsia="en-GB"/>
        </w:rPr>
        <w:lastRenderedPageBreak/>
        <w:t>Glossary of Abbreviations</w:t>
      </w:r>
    </w:p>
    <w:tbl>
      <w:tblPr>
        <w:tblW w:w="5000" w:type="pct"/>
        <w:tblLook w:val="04A0" w:firstRow="1" w:lastRow="0" w:firstColumn="1" w:lastColumn="0" w:noHBand="0" w:noVBand="1"/>
      </w:tblPr>
      <w:tblGrid>
        <w:gridCol w:w="1502"/>
        <w:gridCol w:w="7525"/>
      </w:tblGrid>
      <w:tr w:rsidR="005C33C8" w:rsidRPr="00FB6E97" w14:paraId="3AE2F860" w14:textId="77777777" w:rsidTr="00323BD6">
        <w:trPr>
          <w:trHeight w:val="290"/>
        </w:trPr>
        <w:tc>
          <w:tcPr>
            <w:tcW w:w="832" w:type="pct"/>
            <w:tcBorders>
              <w:top w:val="nil"/>
              <w:left w:val="nil"/>
              <w:bottom w:val="nil"/>
              <w:right w:val="nil"/>
            </w:tcBorders>
            <w:shd w:val="clear" w:color="auto" w:fill="B4C6E7"/>
            <w:noWrap/>
            <w:vAlign w:val="center"/>
            <w:hideMark/>
          </w:tcPr>
          <w:p w14:paraId="4AA324DE"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APRT</w:t>
            </w:r>
          </w:p>
        </w:tc>
        <w:tc>
          <w:tcPr>
            <w:tcW w:w="4168" w:type="pct"/>
            <w:tcBorders>
              <w:top w:val="nil"/>
              <w:left w:val="nil"/>
              <w:bottom w:val="nil"/>
              <w:right w:val="nil"/>
            </w:tcBorders>
            <w:shd w:val="clear" w:color="auto" w:fill="B4C6E7"/>
            <w:noWrap/>
            <w:vAlign w:val="center"/>
            <w:hideMark/>
          </w:tcPr>
          <w:p w14:paraId="6FCA31BC"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Advance Petroleum Revenue Tax</w:t>
            </w:r>
          </w:p>
        </w:tc>
      </w:tr>
      <w:tr w:rsidR="005C33C8" w:rsidRPr="00FB6E97" w14:paraId="428F680F" w14:textId="77777777" w:rsidTr="00D46821">
        <w:trPr>
          <w:trHeight w:val="290"/>
        </w:trPr>
        <w:tc>
          <w:tcPr>
            <w:tcW w:w="832" w:type="pct"/>
            <w:tcBorders>
              <w:top w:val="nil"/>
              <w:left w:val="nil"/>
              <w:bottom w:val="nil"/>
              <w:right w:val="nil"/>
            </w:tcBorders>
            <w:shd w:val="clear" w:color="auto" w:fill="auto"/>
            <w:noWrap/>
            <w:vAlign w:val="center"/>
            <w:hideMark/>
          </w:tcPr>
          <w:p w14:paraId="305F571D"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BO</w:t>
            </w:r>
          </w:p>
        </w:tc>
        <w:tc>
          <w:tcPr>
            <w:tcW w:w="4168" w:type="pct"/>
            <w:tcBorders>
              <w:top w:val="nil"/>
              <w:left w:val="nil"/>
              <w:bottom w:val="nil"/>
              <w:right w:val="nil"/>
            </w:tcBorders>
            <w:shd w:val="clear" w:color="auto" w:fill="auto"/>
            <w:noWrap/>
            <w:vAlign w:val="center"/>
            <w:hideMark/>
          </w:tcPr>
          <w:p w14:paraId="549DBE03"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Beneficial ownership</w:t>
            </w:r>
          </w:p>
        </w:tc>
      </w:tr>
      <w:tr w:rsidR="005C33C8" w:rsidRPr="00FB6E97" w14:paraId="3FFE236E" w14:textId="77777777" w:rsidTr="00DF11D0">
        <w:trPr>
          <w:trHeight w:val="290"/>
        </w:trPr>
        <w:tc>
          <w:tcPr>
            <w:tcW w:w="832" w:type="pct"/>
            <w:tcBorders>
              <w:top w:val="nil"/>
              <w:left w:val="nil"/>
              <w:bottom w:val="nil"/>
              <w:right w:val="nil"/>
            </w:tcBorders>
            <w:shd w:val="clear" w:color="auto" w:fill="B4C6E7"/>
            <w:noWrap/>
            <w:vAlign w:val="center"/>
            <w:hideMark/>
          </w:tcPr>
          <w:p w14:paraId="1297E1AA"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CES</w:t>
            </w:r>
          </w:p>
        </w:tc>
        <w:tc>
          <w:tcPr>
            <w:tcW w:w="4168" w:type="pct"/>
            <w:tcBorders>
              <w:top w:val="nil"/>
              <w:left w:val="nil"/>
              <w:bottom w:val="nil"/>
              <w:right w:val="nil"/>
            </w:tcBorders>
            <w:shd w:val="clear" w:color="auto" w:fill="B4C6E7"/>
            <w:noWrap/>
            <w:vAlign w:val="center"/>
            <w:hideMark/>
          </w:tcPr>
          <w:p w14:paraId="67B904E8"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 xml:space="preserve">Crown Estate Scotland </w:t>
            </w:r>
          </w:p>
        </w:tc>
      </w:tr>
      <w:tr w:rsidR="005C33C8" w:rsidRPr="00FB6E97" w14:paraId="71B52D0B" w14:textId="77777777" w:rsidTr="00D46821">
        <w:trPr>
          <w:trHeight w:val="290"/>
        </w:trPr>
        <w:tc>
          <w:tcPr>
            <w:tcW w:w="832" w:type="pct"/>
            <w:tcBorders>
              <w:top w:val="nil"/>
              <w:left w:val="nil"/>
              <w:bottom w:val="nil"/>
              <w:right w:val="nil"/>
            </w:tcBorders>
            <w:shd w:val="clear" w:color="auto" w:fill="auto"/>
            <w:noWrap/>
            <w:vAlign w:val="center"/>
            <w:hideMark/>
          </w:tcPr>
          <w:p w14:paraId="13A20310"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CT</w:t>
            </w:r>
          </w:p>
        </w:tc>
        <w:tc>
          <w:tcPr>
            <w:tcW w:w="4168" w:type="pct"/>
            <w:tcBorders>
              <w:top w:val="nil"/>
              <w:left w:val="nil"/>
              <w:bottom w:val="nil"/>
              <w:right w:val="nil"/>
            </w:tcBorders>
            <w:shd w:val="clear" w:color="auto" w:fill="auto"/>
            <w:noWrap/>
            <w:vAlign w:val="center"/>
            <w:hideMark/>
          </w:tcPr>
          <w:p w14:paraId="495C36F5"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Corporation Tax</w:t>
            </w:r>
          </w:p>
        </w:tc>
      </w:tr>
      <w:tr w:rsidR="005C33C8" w:rsidRPr="00FB6E97" w14:paraId="083620B3" w14:textId="77777777" w:rsidTr="00DF11D0">
        <w:trPr>
          <w:trHeight w:val="290"/>
        </w:trPr>
        <w:tc>
          <w:tcPr>
            <w:tcW w:w="832" w:type="pct"/>
            <w:tcBorders>
              <w:top w:val="nil"/>
              <w:left w:val="nil"/>
              <w:bottom w:val="nil"/>
              <w:right w:val="nil"/>
            </w:tcBorders>
            <w:shd w:val="clear" w:color="auto" w:fill="B4C6E7"/>
            <w:noWrap/>
            <w:vAlign w:val="center"/>
            <w:hideMark/>
          </w:tcPr>
          <w:p w14:paraId="4E8DE93E"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EITI</w:t>
            </w:r>
          </w:p>
        </w:tc>
        <w:tc>
          <w:tcPr>
            <w:tcW w:w="4168" w:type="pct"/>
            <w:tcBorders>
              <w:top w:val="nil"/>
              <w:left w:val="nil"/>
              <w:bottom w:val="nil"/>
              <w:right w:val="nil"/>
            </w:tcBorders>
            <w:shd w:val="clear" w:color="auto" w:fill="B4C6E7"/>
            <w:noWrap/>
            <w:vAlign w:val="center"/>
            <w:hideMark/>
          </w:tcPr>
          <w:p w14:paraId="3539DF3E"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Extractive Industries Transparency Initiative</w:t>
            </w:r>
          </w:p>
        </w:tc>
      </w:tr>
      <w:tr w:rsidR="005C33C8" w:rsidRPr="00FB6E97" w14:paraId="761BC65E" w14:textId="77777777" w:rsidTr="00D46821">
        <w:trPr>
          <w:trHeight w:val="290"/>
        </w:trPr>
        <w:tc>
          <w:tcPr>
            <w:tcW w:w="832" w:type="pct"/>
            <w:tcBorders>
              <w:top w:val="nil"/>
              <w:left w:val="nil"/>
              <w:bottom w:val="nil"/>
              <w:right w:val="nil"/>
            </w:tcBorders>
            <w:shd w:val="clear" w:color="auto" w:fill="auto"/>
            <w:noWrap/>
            <w:vAlign w:val="center"/>
            <w:hideMark/>
          </w:tcPr>
          <w:p w14:paraId="1F9117F8"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EPL</w:t>
            </w:r>
          </w:p>
        </w:tc>
        <w:tc>
          <w:tcPr>
            <w:tcW w:w="4168" w:type="pct"/>
            <w:tcBorders>
              <w:top w:val="nil"/>
              <w:left w:val="nil"/>
              <w:bottom w:val="nil"/>
              <w:right w:val="nil"/>
            </w:tcBorders>
            <w:shd w:val="clear" w:color="auto" w:fill="auto"/>
            <w:noWrap/>
            <w:vAlign w:val="center"/>
            <w:hideMark/>
          </w:tcPr>
          <w:p w14:paraId="1C514DA0"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Energy (Oil and Gas) Profits Levy</w:t>
            </w:r>
          </w:p>
        </w:tc>
      </w:tr>
      <w:tr w:rsidR="005C33C8" w:rsidRPr="00FB6E97" w14:paraId="3E386253" w14:textId="77777777" w:rsidTr="00DF11D0">
        <w:trPr>
          <w:trHeight w:val="290"/>
        </w:trPr>
        <w:tc>
          <w:tcPr>
            <w:tcW w:w="832" w:type="pct"/>
            <w:tcBorders>
              <w:top w:val="nil"/>
              <w:left w:val="nil"/>
              <w:bottom w:val="nil"/>
              <w:right w:val="nil"/>
            </w:tcBorders>
            <w:shd w:val="clear" w:color="auto" w:fill="B4C6E7"/>
            <w:noWrap/>
            <w:vAlign w:val="center"/>
            <w:hideMark/>
          </w:tcPr>
          <w:p w14:paraId="2295FCC9"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EU</w:t>
            </w:r>
          </w:p>
        </w:tc>
        <w:tc>
          <w:tcPr>
            <w:tcW w:w="4168" w:type="pct"/>
            <w:tcBorders>
              <w:top w:val="nil"/>
              <w:left w:val="nil"/>
              <w:bottom w:val="nil"/>
              <w:right w:val="nil"/>
            </w:tcBorders>
            <w:shd w:val="clear" w:color="auto" w:fill="B4C6E7"/>
            <w:noWrap/>
            <w:vAlign w:val="center"/>
            <w:hideMark/>
          </w:tcPr>
          <w:p w14:paraId="6F0F6F94"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European Union</w:t>
            </w:r>
          </w:p>
        </w:tc>
      </w:tr>
      <w:tr w:rsidR="005C33C8" w:rsidRPr="00FB6E97" w14:paraId="3612314B" w14:textId="77777777" w:rsidTr="00D46821">
        <w:trPr>
          <w:trHeight w:val="290"/>
        </w:trPr>
        <w:tc>
          <w:tcPr>
            <w:tcW w:w="832" w:type="pct"/>
            <w:tcBorders>
              <w:top w:val="nil"/>
              <w:left w:val="nil"/>
              <w:bottom w:val="nil"/>
              <w:right w:val="nil"/>
            </w:tcBorders>
            <w:shd w:val="clear" w:color="auto" w:fill="auto"/>
            <w:noWrap/>
            <w:vAlign w:val="center"/>
            <w:hideMark/>
          </w:tcPr>
          <w:p w14:paraId="1420D0D0"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GPA</w:t>
            </w:r>
          </w:p>
        </w:tc>
        <w:tc>
          <w:tcPr>
            <w:tcW w:w="4168" w:type="pct"/>
            <w:tcBorders>
              <w:top w:val="nil"/>
              <w:left w:val="nil"/>
              <w:bottom w:val="nil"/>
              <w:right w:val="nil"/>
            </w:tcBorders>
            <w:shd w:val="clear" w:color="auto" w:fill="auto"/>
            <w:noWrap/>
            <w:vAlign w:val="center"/>
            <w:hideMark/>
          </w:tcPr>
          <w:p w14:paraId="49F77A0D"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Group Payment Arrangement</w:t>
            </w:r>
          </w:p>
        </w:tc>
      </w:tr>
      <w:tr w:rsidR="005C33C8" w:rsidRPr="00FB6E97" w14:paraId="359EA72E" w14:textId="77777777" w:rsidTr="00DF11D0">
        <w:trPr>
          <w:trHeight w:val="290"/>
        </w:trPr>
        <w:tc>
          <w:tcPr>
            <w:tcW w:w="832" w:type="pct"/>
            <w:tcBorders>
              <w:top w:val="nil"/>
              <w:left w:val="nil"/>
              <w:bottom w:val="nil"/>
              <w:right w:val="nil"/>
            </w:tcBorders>
            <w:shd w:val="clear" w:color="auto" w:fill="B4C6E7"/>
            <w:noWrap/>
            <w:vAlign w:val="center"/>
            <w:hideMark/>
          </w:tcPr>
          <w:p w14:paraId="72F9EBA6"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HMRC</w:t>
            </w:r>
          </w:p>
        </w:tc>
        <w:tc>
          <w:tcPr>
            <w:tcW w:w="4168" w:type="pct"/>
            <w:tcBorders>
              <w:top w:val="nil"/>
              <w:left w:val="nil"/>
              <w:bottom w:val="nil"/>
              <w:right w:val="nil"/>
            </w:tcBorders>
            <w:shd w:val="clear" w:color="auto" w:fill="B4C6E7"/>
            <w:noWrap/>
            <w:vAlign w:val="center"/>
            <w:hideMark/>
          </w:tcPr>
          <w:p w14:paraId="78D24499"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His Majesty’s Revenue &amp; Customs</w:t>
            </w:r>
          </w:p>
        </w:tc>
      </w:tr>
      <w:tr w:rsidR="005C33C8" w:rsidRPr="00FB6E97" w14:paraId="71136503" w14:textId="77777777" w:rsidTr="00D46821">
        <w:trPr>
          <w:trHeight w:val="290"/>
        </w:trPr>
        <w:tc>
          <w:tcPr>
            <w:tcW w:w="832" w:type="pct"/>
            <w:tcBorders>
              <w:top w:val="nil"/>
              <w:left w:val="nil"/>
              <w:bottom w:val="nil"/>
              <w:right w:val="nil"/>
            </w:tcBorders>
            <w:shd w:val="clear" w:color="auto" w:fill="auto"/>
            <w:noWrap/>
            <w:vAlign w:val="center"/>
            <w:hideMark/>
          </w:tcPr>
          <w:p w14:paraId="22806475"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IA</w:t>
            </w:r>
          </w:p>
        </w:tc>
        <w:tc>
          <w:tcPr>
            <w:tcW w:w="4168" w:type="pct"/>
            <w:tcBorders>
              <w:top w:val="nil"/>
              <w:left w:val="nil"/>
              <w:bottom w:val="nil"/>
              <w:right w:val="nil"/>
            </w:tcBorders>
            <w:shd w:val="clear" w:color="auto" w:fill="auto"/>
            <w:noWrap/>
            <w:vAlign w:val="center"/>
            <w:hideMark/>
          </w:tcPr>
          <w:p w14:paraId="329AA0B1"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 xml:space="preserve">Independent Administrator </w:t>
            </w:r>
          </w:p>
        </w:tc>
      </w:tr>
      <w:tr w:rsidR="005C33C8" w:rsidRPr="00FB6E97" w14:paraId="6B6D72E6" w14:textId="77777777" w:rsidTr="00DF11D0">
        <w:trPr>
          <w:trHeight w:val="290"/>
        </w:trPr>
        <w:tc>
          <w:tcPr>
            <w:tcW w:w="832" w:type="pct"/>
            <w:tcBorders>
              <w:top w:val="nil"/>
              <w:left w:val="nil"/>
              <w:bottom w:val="nil"/>
              <w:right w:val="nil"/>
            </w:tcBorders>
            <w:shd w:val="clear" w:color="auto" w:fill="B4C6E7"/>
            <w:noWrap/>
            <w:vAlign w:val="center"/>
            <w:hideMark/>
          </w:tcPr>
          <w:p w14:paraId="10172592"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ISRS</w:t>
            </w:r>
          </w:p>
        </w:tc>
        <w:tc>
          <w:tcPr>
            <w:tcW w:w="4168" w:type="pct"/>
            <w:tcBorders>
              <w:top w:val="nil"/>
              <w:left w:val="nil"/>
              <w:bottom w:val="nil"/>
              <w:right w:val="nil"/>
            </w:tcBorders>
            <w:shd w:val="clear" w:color="auto" w:fill="B4C6E7"/>
            <w:noWrap/>
            <w:vAlign w:val="center"/>
            <w:hideMark/>
          </w:tcPr>
          <w:p w14:paraId="630900B8"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International Standard on Related Services</w:t>
            </w:r>
          </w:p>
        </w:tc>
      </w:tr>
      <w:tr w:rsidR="005C33C8" w:rsidRPr="00FB6E97" w14:paraId="4636F3B8" w14:textId="77777777" w:rsidTr="00D46821">
        <w:trPr>
          <w:trHeight w:val="290"/>
        </w:trPr>
        <w:tc>
          <w:tcPr>
            <w:tcW w:w="832" w:type="pct"/>
            <w:tcBorders>
              <w:top w:val="nil"/>
              <w:left w:val="nil"/>
              <w:bottom w:val="nil"/>
              <w:right w:val="nil"/>
            </w:tcBorders>
            <w:shd w:val="clear" w:color="auto" w:fill="auto"/>
            <w:noWrap/>
            <w:vAlign w:val="center"/>
            <w:hideMark/>
          </w:tcPr>
          <w:p w14:paraId="60DDDC83"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MSG</w:t>
            </w:r>
          </w:p>
        </w:tc>
        <w:tc>
          <w:tcPr>
            <w:tcW w:w="4168" w:type="pct"/>
            <w:tcBorders>
              <w:top w:val="nil"/>
              <w:left w:val="nil"/>
              <w:bottom w:val="nil"/>
              <w:right w:val="nil"/>
            </w:tcBorders>
            <w:shd w:val="clear" w:color="auto" w:fill="auto"/>
            <w:noWrap/>
            <w:vAlign w:val="center"/>
            <w:hideMark/>
          </w:tcPr>
          <w:p w14:paraId="3A616A47"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UK EITI Multi-Stakeholder Group</w:t>
            </w:r>
          </w:p>
        </w:tc>
      </w:tr>
      <w:tr w:rsidR="005C33C8" w:rsidRPr="00FB6E97" w14:paraId="6B16F986" w14:textId="77777777" w:rsidTr="00DF11D0">
        <w:trPr>
          <w:trHeight w:val="290"/>
        </w:trPr>
        <w:tc>
          <w:tcPr>
            <w:tcW w:w="832" w:type="pct"/>
            <w:tcBorders>
              <w:top w:val="nil"/>
              <w:left w:val="nil"/>
              <w:bottom w:val="nil"/>
              <w:right w:val="nil"/>
            </w:tcBorders>
            <w:shd w:val="clear" w:color="auto" w:fill="B4C6E7"/>
            <w:noWrap/>
            <w:vAlign w:val="center"/>
            <w:hideMark/>
          </w:tcPr>
          <w:p w14:paraId="4530B016"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NSTA</w:t>
            </w:r>
          </w:p>
        </w:tc>
        <w:tc>
          <w:tcPr>
            <w:tcW w:w="4168" w:type="pct"/>
            <w:tcBorders>
              <w:top w:val="nil"/>
              <w:left w:val="nil"/>
              <w:bottom w:val="nil"/>
              <w:right w:val="nil"/>
            </w:tcBorders>
            <w:shd w:val="clear" w:color="auto" w:fill="B4C6E7"/>
            <w:noWrap/>
            <w:vAlign w:val="center"/>
            <w:hideMark/>
          </w:tcPr>
          <w:p w14:paraId="77E01873"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North Sea Transition Authority</w:t>
            </w:r>
          </w:p>
        </w:tc>
      </w:tr>
      <w:tr w:rsidR="005C33C8" w:rsidRPr="00FB6E97" w14:paraId="1A759059" w14:textId="77777777" w:rsidTr="00D46821">
        <w:trPr>
          <w:trHeight w:val="290"/>
        </w:trPr>
        <w:tc>
          <w:tcPr>
            <w:tcW w:w="832" w:type="pct"/>
            <w:tcBorders>
              <w:top w:val="nil"/>
              <w:left w:val="nil"/>
              <w:bottom w:val="nil"/>
              <w:right w:val="nil"/>
            </w:tcBorders>
            <w:shd w:val="clear" w:color="auto" w:fill="auto"/>
            <w:noWrap/>
            <w:vAlign w:val="center"/>
            <w:hideMark/>
          </w:tcPr>
          <w:p w14:paraId="6B6F6C5C"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OGA</w:t>
            </w:r>
          </w:p>
        </w:tc>
        <w:tc>
          <w:tcPr>
            <w:tcW w:w="4168" w:type="pct"/>
            <w:tcBorders>
              <w:top w:val="nil"/>
              <w:left w:val="nil"/>
              <w:bottom w:val="nil"/>
              <w:right w:val="nil"/>
            </w:tcBorders>
            <w:shd w:val="clear" w:color="auto" w:fill="auto"/>
            <w:noWrap/>
            <w:vAlign w:val="center"/>
            <w:hideMark/>
          </w:tcPr>
          <w:p w14:paraId="2C9CE7CE" w14:textId="77777777" w:rsidR="005C33C8" w:rsidRPr="00FB6E97" w:rsidRDefault="005C33C8"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Oil and Gas Authority</w:t>
            </w:r>
          </w:p>
        </w:tc>
      </w:tr>
      <w:tr w:rsidR="005C33C8" w:rsidRPr="00FB6E97" w14:paraId="7306C1AA" w14:textId="77777777" w:rsidTr="00DF11D0">
        <w:trPr>
          <w:trHeight w:val="290"/>
        </w:trPr>
        <w:tc>
          <w:tcPr>
            <w:tcW w:w="832" w:type="pct"/>
            <w:tcBorders>
              <w:top w:val="nil"/>
              <w:left w:val="nil"/>
              <w:bottom w:val="nil"/>
              <w:right w:val="nil"/>
            </w:tcBorders>
            <w:shd w:val="clear" w:color="auto" w:fill="B4C6E7"/>
            <w:noWrap/>
            <w:vAlign w:val="center"/>
          </w:tcPr>
          <w:p w14:paraId="2B2F56E3" w14:textId="6927FB9E" w:rsidR="005C33C8" w:rsidRPr="00FB6E97" w:rsidRDefault="00CA69A5" w:rsidP="005C33C8">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PEP</w:t>
            </w:r>
          </w:p>
        </w:tc>
        <w:tc>
          <w:tcPr>
            <w:tcW w:w="4168" w:type="pct"/>
            <w:tcBorders>
              <w:top w:val="nil"/>
              <w:left w:val="nil"/>
              <w:bottom w:val="nil"/>
              <w:right w:val="nil"/>
            </w:tcBorders>
            <w:shd w:val="clear" w:color="auto" w:fill="B4C6E7"/>
            <w:noWrap/>
            <w:vAlign w:val="center"/>
          </w:tcPr>
          <w:p w14:paraId="522510EA" w14:textId="46C518B3" w:rsidR="005C33C8" w:rsidRPr="00FB6E97" w:rsidRDefault="00D46821" w:rsidP="005C33C8">
            <w:pPr>
              <w:spacing w:before="80" w:after="80"/>
              <w:jc w:val="both"/>
              <w:rPr>
                <w:rFonts w:asciiTheme="minorBidi" w:eastAsia="Times New Roman" w:hAnsiTheme="minorBidi" w:cstheme="minorBidi"/>
                <w:color w:val="000000"/>
                <w:sz w:val="20"/>
                <w:szCs w:val="20"/>
                <w:lang w:eastAsia="en-GB"/>
              </w:rPr>
            </w:pPr>
            <w:r w:rsidRPr="00FB6E97">
              <w:rPr>
                <w:rFonts w:eastAsia="Times New Roman"/>
                <w:color w:val="000000"/>
                <w:sz w:val="18"/>
                <w:szCs w:val="18"/>
                <w:lang w:eastAsia="en-GB"/>
              </w:rPr>
              <w:t>Politically Exposed People</w:t>
            </w:r>
          </w:p>
        </w:tc>
      </w:tr>
      <w:tr w:rsidR="00CA69A5" w:rsidRPr="00FB6E97" w14:paraId="38D1E376" w14:textId="77777777" w:rsidTr="00D46821">
        <w:trPr>
          <w:trHeight w:val="290"/>
        </w:trPr>
        <w:tc>
          <w:tcPr>
            <w:tcW w:w="832" w:type="pct"/>
            <w:tcBorders>
              <w:top w:val="nil"/>
              <w:left w:val="nil"/>
              <w:bottom w:val="nil"/>
              <w:right w:val="nil"/>
            </w:tcBorders>
            <w:shd w:val="clear" w:color="auto" w:fill="auto"/>
            <w:noWrap/>
            <w:vAlign w:val="center"/>
          </w:tcPr>
          <w:p w14:paraId="39775F4E" w14:textId="64F09741"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PRT</w:t>
            </w:r>
          </w:p>
        </w:tc>
        <w:tc>
          <w:tcPr>
            <w:tcW w:w="4168" w:type="pct"/>
            <w:tcBorders>
              <w:top w:val="nil"/>
              <w:left w:val="nil"/>
              <w:bottom w:val="nil"/>
              <w:right w:val="nil"/>
            </w:tcBorders>
            <w:shd w:val="clear" w:color="auto" w:fill="auto"/>
            <w:noWrap/>
            <w:vAlign w:val="center"/>
          </w:tcPr>
          <w:p w14:paraId="33901066" w14:textId="7CE77226"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Petroleum Revenue Tax</w:t>
            </w:r>
          </w:p>
        </w:tc>
      </w:tr>
      <w:tr w:rsidR="00CA69A5" w:rsidRPr="00FB6E97" w14:paraId="30827E48" w14:textId="77777777" w:rsidTr="00DF11D0">
        <w:trPr>
          <w:trHeight w:val="290"/>
        </w:trPr>
        <w:tc>
          <w:tcPr>
            <w:tcW w:w="832" w:type="pct"/>
            <w:tcBorders>
              <w:top w:val="nil"/>
              <w:left w:val="nil"/>
              <w:bottom w:val="nil"/>
              <w:right w:val="nil"/>
            </w:tcBorders>
            <w:shd w:val="clear" w:color="auto" w:fill="B4C6E7"/>
            <w:noWrap/>
            <w:vAlign w:val="center"/>
          </w:tcPr>
          <w:p w14:paraId="60E1D43D" w14:textId="02A93714"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PSC</w:t>
            </w:r>
          </w:p>
        </w:tc>
        <w:tc>
          <w:tcPr>
            <w:tcW w:w="4168" w:type="pct"/>
            <w:tcBorders>
              <w:top w:val="nil"/>
              <w:left w:val="nil"/>
              <w:bottom w:val="nil"/>
              <w:right w:val="nil"/>
            </w:tcBorders>
            <w:shd w:val="clear" w:color="auto" w:fill="B4C6E7"/>
            <w:noWrap/>
            <w:vAlign w:val="center"/>
          </w:tcPr>
          <w:p w14:paraId="52981C4C" w14:textId="30B2A6D9"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People with Significant Control</w:t>
            </w:r>
          </w:p>
        </w:tc>
      </w:tr>
      <w:tr w:rsidR="00CA69A5" w:rsidRPr="00FB6E97" w14:paraId="20762849" w14:textId="77777777" w:rsidTr="00D46821">
        <w:trPr>
          <w:trHeight w:val="290"/>
        </w:trPr>
        <w:tc>
          <w:tcPr>
            <w:tcW w:w="832" w:type="pct"/>
            <w:tcBorders>
              <w:top w:val="nil"/>
              <w:left w:val="nil"/>
              <w:bottom w:val="nil"/>
              <w:right w:val="nil"/>
            </w:tcBorders>
            <w:shd w:val="clear" w:color="auto" w:fill="auto"/>
            <w:noWrap/>
            <w:vAlign w:val="center"/>
          </w:tcPr>
          <w:p w14:paraId="3F60584E" w14:textId="50B7AF98"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RFCT</w:t>
            </w:r>
          </w:p>
        </w:tc>
        <w:tc>
          <w:tcPr>
            <w:tcW w:w="4168" w:type="pct"/>
            <w:tcBorders>
              <w:top w:val="nil"/>
              <w:left w:val="nil"/>
              <w:bottom w:val="nil"/>
              <w:right w:val="nil"/>
            </w:tcBorders>
            <w:shd w:val="clear" w:color="auto" w:fill="auto"/>
            <w:noWrap/>
            <w:vAlign w:val="center"/>
          </w:tcPr>
          <w:p w14:paraId="6E2870A4" w14:textId="31D8461E"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Ring Fence Corporation Tax</w:t>
            </w:r>
          </w:p>
        </w:tc>
      </w:tr>
      <w:tr w:rsidR="00CA69A5" w:rsidRPr="00FB6E97" w14:paraId="09BEB077" w14:textId="77777777" w:rsidTr="00DF11D0">
        <w:trPr>
          <w:trHeight w:val="290"/>
        </w:trPr>
        <w:tc>
          <w:tcPr>
            <w:tcW w:w="832" w:type="pct"/>
            <w:tcBorders>
              <w:top w:val="nil"/>
              <w:left w:val="nil"/>
              <w:bottom w:val="nil"/>
              <w:right w:val="nil"/>
            </w:tcBorders>
            <w:shd w:val="clear" w:color="auto" w:fill="B4C6E7"/>
            <w:noWrap/>
            <w:vAlign w:val="center"/>
          </w:tcPr>
          <w:p w14:paraId="0DC33B38" w14:textId="5106B5F4"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SC</w:t>
            </w:r>
          </w:p>
        </w:tc>
        <w:tc>
          <w:tcPr>
            <w:tcW w:w="4168" w:type="pct"/>
            <w:tcBorders>
              <w:top w:val="nil"/>
              <w:left w:val="nil"/>
              <w:bottom w:val="nil"/>
              <w:right w:val="nil"/>
            </w:tcBorders>
            <w:shd w:val="clear" w:color="auto" w:fill="B4C6E7"/>
            <w:noWrap/>
            <w:vAlign w:val="center"/>
          </w:tcPr>
          <w:p w14:paraId="15C38B2B" w14:textId="097F2F4E"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Supplementary Charge</w:t>
            </w:r>
          </w:p>
        </w:tc>
      </w:tr>
      <w:tr w:rsidR="00CA69A5" w:rsidRPr="00FB6E97" w14:paraId="03E4A9B3" w14:textId="77777777" w:rsidTr="00D46821">
        <w:trPr>
          <w:trHeight w:val="290"/>
        </w:trPr>
        <w:tc>
          <w:tcPr>
            <w:tcW w:w="832" w:type="pct"/>
            <w:tcBorders>
              <w:top w:val="nil"/>
              <w:left w:val="nil"/>
              <w:bottom w:val="nil"/>
              <w:right w:val="nil"/>
            </w:tcBorders>
            <w:shd w:val="clear" w:color="auto" w:fill="auto"/>
            <w:noWrap/>
            <w:vAlign w:val="center"/>
          </w:tcPr>
          <w:p w14:paraId="73846F6A" w14:textId="6F4678C2"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TCE</w:t>
            </w:r>
          </w:p>
        </w:tc>
        <w:tc>
          <w:tcPr>
            <w:tcW w:w="4168" w:type="pct"/>
            <w:tcBorders>
              <w:top w:val="nil"/>
              <w:left w:val="nil"/>
              <w:bottom w:val="nil"/>
              <w:right w:val="nil"/>
            </w:tcBorders>
            <w:shd w:val="clear" w:color="auto" w:fill="auto"/>
            <w:noWrap/>
            <w:vAlign w:val="center"/>
          </w:tcPr>
          <w:p w14:paraId="3AB31976" w14:textId="7D9397DE"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The Crown Estate</w:t>
            </w:r>
          </w:p>
        </w:tc>
      </w:tr>
      <w:tr w:rsidR="00CA69A5" w:rsidRPr="00FB6E97" w14:paraId="758BF7B4" w14:textId="77777777" w:rsidTr="00DF11D0">
        <w:trPr>
          <w:trHeight w:val="290"/>
        </w:trPr>
        <w:tc>
          <w:tcPr>
            <w:tcW w:w="832" w:type="pct"/>
            <w:tcBorders>
              <w:top w:val="nil"/>
              <w:left w:val="nil"/>
              <w:bottom w:val="nil"/>
              <w:right w:val="nil"/>
            </w:tcBorders>
            <w:shd w:val="clear" w:color="auto" w:fill="B4C6E7"/>
            <w:noWrap/>
            <w:vAlign w:val="center"/>
          </w:tcPr>
          <w:p w14:paraId="6896E7E9" w14:textId="22362759"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proofErr w:type="spellStart"/>
            <w:r w:rsidRPr="00FB6E97">
              <w:rPr>
                <w:rFonts w:asciiTheme="minorBidi" w:eastAsia="Times New Roman" w:hAnsiTheme="minorBidi" w:cstheme="minorBidi"/>
                <w:color w:val="000000"/>
                <w:sz w:val="20"/>
                <w:szCs w:val="20"/>
                <w:lang w:eastAsia="en-GB"/>
              </w:rPr>
              <w:t>ToR</w:t>
            </w:r>
            <w:proofErr w:type="spellEnd"/>
          </w:p>
        </w:tc>
        <w:tc>
          <w:tcPr>
            <w:tcW w:w="4168" w:type="pct"/>
            <w:tcBorders>
              <w:top w:val="nil"/>
              <w:left w:val="nil"/>
              <w:bottom w:val="nil"/>
              <w:right w:val="nil"/>
            </w:tcBorders>
            <w:shd w:val="clear" w:color="auto" w:fill="B4C6E7"/>
            <w:noWrap/>
            <w:vAlign w:val="center"/>
          </w:tcPr>
          <w:p w14:paraId="004BC332" w14:textId="12903303"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Terms of Reference</w:t>
            </w:r>
          </w:p>
        </w:tc>
      </w:tr>
      <w:tr w:rsidR="00CA69A5" w:rsidRPr="00FB6E97" w14:paraId="709EA025" w14:textId="77777777" w:rsidTr="00D46821">
        <w:trPr>
          <w:trHeight w:val="290"/>
        </w:trPr>
        <w:tc>
          <w:tcPr>
            <w:tcW w:w="832" w:type="pct"/>
            <w:tcBorders>
              <w:top w:val="nil"/>
              <w:left w:val="nil"/>
              <w:bottom w:val="nil"/>
              <w:right w:val="nil"/>
            </w:tcBorders>
            <w:shd w:val="clear" w:color="auto" w:fill="auto"/>
            <w:noWrap/>
            <w:vAlign w:val="center"/>
          </w:tcPr>
          <w:p w14:paraId="15AAAA7B" w14:textId="4101BDFA"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UK</w:t>
            </w:r>
          </w:p>
        </w:tc>
        <w:tc>
          <w:tcPr>
            <w:tcW w:w="4168" w:type="pct"/>
            <w:tcBorders>
              <w:top w:val="nil"/>
              <w:left w:val="nil"/>
              <w:bottom w:val="nil"/>
              <w:right w:val="nil"/>
            </w:tcBorders>
            <w:shd w:val="clear" w:color="auto" w:fill="auto"/>
            <w:noWrap/>
            <w:vAlign w:val="center"/>
          </w:tcPr>
          <w:p w14:paraId="4F5AFCBC" w14:textId="7AE1E906" w:rsidR="00CA69A5" w:rsidRPr="00FB6E97" w:rsidRDefault="00CA69A5" w:rsidP="00CA69A5">
            <w:pPr>
              <w:spacing w:before="80" w:after="80"/>
              <w:jc w:val="both"/>
              <w:rPr>
                <w:rFonts w:asciiTheme="minorBidi" w:eastAsia="Times New Roman" w:hAnsiTheme="minorBidi" w:cstheme="minorBidi"/>
                <w:color w:val="000000"/>
                <w:sz w:val="20"/>
                <w:szCs w:val="20"/>
                <w:lang w:eastAsia="en-GB"/>
              </w:rPr>
            </w:pPr>
            <w:r w:rsidRPr="00FB6E97">
              <w:rPr>
                <w:rFonts w:asciiTheme="minorBidi" w:eastAsia="Times New Roman" w:hAnsiTheme="minorBidi" w:cstheme="minorBidi"/>
                <w:color w:val="000000"/>
                <w:sz w:val="20"/>
                <w:szCs w:val="20"/>
                <w:lang w:eastAsia="en-GB"/>
              </w:rPr>
              <w:t>United Kingdom</w:t>
            </w:r>
          </w:p>
        </w:tc>
      </w:tr>
    </w:tbl>
    <w:p w14:paraId="167FB19E" w14:textId="77777777" w:rsidR="0030523C" w:rsidRPr="00FB6E97" w:rsidRDefault="0030523C" w:rsidP="0071716A">
      <w:pPr>
        <w:jc w:val="both"/>
        <w:rPr>
          <w:sz w:val="2"/>
          <w:szCs w:val="22"/>
          <w:lang w:bidi="ar-TN"/>
        </w:rPr>
      </w:pPr>
    </w:p>
    <w:sectPr w:rsidR="0030523C" w:rsidRPr="00FB6E97" w:rsidSect="003A014E">
      <w:pgSz w:w="11907" w:h="16840" w:code="9"/>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84F5" w14:textId="77777777" w:rsidR="005C1503" w:rsidRDefault="005C1503" w:rsidP="0030523C">
      <w:r>
        <w:separator/>
      </w:r>
    </w:p>
  </w:endnote>
  <w:endnote w:type="continuationSeparator" w:id="0">
    <w:p w14:paraId="1696D368" w14:textId="77777777" w:rsidR="005C1503" w:rsidRDefault="005C1503" w:rsidP="0030523C">
      <w:r>
        <w:continuationSeparator/>
      </w:r>
    </w:p>
  </w:endnote>
  <w:endnote w:type="continuationNotice" w:id="1">
    <w:p w14:paraId="2B93B812" w14:textId="77777777" w:rsidR="005C1503" w:rsidRDefault="005C1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umnst777 Lt BT">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MS Mincho"/>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56BE" w14:textId="2FBC5F66" w:rsidR="0065619A" w:rsidRPr="000252AD" w:rsidRDefault="001D726B" w:rsidP="00E56F94">
    <w:pPr>
      <w:pStyle w:val="Footer"/>
      <w:jc w:val="center"/>
      <w:rPr>
        <w:color w:val="4F81BD" w:themeColor="accent1"/>
        <w:sz w:val="20"/>
        <w:szCs w:val="12"/>
      </w:rPr>
    </w:pPr>
    <w:r>
      <w:rPr>
        <w:noProof/>
        <w:color w:val="4F81BD" w:themeColor="accent1"/>
        <w:sz w:val="20"/>
        <w:szCs w:val="12"/>
      </w:rPr>
      <mc:AlternateContent>
        <mc:Choice Requires="wps">
          <w:drawing>
            <wp:anchor distT="0" distB="0" distL="114300" distR="114300" simplePos="0" relativeHeight="251658240" behindDoc="0" locked="0" layoutInCell="0" allowOverlap="1" wp14:anchorId="68A49808" wp14:editId="3DC3895B">
              <wp:simplePos x="0" y="0"/>
              <wp:positionH relativeFrom="page">
                <wp:posOffset>0</wp:posOffset>
              </wp:positionH>
              <wp:positionV relativeFrom="page">
                <wp:posOffset>10229215</wp:posOffset>
              </wp:positionV>
              <wp:extent cx="7560945" cy="273050"/>
              <wp:effectExtent l="0" t="0" r="0" b="12700"/>
              <wp:wrapNone/>
              <wp:docPr id="1" name="MSIPCM800a4a5b9c7eef1ee30457f2"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33E64" w14:textId="340D38FD" w:rsidR="001D726B" w:rsidRPr="001D726B" w:rsidRDefault="001D726B" w:rsidP="001D72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A49808" id="_x0000_t202" coordsize="21600,21600" o:spt="202" path="m,l,21600r21600,l21600,xe">
              <v:stroke joinstyle="miter"/>
              <v:path gradientshapeok="t" o:connecttype="rect"/>
            </v:shapetype>
            <v:shape id="MSIPCM800a4a5b9c7eef1ee30457f2" o:spid="_x0000_s1026" type="#_x0000_t202" alt="{&quot;HashCode&quot;:-1264847310,&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A633E64" w14:textId="340D38FD" w:rsidR="001D726B" w:rsidRPr="001D726B" w:rsidRDefault="001D726B" w:rsidP="001D726B">
                    <w:pPr>
                      <w:jc w:val="center"/>
                      <w:rPr>
                        <w:rFonts w:ascii="Calibri" w:hAnsi="Calibri" w:cs="Calibri"/>
                        <w:color w:val="000000"/>
                        <w:sz w:val="20"/>
                      </w:rPr>
                    </w:pPr>
                  </w:p>
                </w:txbxContent>
              </v:textbox>
              <w10:wrap anchorx="page" anchory="page"/>
            </v:shape>
          </w:pict>
        </mc:Fallback>
      </mc:AlternateContent>
    </w:r>
    <w:r w:rsidR="00E56F94" w:rsidRPr="000252AD">
      <w:rPr>
        <w:color w:val="4F81BD" w:themeColor="accent1"/>
        <w:sz w:val="20"/>
        <w:szCs w:val="12"/>
      </w:rPr>
      <w:t xml:space="preserve">Page </w:t>
    </w:r>
    <w:r w:rsidR="00E56F94" w:rsidRPr="000252AD">
      <w:rPr>
        <w:color w:val="4F81BD" w:themeColor="accent1"/>
        <w:sz w:val="20"/>
        <w:szCs w:val="12"/>
      </w:rPr>
      <w:fldChar w:fldCharType="begin"/>
    </w:r>
    <w:r w:rsidR="00E56F94" w:rsidRPr="000252AD">
      <w:rPr>
        <w:color w:val="4F81BD" w:themeColor="accent1"/>
        <w:sz w:val="20"/>
        <w:szCs w:val="12"/>
      </w:rPr>
      <w:instrText xml:space="preserve"> PAGE  \* Arabic  \* MERGEFORMAT </w:instrText>
    </w:r>
    <w:r w:rsidR="00E56F94" w:rsidRPr="000252AD">
      <w:rPr>
        <w:color w:val="4F81BD" w:themeColor="accent1"/>
        <w:sz w:val="20"/>
        <w:szCs w:val="12"/>
      </w:rPr>
      <w:fldChar w:fldCharType="separate"/>
    </w:r>
    <w:r w:rsidR="00E56F94" w:rsidRPr="000252AD">
      <w:rPr>
        <w:color w:val="4F81BD" w:themeColor="accent1"/>
        <w:sz w:val="20"/>
        <w:szCs w:val="12"/>
      </w:rPr>
      <w:t>1</w:t>
    </w:r>
    <w:r w:rsidR="00E56F94" w:rsidRPr="000252AD">
      <w:rPr>
        <w:color w:val="4F81BD" w:themeColor="accent1"/>
        <w:sz w:val="20"/>
        <w:szCs w:val="12"/>
      </w:rPr>
      <w:fldChar w:fldCharType="end"/>
    </w:r>
    <w:r w:rsidR="00E56F94" w:rsidRPr="000252AD">
      <w:rPr>
        <w:color w:val="4F81BD" w:themeColor="accent1"/>
        <w:sz w:val="20"/>
        <w:szCs w:val="12"/>
      </w:rPr>
      <w:t xml:space="preserve"> of </w:t>
    </w:r>
    <w:r w:rsidR="00E56F94" w:rsidRPr="000252AD">
      <w:rPr>
        <w:color w:val="4F81BD" w:themeColor="accent1"/>
        <w:sz w:val="20"/>
        <w:szCs w:val="12"/>
      </w:rPr>
      <w:fldChar w:fldCharType="begin"/>
    </w:r>
    <w:r w:rsidR="00E56F94" w:rsidRPr="000252AD">
      <w:rPr>
        <w:color w:val="4F81BD" w:themeColor="accent1"/>
        <w:sz w:val="20"/>
        <w:szCs w:val="12"/>
      </w:rPr>
      <w:instrText xml:space="preserve"> NUMPAGES  \* Arabic  \* MERGEFORMAT </w:instrText>
    </w:r>
    <w:r w:rsidR="00E56F94" w:rsidRPr="000252AD">
      <w:rPr>
        <w:color w:val="4F81BD" w:themeColor="accent1"/>
        <w:sz w:val="20"/>
        <w:szCs w:val="12"/>
      </w:rPr>
      <w:fldChar w:fldCharType="separate"/>
    </w:r>
    <w:r w:rsidR="00E56F94" w:rsidRPr="000252AD">
      <w:rPr>
        <w:color w:val="4F81BD" w:themeColor="accent1"/>
        <w:sz w:val="20"/>
        <w:szCs w:val="12"/>
      </w:rPr>
      <w:t>6</w:t>
    </w:r>
    <w:r w:rsidR="00E56F94" w:rsidRPr="000252AD">
      <w:rPr>
        <w:color w:val="4F81BD" w:themeColor="accent1"/>
        <w:sz w:val="2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72EE" w14:textId="727A9664" w:rsidR="00E441B7" w:rsidRPr="005D6326" w:rsidRDefault="001D726B" w:rsidP="00E56F94">
    <w:pPr>
      <w:pStyle w:val="Footer"/>
      <w:jc w:val="center"/>
      <w:rPr>
        <w:color w:val="4F81BD" w:themeColor="accent1"/>
        <w:sz w:val="20"/>
        <w:szCs w:val="12"/>
      </w:rPr>
    </w:pPr>
    <w:r>
      <w:rPr>
        <w:noProof/>
        <w:color w:val="4F81BD" w:themeColor="accent1"/>
        <w:sz w:val="20"/>
        <w:szCs w:val="12"/>
      </w:rPr>
      <mc:AlternateContent>
        <mc:Choice Requires="wps">
          <w:drawing>
            <wp:anchor distT="0" distB="0" distL="114300" distR="114300" simplePos="0" relativeHeight="251658241" behindDoc="0" locked="0" layoutInCell="0" allowOverlap="1" wp14:anchorId="63E86420" wp14:editId="41EAC680">
              <wp:simplePos x="0" y="0"/>
              <wp:positionH relativeFrom="page">
                <wp:posOffset>0</wp:posOffset>
              </wp:positionH>
              <wp:positionV relativeFrom="page">
                <wp:posOffset>10229215</wp:posOffset>
              </wp:positionV>
              <wp:extent cx="7560945" cy="273050"/>
              <wp:effectExtent l="0" t="0" r="0" b="12700"/>
              <wp:wrapNone/>
              <wp:docPr id="2" name="MSIPCMb71144258a64e306ebc9ba8b"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6833A0" w14:textId="7A5016A7" w:rsidR="001D726B" w:rsidRPr="001D726B" w:rsidRDefault="001D726B" w:rsidP="001D72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E86420" id="_x0000_t202" coordsize="21600,21600" o:spt="202" path="m,l,21600r21600,l21600,xe">
              <v:stroke joinstyle="miter"/>
              <v:path gradientshapeok="t" o:connecttype="rect"/>
            </v:shapetype>
            <v:shape id="MSIPCMb71144258a64e306ebc9ba8b" o:spid="_x0000_s1027" type="#_x0000_t202" alt="{&quot;HashCode&quot;:-1264847310,&quot;Height&quot;:842.0,&quot;Width&quot;:595.0,&quot;Placement&quot;:&quot;Footer&quot;,&quot;Index&quot;:&quot;FirstPage&quot;,&quot;Section&quot;:1,&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D6833A0" w14:textId="7A5016A7" w:rsidR="001D726B" w:rsidRPr="001D726B" w:rsidRDefault="001D726B" w:rsidP="001D726B">
                    <w:pPr>
                      <w:jc w:val="center"/>
                      <w:rPr>
                        <w:rFonts w:ascii="Calibri" w:hAnsi="Calibri" w:cs="Calibri"/>
                        <w:color w:val="000000"/>
                        <w:sz w:val="20"/>
                      </w:rPr>
                    </w:pPr>
                  </w:p>
                </w:txbxContent>
              </v:textbox>
              <w10:wrap anchorx="page" anchory="page"/>
            </v:shape>
          </w:pict>
        </mc:Fallback>
      </mc:AlternateContent>
    </w:r>
    <w:r w:rsidR="00E56F94" w:rsidRPr="005D6326">
      <w:rPr>
        <w:color w:val="4F81BD" w:themeColor="accent1"/>
        <w:sz w:val="20"/>
        <w:szCs w:val="12"/>
      </w:rPr>
      <w:t xml:space="preserve">Page </w:t>
    </w:r>
    <w:r w:rsidR="00E56F94" w:rsidRPr="005D6326">
      <w:rPr>
        <w:color w:val="4F81BD" w:themeColor="accent1"/>
        <w:sz w:val="20"/>
        <w:szCs w:val="12"/>
      </w:rPr>
      <w:fldChar w:fldCharType="begin"/>
    </w:r>
    <w:r w:rsidR="00E56F94" w:rsidRPr="005D6326">
      <w:rPr>
        <w:color w:val="4F81BD" w:themeColor="accent1"/>
        <w:sz w:val="20"/>
        <w:szCs w:val="12"/>
      </w:rPr>
      <w:instrText xml:space="preserve"> PAGE  \* Arabic  \* MERGEFORMAT </w:instrText>
    </w:r>
    <w:r w:rsidR="00E56F94" w:rsidRPr="005D6326">
      <w:rPr>
        <w:color w:val="4F81BD" w:themeColor="accent1"/>
        <w:sz w:val="20"/>
        <w:szCs w:val="12"/>
      </w:rPr>
      <w:fldChar w:fldCharType="separate"/>
    </w:r>
    <w:r w:rsidR="00E56F94" w:rsidRPr="005D6326">
      <w:rPr>
        <w:noProof/>
        <w:color w:val="4F81BD" w:themeColor="accent1"/>
        <w:sz w:val="20"/>
        <w:szCs w:val="12"/>
      </w:rPr>
      <w:t>2</w:t>
    </w:r>
    <w:r w:rsidR="00E56F94" w:rsidRPr="005D6326">
      <w:rPr>
        <w:color w:val="4F81BD" w:themeColor="accent1"/>
        <w:sz w:val="20"/>
        <w:szCs w:val="12"/>
      </w:rPr>
      <w:fldChar w:fldCharType="end"/>
    </w:r>
    <w:r w:rsidR="00E56F94" w:rsidRPr="005D6326">
      <w:rPr>
        <w:color w:val="4F81BD" w:themeColor="accent1"/>
        <w:sz w:val="20"/>
        <w:szCs w:val="12"/>
      </w:rPr>
      <w:t xml:space="preserve"> of </w:t>
    </w:r>
    <w:r w:rsidR="00E56F94" w:rsidRPr="005D6326">
      <w:rPr>
        <w:color w:val="4F81BD" w:themeColor="accent1"/>
        <w:sz w:val="20"/>
        <w:szCs w:val="12"/>
      </w:rPr>
      <w:fldChar w:fldCharType="begin"/>
    </w:r>
    <w:r w:rsidR="00E56F94" w:rsidRPr="005D6326">
      <w:rPr>
        <w:color w:val="4F81BD" w:themeColor="accent1"/>
        <w:sz w:val="20"/>
        <w:szCs w:val="12"/>
      </w:rPr>
      <w:instrText xml:space="preserve"> NUMPAGES  \* Arabic  \* MERGEFORMAT </w:instrText>
    </w:r>
    <w:r w:rsidR="00E56F94" w:rsidRPr="005D6326">
      <w:rPr>
        <w:color w:val="4F81BD" w:themeColor="accent1"/>
        <w:sz w:val="20"/>
        <w:szCs w:val="12"/>
      </w:rPr>
      <w:fldChar w:fldCharType="separate"/>
    </w:r>
    <w:r w:rsidR="00E56F94" w:rsidRPr="005D6326">
      <w:rPr>
        <w:noProof/>
        <w:color w:val="4F81BD" w:themeColor="accent1"/>
        <w:sz w:val="20"/>
        <w:szCs w:val="12"/>
      </w:rPr>
      <w:t>2</w:t>
    </w:r>
    <w:r w:rsidR="00E56F94" w:rsidRPr="005D6326">
      <w:rPr>
        <w:color w:val="4F81BD"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7A2C" w14:textId="77777777" w:rsidR="005C1503" w:rsidRDefault="005C1503" w:rsidP="0030523C">
      <w:r>
        <w:separator/>
      </w:r>
    </w:p>
  </w:footnote>
  <w:footnote w:type="continuationSeparator" w:id="0">
    <w:p w14:paraId="1C55CF16" w14:textId="77777777" w:rsidR="005C1503" w:rsidRDefault="005C1503" w:rsidP="0030523C">
      <w:r>
        <w:continuationSeparator/>
      </w:r>
    </w:p>
  </w:footnote>
  <w:footnote w:type="continuationNotice" w:id="1">
    <w:p w14:paraId="5C791A8E" w14:textId="77777777" w:rsidR="005C1503" w:rsidRDefault="005C1503"/>
  </w:footnote>
  <w:footnote w:id="2">
    <w:p w14:paraId="4E7E9D97" w14:textId="5888C323" w:rsidR="00703C59" w:rsidRPr="0033615D" w:rsidRDefault="00703C59" w:rsidP="0033615D">
      <w:pPr>
        <w:pStyle w:val="FootnoteText"/>
        <w:rPr>
          <w:rFonts w:cs="Arial"/>
          <w:szCs w:val="16"/>
          <w:lang w:val="en-GB"/>
        </w:rPr>
      </w:pPr>
      <w:r w:rsidRPr="0033615D">
        <w:rPr>
          <w:rStyle w:val="FootnoteReference"/>
          <w:rFonts w:cs="Arial"/>
          <w:szCs w:val="16"/>
        </w:rPr>
        <w:footnoteRef/>
      </w:r>
      <w:r w:rsidRPr="0033615D">
        <w:rPr>
          <w:rFonts w:cs="Arial"/>
          <w:szCs w:val="16"/>
        </w:rPr>
        <w:t xml:space="preserve"> </w:t>
      </w:r>
      <w:r w:rsidR="00904A73" w:rsidRPr="00245165">
        <w:rPr>
          <w:rFonts w:cs="Arial"/>
          <w:szCs w:val="16"/>
          <w:lang w:val="en-GB"/>
        </w:rPr>
        <w:t xml:space="preserve">For more information, please refer to the </w:t>
      </w:r>
      <w:r w:rsidRPr="0033615D">
        <w:rPr>
          <w:rFonts w:cs="Arial"/>
          <w:szCs w:val="16"/>
          <w:lang w:val="en-GB"/>
        </w:rPr>
        <w:t xml:space="preserve">EITI </w:t>
      </w:r>
      <w:r w:rsidR="00904A73" w:rsidRPr="0033615D">
        <w:rPr>
          <w:rFonts w:cs="Arial"/>
          <w:szCs w:val="16"/>
          <w:lang w:val="en-GB"/>
        </w:rPr>
        <w:t>Guidance on the sale of the state's share of production or other revenues collected in kind (</w:t>
      </w:r>
      <w:r w:rsidR="0033615D" w:rsidRPr="0033615D">
        <w:rPr>
          <w:rFonts w:cs="Arial"/>
          <w:szCs w:val="16"/>
          <w:lang w:val="en-GB"/>
        </w:rPr>
        <w:t xml:space="preserve">Requirement </w:t>
      </w:r>
      <w:r w:rsidR="00904A73" w:rsidRPr="0033615D">
        <w:rPr>
          <w:rFonts w:cs="Arial"/>
          <w:szCs w:val="16"/>
          <w:lang w:val="en-GB"/>
        </w:rPr>
        <w:t xml:space="preserve">4.2), including commodity trading: </w:t>
      </w:r>
      <w:hyperlink r:id="rId1" w:history="1">
        <w:r w:rsidR="00A27323">
          <w:rPr>
            <w:rStyle w:val="Hyperlink"/>
            <w:rFonts w:cs="Arial"/>
            <w:szCs w:val="16"/>
            <w:lang w:val="en-GB"/>
          </w:rPr>
          <w:t>https://eiti.org/guidance-notes/reporting-guidelines-companies-buying-oil-gas-and-minerals-governments</w:t>
        </w:r>
      </w:hyperlink>
    </w:p>
  </w:footnote>
  <w:footnote w:id="3">
    <w:p w14:paraId="7904BF2A" w14:textId="19AA0936" w:rsidR="00CB5EB0" w:rsidRPr="00245165" w:rsidRDefault="00CB5EB0" w:rsidP="0033615D">
      <w:pPr>
        <w:pStyle w:val="FootnoteText"/>
        <w:rPr>
          <w:rFonts w:cs="Arial"/>
          <w:szCs w:val="16"/>
          <w:lang w:val="en-GB"/>
        </w:rPr>
      </w:pPr>
      <w:r w:rsidRPr="0033615D">
        <w:rPr>
          <w:rStyle w:val="FootnoteReference"/>
          <w:rFonts w:cs="Arial"/>
          <w:szCs w:val="16"/>
        </w:rPr>
        <w:footnoteRef/>
      </w:r>
      <w:r w:rsidRPr="0033615D">
        <w:rPr>
          <w:rFonts w:cs="Arial"/>
          <w:szCs w:val="16"/>
        </w:rPr>
        <w:t xml:space="preserve"> </w:t>
      </w:r>
      <w:r w:rsidR="0033615D" w:rsidRPr="00245165">
        <w:rPr>
          <w:rFonts w:cs="Arial"/>
          <w:szCs w:val="16"/>
          <w:lang w:val="en-GB"/>
        </w:rPr>
        <w:t>For more information, please refer to the Guidance on infrastructure provisions and barter arrangements (</w:t>
      </w:r>
      <w:r w:rsidR="0033615D" w:rsidRPr="0033615D">
        <w:rPr>
          <w:rFonts w:cs="Arial"/>
          <w:szCs w:val="16"/>
          <w:lang w:val="en-GB"/>
        </w:rPr>
        <w:t xml:space="preserve">Requirement </w:t>
      </w:r>
      <w:r w:rsidR="0033615D" w:rsidRPr="00245165">
        <w:rPr>
          <w:rFonts w:cs="Arial"/>
          <w:szCs w:val="16"/>
          <w:lang w:val="en-GB"/>
        </w:rPr>
        <w:t>4.3)</w:t>
      </w:r>
      <w:r w:rsidR="00930BD9" w:rsidRPr="0033615D">
        <w:rPr>
          <w:rFonts w:cs="Arial"/>
          <w:szCs w:val="16"/>
          <w:lang w:val="en-GB"/>
        </w:rPr>
        <w:t xml:space="preserve">: </w:t>
      </w:r>
      <w:hyperlink r:id="rId2" w:history="1">
        <w:r w:rsidR="00D07DAC">
          <w:rPr>
            <w:rStyle w:val="Hyperlink"/>
            <w:rFonts w:cs="Arial"/>
            <w:szCs w:val="16"/>
          </w:rPr>
          <w:t>https://eiti.org/guidance-notes/infrastructure-provisions-and-barter-arrangements</w:t>
        </w:r>
      </w:hyperlink>
    </w:p>
  </w:footnote>
  <w:footnote w:id="4">
    <w:p w14:paraId="6B7A8A73" w14:textId="16740343" w:rsidR="006B0125" w:rsidRPr="005A54F9" w:rsidRDefault="006B0125" w:rsidP="0033615D">
      <w:pPr>
        <w:pStyle w:val="FootnoteText"/>
        <w:rPr>
          <w:rFonts w:cs="Arial"/>
          <w:szCs w:val="16"/>
          <w:lang w:val="en-GB"/>
        </w:rPr>
      </w:pPr>
      <w:r w:rsidRPr="005A54F9">
        <w:rPr>
          <w:rStyle w:val="FootnoteReference"/>
          <w:rFonts w:cs="Arial"/>
          <w:szCs w:val="16"/>
        </w:rPr>
        <w:footnoteRef/>
      </w:r>
      <w:r w:rsidRPr="005A54F9">
        <w:rPr>
          <w:rFonts w:cs="Arial"/>
          <w:szCs w:val="16"/>
        </w:rPr>
        <w:t xml:space="preserve"> </w:t>
      </w:r>
      <w:r w:rsidR="0033615D" w:rsidRPr="005A54F9">
        <w:rPr>
          <w:rFonts w:cs="Arial"/>
          <w:szCs w:val="16"/>
          <w:lang w:val="en-GB"/>
        </w:rPr>
        <w:t xml:space="preserve">For more information, please refer to the </w:t>
      </w:r>
      <w:r w:rsidRPr="005A54F9">
        <w:rPr>
          <w:rFonts w:cs="Arial"/>
          <w:szCs w:val="16"/>
          <w:lang w:val="en-GB"/>
        </w:rPr>
        <w:t>EITI</w:t>
      </w:r>
      <w:r w:rsidR="0033615D" w:rsidRPr="005A54F9">
        <w:rPr>
          <w:rFonts w:cs="Arial"/>
          <w:szCs w:val="16"/>
          <w:lang w:val="en-GB"/>
        </w:rPr>
        <w:t xml:space="preserve"> Guidance on transportation revenues (Requirement 4.4)</w:t>
      </w:r>
      <w:r w:rsidR="00930BD9" w:rsidRPr="005A54F9">
        <w:rPr>
          <w:rFonts w:cs="Arial"/>
          <w:szCs w:val="16"/>
          <w:lang w:val="en-GB"/>
        </w:rPr>
        <w:t xml:space="preserve">: </w:t>
      </w:r>
      <w:hyperlink r:id="rId3" w:history="1">
        <w:r w:rsidR="00D07DAC" w:rsidRPr="005A54F9">
          <w:rPr>
            <w:rStyle w:val="Hyperlink"/>
            <w:rFonts w:cs="Arial"/>
            <w:szCs w:val="16"/>
          </w:rPr>
          <w:t>https://eiti.org/guidance-notes/transportation-revenues</w:t>
        </w:r>
      </w:hyperlink>
    </w:p>
  </w:footnote>
  <w:footnote w:id="5">
    <w:p w14:paraId="2B3FEBFE" w14:textId="7603AF0A" w:rsidR="00A234BC" w:rsidRPr="005A54F9" w:rsidRDefault="00A234BC">
      <w:pPr>
        <w:pStyle w:val="FootnoteText"/>
      </w:pPr>
      <w:r w:rsidRPr="005A54F9">
        <w:rPr>
          <w:rStyle w:val="FootnoteReference"/>
        </w:rPr>
        <w:footnoteRef/>
      </w:r>
      <w:r w:rsidRPr="005A54F9">
        <w:t xml:space="preserve"> Petroleum </w:t>
      </w:r>
      <w:r w:rsidR="00C730BD" w:rsidRPr="005A54F9">
        <w:rPr>
          <w:lang w:val="en-GB"/>
        </w:rPr>
        <w:t xml:space="preserve">licence </w:t>
      </w:r>
      <w:r w:rsidRPr="005A54F9">
        <w:t xml:space="preserve">fees and the OGA </w:t>
      </w:r>
      <w:r w:rsidR="00C730BD" w:rsidRPr="005A54F9">
        <w:rPr>
          <w:lang w:val="en-GB"/>
        </w:rPr>
        <w:t>L</w:t>
      </w:r>
      <w:r w:rsidRPr="005A54F9">
        <w:t>evy were disclosed unilaterally by the</w:t>
      </w:r>
      <w:r w:rsidR="00CC5450" w:rsidRPr="005A54F9">
        <w:rPr>
          <w:lang w:val="en-GB"/>
        </w:rPr>
        <w:t xml:space="preserve"> </w:t>
      </w:r>
      <w:r w:rsidRPr="005A54F9">
        <w:t>NSTA.</w:t>
      </w:r>
    </w:p>
  </w:footnote>
  <w:footnote w:id="6">
    <w:p w14:paraId="60A89F21" w14:textId="77777777" w:rsidR="0065619A" w:rsidRPr="00FA484C" w:rsidRDefault="0065619A" w:rsidP="00FA484C">
      <w:pPr>
        <w:pStyle w:val="FootnoteText"/>
        <w:keepLines/>
        <w:rPr>
          <w:rFonts w:cs="Arial"/>
          <w:szCs w:val="16"/>
          <w:lang w:val="en-GB"/>
        </w:rPr>
      </w:pPr>
      <w:r w:rsidRPr="00FA484C">
        <w:rPr>
          <w:rStyle w:val="FootnoteReference"/>
          <w:rFonts w:cs="Arial"/>
          <w:szCs w:val="16"/>
          <w:lang w:val="en-GB"/>
        </w:rPr>
        <w:footnoteRef/>
      </w:r>
      <w:r w:rsidRPr="00FA484C">
        <w:rPr>
          <w:rFonts w:cs="Arial"/>
          <w:szCs w:val="16"/>
          <w:lang w:val="en-GB"/>
        </w:rPr>
        <w:t xml:space="preserve"> </w:t>
      </w:r>
      <w:hyperlink r:id="rId4" w:history="1">
        <w:r w:rsidRPr="00FA484C">
          <w:rPr>
            <w:rStyle w:val="Hyperlink"/>
            <w:rFonts w:cs="Arial"/>
            <w:szCs w:val="16"/>
            <w:lang w:val="en-GB"/>
          </w:rPr>
          <w:t>http://www.legislation.gov.uk/uksi/2014/3209/contents/made</w:t>
        </w:r>
      </w:hyperlink>
    </w:p>
  </w:footnote>
  <w:footnote w:id="7">
    <w:p w14:paraId="53A25A16" w14:textId="756B7D49" w:rsidR="00740EFD" w:rsidRPr="00FA484C" w:rsidRDefault="00AE2916" w:rsidP="00FA484C">
      <w:pPr>
        <w:pStyle w:val="FootnoteText"/>
        <w:rPr>
          <w:szCs w:val="16"/>
          <w:lang w:val="en-GB"/>
        </w:rPr>
      </w:pPr>
      <w:r w:rsidRPr="00FA484C">
        <w:rPr>
          <w:rStyle w:val="FootnoteReference"/>
          <w:rFonts w:cs="Arial"/>
          <w:szCs w:val="16"/>
        </w:rPr>
        <w:footnoteRef/>
      </w:r>
      <w:r w:rsidRPr="00FA484C">
        <w:rPr>
          <w:rFonts w:cs="Arial"/>
          <w:szCs w:val="16"/>
        </w:rPr>
        <w:t xml:space="preserve"> </w:t>
      </w:r>
      <w:hyperlink r:id="rId5" w:history="1">
        <w:r w:rsidR="00740EFD" w:rsidRPr="00FA484C">
          <w:rPr>
            <w:rStyle w:val="Hyperlink"/>
            <w:rFonts w:cs="Arial"/>
            <w:szCs w:val="16"/>
          </w:rPr>
          <w:t>https://www.gov.uk/government/consultations/eu-accounting-directive-smaller-companies-reporting</w:t>
        </w:r>
      </w:hyperlink>
    </w:p>
  </w:footnote>
  <w:footnote w:id="8">
    <w:p w14:paraId="5F68F6A7" w14:textId="77777777" w:rsidR="00FA484C" w:rsidRPr="00FA484C" w:rsidRDefault="00FA484C" w:rsidP="00FA484C">
      <w:pPr>
        <w:jc w:val="both"/>
        <w:rPr>
          <w:rFonts w:asciiTheme="minorBidi" w:hAnsiTheme="minorBidi" w:cstheme="minorBidi"/>
          <w:b/>
          <w:bCs/>
          <w:sz w:val="16"/>
          <w:shd w:val="clear" w:color="auto" w:fill="FFFFFF"/>
          <w14:ligatures w14:val="standardContextual"/>
        </w:rPr>
      </w:pPr>
      <w:r w:rsidRPr="00FA484C">
        <w:rPr>
          <w:rStyle w:val="FootnoteReference"/>
          <w:sz w:val="16"/>
        </w:rPr>
        <w:footnoteRef/>
      </w:r>
      <w:r w:rsidRPr="00FA484C">
        <w:rPr>
          <w:sz w:val="16"/>
        </w:rPr>
        <w:t xml:space="preserve"> </w:t>
      </w:r>
      <w:r w:rsidRPr="00FA484C">
        <w:rPr>
          <w:rFonts w:asciiTheme="minorBidi" w:hAnsiTheme="minorBidi" w:cstheme="minorBidi"/>
          <w:b/>
          <w:bCs/>
          <w:sz w:val="16"/>
          <w:shd w:val="clear" w:color="auto" w:fill="FFFFFF"/>
        </w:rPr>
        <w:t>(*) Terminology</w:t>
      </w:r>
    </w:p>
    <w:p w14:paraId="58CB4CE9" w14:textId="77777777" w:rsidR="00FA484C" w:rsidRPr="00FA484C" w:rsidRDefault="00FA484C" w:rsidP="00FA484C">
      <w:pPr>
        <w:pStyle w:val="Default"/>
        <w:jc w:val="both"/>
        <w:rPr>
          <w:rFonts w:asciiTheme="minorBidi" w:hAnsiTheme="minorBidi" w:cstheme="minorBidi"/>
          <w:sz w:val="16"/>
          <w:szCs w:val="16"/>
        </w:rPr>
      </w:pPr>
      <w:r w:rsidRPr="00FA484C">
        <w:rPr>
          <w:rFonts w:asciiTheme="minorBidi" w:hAnsiTheme="minorBidi" w:cstheme="minorBidi"/>
          <w:b/>
          <w:bCs/>
          <w:sz w:val="16"/>
          <w:szCs w:val="16"/>
        </w:rPr>
        <w:t>Mandatory requirements</w:t>
      </w:r>
      <w:r w:rsidRPr="00FA484C">
        <w:rPr>
          <w:rFonts w:asciiTheme="minorBidi" w:hAnsiTheme="minorBidi" w:cstheme="minorBidi"/>
          <w:sz w:val="16"/>
          <w:szCs w:val="16"/>
        </w:rPr>
        <w:t xml:space="preserve">: The requirement is mandatory and will be </w:t>
      </w:r>
      <w:r w:rsidRPr="00FA484C">
        <w:rPr>
          <w:rFonts w:asciiTheme="minorBidi" w:hAnsiTheme="minorBidi" w:cstheme="minorBidi"/>
          <w:sz w:val="16"/>
          <w:szCs w:val="16"/>
        </w:rPr>
        <w:t>taken into account in the assessment of progress in meeting the EITI Standard.</w:t>
      </w:r>
    </w:p>
    <w:p w14:paraId="0A527205" w14:textId="77777777" w:rsidR="00FA484C" w:rsidRPr="00FA484C" w:rsidRDefault="00FA484C" w:rsidP="00FA484C">
      <w:pPr>
        <w:pStyle w:val="Default"/>
        <w:jc w:val="both"/>
        <w:rPr>
          <w:rFonts w:asciiTheme="minorBidi" w:hAnsiTheme="minorBidi" w:cstheme="minorBidi"/>
          <w:sz w:val="16"/>
          <w:szCs w:val="16"/>
        </w:rPr>
      </w:pPr>
      <w:r w:rsidRPr="00FA484C">
        <w:rPr>
          <w:rFonts w:asciiTheme="minorBidi" w:hAnsiTheme="minorBidi" w:cstheme="minorBidi"/>
          <w:b/>
          <w:bCs/>
          <w:sz w:val="16"/>
          <w:szCs w:val="16"/>
        </w:rPr>
        <w:t>Expected requirements</w:t>
      </w:r>
      <w:r w:rsidRPr="00FA484C">
        <w:rPr>
          <w:rFonts w:asciiTheme="minorBidi" w:hAnsiTheme="minorBidi" w:cstheme="minorBidi"/>
          <w:sz w:val="16"/>
          <w:szCs w:val="16"/>
        </w:rPr>
        <w:t>: The MSG should consider the issue and document its discussions, the rationale for disclosure/non-disclosure and any barriers to disclosure. Validation will consider and document the discussions by the MSG.</w:t>
      </w:r>
    </w:p>
    <w:p w14:paraId="17ECE876" w14:textId="77777777" w:rsidR="00FA484C" w:rsidRPr="00FA484C" w:rsidRDefault="00FA484C" w:rsidP="00FA484C">
      <w:pPr>
        <w:pStyle w:val="Default"/>
        <w:jc w:val="both"/>
        <w:rPr>
          <w:rFonts w:asciiTheme="minorBidi" w:hAnsiTheme="minorBidi" w:cstheme="minorBidi"/>
          <w:sz w:val="16"/>
          <w:szCs w:val="16"/>
        </w:rPr>
      </w:pPr>
      <w:r w:rsidRPr="00FA484C">
        <w:rPr>
          <w:rFonts w:asciiTheme="minorBidi" w:hAnsiTheme="minorBidi" w:cstheme="minorBidi"/>
          <w:b/>
          <w:bCs/>
          <w:sz w:val="16"/>
          <w:szCs w:val="16"/>
        </w:rPr>
        <w:t>Encouraged requirements</w:t>
      </w:r>
      <w:r w:rsidRPr="00FA484C">
        <w:rPr>
          <w:rFonts w:asciiTheme="minorBidi" w:hAnsiTheme="minorBidi" w:cstheme="minorBidi"/>
          <w:sz w:val="16"/>
          <w:szCs w:val="16"/>
        </w:rPr>
        <w:t>: The requirement is optional. Efforts by the MSG will be documented in Validation but will not be taken into account in the overall assessment of progress in meeting the EITI Standard.</w:t>
      </w:r>
    </w:p>
    <w:p w14:paraId="30852C84" w14:textId="769EA4A5" w:rsidR="00FA484C" w:rsidRPr="00FA484C" w:rsidRDefault="00FA484C">
      <w:pPr>
        <w:pStyle w:val="FootnoteText"/>
        <w:rPr>
          <w:lang w:val="en-GB"/>
        </w:rPr>
      </w:pPr>
    </w:p>
  </w:footnote>
  <w:footnote w:id="9">
    <w:p w14:paraId="5B5EB94D" w14:textId="77777777" w:rsidR="00CA4014" w:rsidRPr="00503734" w:rsidRDefault="00CA4014" w:rsidP="00CA4014">
      <w:pPr>
        <w:pStyle w:val="FootnoteText"/>
        <w:rPr>
          <w:rFonts w:asciiTheme="minorBidi" w:hAnsiTheme="minorBidi" w:cstheme="minorBidi"/>
          <w:szCs w:val="16"/>
        </w:rPr>
      </w:pPr>
      <w:r w:rsidRPr="00503734">
        <w:rPr>
          <w:rStyle w:val="FootnoteReference"/>
          <w:rFonts w:asciiTheme="minorBidi" w:hAnsiTheme="minorBidi" w:cstheme="minorBidi"/>
          <w:szCs w:val="16"/>
        </w:rPr>
        <w:footnoteRef/>
      </w:r>
      <w:r w:rsidRPr="00503734">
        <w:rPr>
          <w:rFonts w:asciiTheme="minorBidi" w:hAnsiTheme="minorBidi" w:cstheme="minorBidi"/>
          <w:szCs w:val="16"/>
        </w:rPr>
        <w:t xml:space="preserve"> NEO Energy Upstream UK Limited acquired JX Nippon Exploration and Production (U.K.) Limited in March 2022. The latter is </w:t>
      </w:r>
    </w:p>
    <w:p w14:paraId="2F33DAF9" w14:textId="7D01C175" w:rsidR="00CA4014" w:rsidRPr="00503734" w:rsidRDefault="004677FA" w:rsidP="00CA4014">
      <w:pPr>
        <w:pStyle w:val="FootnoteText"/>
        <w:rPr>
          <w:rFonts w:asciiTheme="minorBidi" w:hAnsiTheme="minorBidi" w:cstheme="minorBidi"/>
          <w:szCs w:val="16"/>
        </w:rPr>
      </w:pPr>
      <w:r>
        <w:rPr>
          <w:rFonts w:asciiTheme="minorBidi" w:hAnsiTheme="minorBidi" w:cstheme="minorBidi"/>
          <w:szCs w:val="16"/>
        </w:rPr>
        <w:t xml:space="preserve">thus </w:t>
      </w:r>
      <w:r w:rsidR="00CA4014" w:rsidRPr="00503734">
        <w:rPr>
          <w:rFonts w:asciiTheme="minorBidi" w:hAnsiTheme="minorBidi" w:cstheme="minorBidi"/>
          <w:szCs w:val="16"/>
        </w:rPr>
        <w:t>excluded from the list of in-scope companies.</w:t>
      </w:r>
    </w:p>
  </w:footnote>
  <w:footnote w:id="10">
    <w:p w14:paraId="552AF8D3" w14:textId="77777777" w:rsidR="0065619A" w:rsidRPr="005462B8" w:rsidRDefault="0065619A" w:rsidP="00930BD9">
      <w:pPr>
        <w:pStyle w:val="FootnoteText"/>
        <w:keepLines/>
        <w:jc w:val="both"/>
        <w:rPr>
          <w:rFonts w:cs="Arial"/>
          <w:szCs w:val="16"/>
          <w:lang w:val="en-GB"/>
        </w:rPr>
      </w:pPr>
      <w:r w:rsidRPr="005462B8">
        <w:rPr>
          <w:rStyle w:val="FootnoteReference"/>
          <w:rFonts w:cs="Arial"/>
          <w:szCs w:val="16"/>
          <w:lang w:val="en-GB"/>
        </w:rPr>
        <w:footnoteRef/>
      </w:r>
      <w:r w:rsidRPr="005462B8">
        <w:rPr>
          <w:rFonts w:cs="Arial"/>
          <w:szCs w:val="16"/>
          <w:lang w:val="en-GB"/>
        </w:rPr>
        <w:t xml:space="preserve"> </w:t>
      </w:r>
      <w:hyperlink r:id="rId6" w:history="1">
        <w:r w:rsidRPr="005462B8">
          <w:rPr>
            <w:rStyle w:val="Hyperlink"/>
            <w:rFonts w:cs="Arial"/>
            <w:szCs w:val="16"/>
            <w:lang w:val="en-GB"/>
          </w:rPr>
          <w:t>http://www.legislation.gov.uk/ukpga/2015/26/contents/enacted</w:t>
        </w:r>
      </w:hyperlink>
    </w:p>
  </w:footnote>
  <w:footnote w:id="11">
    <w:p w14:paraId="6C989F40" w14:textId="1C95493D" w:rsidR="0065619A" w:rsidRPr="002B00F8" w:rsidRDefault="0065619A" w:rsidP="00930BD9">
      <w:pPr>
        <w:pStyle w:val="FootnoteText"/>
        <w:keepLines/>
        <w:jc w:val="both"/>
        <w:rPr>
          <w:rFonts w:cs="Arial"/>
          <w:sz w:val="20"/>
          <w:lang w:val="en-GB"/>
        </w:rPr>
      </w:pPr>
      <w:r w:rsidRPr="005462B8">
        <w:rPr>
          <w:rStyle w:val="FootnoteReference"/>
          <w:rFonts w:cs="Arial"/>
          <w:szCs w:val="16"/>
          <w:lang w:val="en-GB"/>
        </w:rPr>
        <w:footnoteRef/>
      </w:r>
      <w:r w:rsidRPr="005462B8">
        <w:rPr>
          <w:rFonts w:cs="Arial"/>
          <w:szCs w:val="16"/>
          <w:lang w:val="en-GB"/>
        </w:rPr>
        <w:t xml:space="preserve"> </w:t>
      </w:r>
      <w:hyperlink r:id="rId7" w:history="1">
        <w:r w:rsidR="00F7580D" w:rsidRPr="00697BF9">
          <w:rPr>
            <w:rStyle w:val="Hyperlink"/>
            <w:rFonts w:cs="Arial"/>
            <w:szCs w:val="16"/>
          </w:rPr>
          <w:t>http://download.companieshouse.gov.uk/en_pscdata.html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A081" w14:textId="10FB463C" w:rsidR="00E56F94" w:rsidRPr="002376F3" w:rsidRDefault="00412182" w:rsidP="00412182">
    <w:pPr>
      <w:pStyle w:val="Header"/>
      <w:jc w:val="right"/>
      <w:rPr>
        <w:color w:val="4F81BD" w:themeColor="accent1"/>
        <w:sz w:val="20"/>
        <w:szCs w:val="12"/>
      </w:rPr>
    </w:pPr>
    <w:r>
      <w:rPr>
        <w:color w:val="4F81BD" w:themeColor="accent1"/>
        <w:sz w:val="20"/>
        <w:szCs w:val="12"/>
      </w:rPr>
      <w:t xml:space="preserve">Approach and Methodology for Payments </w:t>
    </w:r>
    <w:r w:rsidRPr="005D6326">
      <w:rPr>
        <w:color w:val="4F81BD" w:themeColor="accent1"/>
        <w:sz w:val="20"/>
        <w:szCs w:val="12"/>
      </w:rPr>
      <w:t>Report</w:t>
    </w:r>
    <w:r w:rsidR="00E774C7">
      <w:rPr>
        <w:color w:val="4F81BD" w:themeColor="accent1"/>
        <w:sz w:val="20"/>
        <w:szCs w:val="12"/>
      </w:rPr>
      <w:t xml:space="preserve"> for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FC25" w14:textId="77777777" w:rsidR="00E8273F" w:rsidRPr="00271472" w:rsidRDefault="00E8273F" w:rsidP="00E8273F">
    <w:bookmarkStart w:id="2" w:name="_Toc138246072"/>
    <w:bookmarkStart w:id="3" w:name="_Toc138249836"/>
    <w:bookmarkStart w:id="4" w:name="_Toc138345776"/>
    <w:bookmarkStart w:id="5" w:name="_Toc171595548"/>
    <w:r w:rsidRPr="00271472">
      <w:rPr>
        <w:noProof/>
      </w:rPr>
      <w:drawing>
        <wp:anchor distT="0" distB="0" distL="114300" distR="114300" simplePos="0" relativeHeight="251661313" behindDoc="0" locked="0" layoutInCell="1" allowOverlap="1" wp14:anchorId="3FFDDFF9" wp14:editId="098626B5">
          <wp:simplePos x="0" y="0"/>
          <wp:positionH relativeFrom="column">
            <wp:posOffset>4138295</wp:posOffset>
          </wp:positionH>
          <wp:positionV relativeFrom="paragraph">
            <wp:posOffset>-83820</wp:posOffset>
          </wp:positionV>
          <wp:extent cx="1577340" cy="680085"/>
          <wp:effectExtent l="0" t="0" r="3810" b="5715"/>
          <wp:wrapNone/>
          <wp:docPr id="1625121183" name="Picture 16251211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7340" cy="680085"/>
                  </a:xfrm>
                  <a:prstGeom prst="rect">
                    <a:avLst/>
                  </a:prstGeom>
                  <a:noFill/>
                  <a:ln>
                    <a:noFill/>
                  </a:ln>
                </pic:spPr>
              </pic:pic>
            </a:graphicData>
          </a:graphic>
        </wp:anchor>
      </w:drawing>
    </w:r>
    <w:r w:rsidRPr="00271472">
      <w:rPr>
        <w:noProof/>
      </w:rPr>
      <w:drawing>
        <wp:anchor distT="0" distB="0" distL="114300" distR="114300" simplePos="0" relativeHeight="251660289" behindDoc="0" locked="0" layoutInCell="1" allowOverlap="1" wp14:anchorId="7A8799A9" wp14:editId="3F1ED32B">
          <wp:simplePos x="0" y="0"/>
          <wp:positionH relativeFrom="column">
            <wp:posOffset>0</wp:posOffset>
          </wp:positionH>
          <wp:positionV relativeFrom="paragraph">
            <wp:posOffset>-83366</wp:posOffset>
          </wp:positionV>
          <wp:extent cx="1295400" cy="746760"/>
          <wp:effectExtent l="0" t="0" r="0" b="0"/>
          <wp:wrapNone/>
          <wp:docPr id="475460674" name="Picture 47546067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5400" cy="746760"/>
                  </a:xfrm>
                  <a:prstGeom prst="rect">
                    <a:avLst/>
                  </a:prstGeom>
                  <a:noFill/>
                  <a:ln>
                    <a:noFill/>
                  </a:ln>
                </pic:spPr>
              </pic:pic>
            </a:graphicData>
          </a:graphic>
          <wp14:sizeRelH relativeFrom="margin">
            <wp14:pctWidth>0</wp14:pctWidth>
          </wp14:sizeRelH>
        </wp:anchor>
      </w:drawing>
    </w:r>
    <w:bookmarkEnd w:id="2"/>
    <w:bookmarkEnd w:id="3"/>
    <w:bookmarkEnd w:id="4"/>
    <w:bookmarkEnd w:id="5"/>
  </w:p>
  <w:p w14:paraId="3ABE84FF" w14:textId="07BB58C4" w:rsidR="00E56F94" w:rsidRPr="005D6326" w:rsidRDefault="00E56F94" w:rsidP="00E56F94">
    <w:pPr>
      <w:pStyle w:val="Header"/>
      <w:jc w:val="right"/>
      <w:rPr>
        <w:color w:val="4F81BD" w:themeColor="accent1"/>
        <w:sz w:val="2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B33A" w14:textId="4A92B4A9" w:rsidR="00E8273F" w:rsidRPr="005D6326" w:rsidRDefault="00E8273F" w:rsidP="00E8273F">
    <w:pPr>
      <w:pStyle w:val="Header"/>
      <w:jc w:val="right"/>
      <w:rPr>
        <w:color w:val="4F81BD" w:themeColor="accent1"/>
        <w:sz w:val="20"/>
        <w:szCs w:val="12"/>
      </w:rPr>
    </w:pPr>
    <w:r>
      <w:rPr>
        <w:color w:val="4F81BD" w:themeColor="accent1"/>
        <w:sz w:val="20"/>
        <w:szCs w:val="12"/>
      </w:rPr>
      <w:t xml:space="preserve">Approach and Methodology for Payments </w:t>
    </w:r>
    <w:r w:rsidRPr="005D6326">
      <w:rPr>
        <w:color w:val="4F81BD" w:themeColor="accent1"/>
        <w:sz w:val="20"/>
        <w:szCs w:val="12"/>
      </w:rPr>
      <w:t>Report</w:t>
    </w:r>
    <w:r>
      <w:rPr>
        <w:color w:val="4F81BD" w:themeColor="accent1"/>
        <w:sz w:val="20"/>
        <w:szCs w:val="12"/>
      </w:rPr>
      <w:t xml:space="preserve"> for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5E4006"/>
    <w:multiLevelType w:val="hybridMultilevel"/>
    <w:tmpl w:val="E61C5CB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6E2C5B"/>
    <w:multiLevelType w:val="hybridMultilevel"/>
    <w:tmpl w:val="6414ED3C"/>
    <w:lvl w:ilvl="0" w:tplc="94BEA11E">
      <w:start w:val="1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7D81060"/>
    <w:multiLevelType w:val="hybridMultilevel"/>
    <w:tmpl w:val="DA64D56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9837A4"/>
    <w:multiLevelType w:val="multilevel"/>
    <w:tmpl w:val="F94C7C78"/>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3" w15:restartNumberingAfterBreak="0">
    <w:nsid w:val="130C573E"/>
    <w:multiLevelType w:val="multilevel"/>
    <w:tmpl w:val="5DF627E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4D5A32"/>
    <w:multiLevelType w:val="multilevel"/>
    <w:tmpl w:val="F74CBA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557D6D"/>
    <w:multiLevelType w:val="multilevel"/>
    <w:tmpl w:val="24ECFBA2"/>
    <w:lvl w:ilvl="0">
      <w:start w:val="2"/>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6" w15:restartNumberingAfterBreak="0">
    <w:nsid w:val="1BBF332C"/>
    <w:multiLevelType w:val="multilevel"/>
    <w:tmpl w:val="822EA83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21C3A65"/>
    <w:multiLevelType w:val="hybridMultilevel"/>
    <w:tmpl w:val="3FFC0C42"/>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3"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24" w15:restartNumberingAfterBreak="0">
    <w:nsid w:val="2D0019FA"/>
    <w:multiLevelType w:val="hybridMultilevel"/>
    <w:tmpl w:val="69B22806"/>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EB48AC"/>
    <w:multiLevelType w:val="hybridMultilevel"/>
    <w:tmpl w:val="7E40F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2F4E08"/>
    <w:multiLevelType w:val="hybridMultilevel"/>
    <w:tmpl w:val="AD58A1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3" w15:restartNumberingAfterBreak="0">
    <w:nsid w:val="47DE4D35"/>
    <w:multiLevelType w:val="multilevel"/>
    <w:tmpl w:val="159AF480"/>
    <w:lvl w:ilvl="0">
      <w:start w:val="1"/>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4"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8"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9"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D5B30C2"/>
    <w:multiLevelType w:val="hybridMultilevel"/>
    <w:tmpl w:val="F3023F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4B587C"/>
    <w:multiLevelType w:val="multilevel"/>
    <w:tmpl w:val="62F84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46" w15:restartNumberingAfterBreak="0">
    <w:nsid w:val="66B14F88"/>
    <w:multiLevelType w:val="hybridMultilevel"/>
    <w:tmpl w:val="C680A1DC"/>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A627B54"/>
    <w:multiLevelType w:val="hybridMultilevel"/>
    <w:tmpl w:val="EC7A8324"/>
    <w:lvl w:ilvl="0" w:tplc="15F0F6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D7EEB"/>
    <w:multiLevelType w:val="hybridMultilevel"/>
    <w:tmpl w:val="9B38434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944BE0"/>
    <w:multiLevelType w:val="hybridMultilevel"/>
    <w:tmpl w:val="F6EED1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9C36E6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16cid:durableId="909384833">
    <w:abstractNumId w:val="53"/>
  </w:num>
  <w:num w:numId="2" w16cid:durableId="1577399883">
    <w:abstractNumId w:val="52"/>
  </w:num>
  <w:num w:numId="3" w16cid:durableId="896091473">
    <w:abstractNumId w:val="21"/>
  </w:num>
  <w:num w:numId="4" w16cid:durableId="1588687599">
    <w:abstractNumId w:val="1"/>
  </w:num>
  <w:num w:numId="5" w16cid:durableId="371536721">
    <w:abstractNumId w:val="45"/>
  </w:num>
  <w:num w:numId="6" w16cid:durableId="180359473">
    <w:abstractNumId w:val="37"/>
  </w:num>
  <w:num w:numId="7" w16cid:durableId="1183781564">
    <w:abstractNumId w:val="31"/>
  </w:num>
  <w:num w:numId="8" w16cid:durableId="836724674">
    <w:abstractNumId w:val="22"/>
  </w:num>
  <w:num w:numId="9" w16cid:durableId="1297951124">
    <w:abstractNumId w:val="11"/>
  </w:num>
  <w:num w:numId="10" w16cid:durableId="1490631243">
    <w:abstractNumId w:val="27"/>
  </w:num>
  <w:num w:numId="11" w16cid:durableId="1746026049">
    <w:abstractNumId w:val="19"/>
  </w:num>
  <w:num w:numId="12" w16cid:durableId="1800219991">
    <w:abstractNumId w:val="23"/>
  </w:num>
  <w:num w:numId="13" w16cid:durableId="1747995673">
    <w:abstractNumId w:val="9"/>
    <w:lvlOverride w:ilvl="0">
      <w:lvl w:ilvl="0">
        <w:start w:val="1"/>
        <w:numFmt w:val="decimal"/>
        <w:lvlText w:val="%1."/>
        <w:lvlJc w:val="left"/>
        <w:pPr>
          <w:ind w:left="360" w:hanging="360"/>
        </w:pPr>
        <w:rPr>
          <w:rFonts w:ascii="Trebuchet MS" w:hAnsi="Trebuchet MS" w:hint="default"/>
          <w:color w:val="17365D" w:themeColor="text2" w:themeShade="BF"/>
          <w:sz w:val="32"/>
          <w:szCs w:val="40"/>
        </w:rPr>
      </w:lvl>
    </w:lvlOverride>
  </w:num>
  <w:num w:numId="14" w16cid:durableId="1078088332">
    <w:abstractNumId w:val="29"/>
  </w:num>
  <w:num w:numId="15" w16cid:durableId="1264533748">
    <w:abstractNumId w:val="9"/>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55633090">
    <w:abstractNumId w:val="17"/>
  </w:num>
  <w:num w:numId="17" w16cid:durableId="141577987">
    <w:abstractNumId w:val="26"/>
  </w:num>
  <w:num w:numId="18" w16cid:durableId="1011764165">
    <w:abstractNumId w:val="14"/>
  </w:num>
  <w:num w:numId="19" w16cid:durableId="2108580417">
    <w:abstractNumId w:val="16"/>
  </w:num>
  <w:num w:numId="20" w16cid:durableId="226575668">
    <w:abstractNumId w:val="41"/>
  </w:num>
  <w:num w:numId="21" w16cid:durableId="891578699">
    <w:abstractNumId w:val="35"/>
  </w:num>
  <w:num w:numId="22" w16cid:durableId="288249493">
    <w:abstractNumId w:val="49"/>
  </w:num>
  <w:num w:numId="23" w16cid:durableId="174000544">
    <w:abstractNumId w:val="18"/>
  </w:num>
  <w:num w:numId="24" w16cid:durableId="1437561331">
    <w:abstractNumId w:val="43"/>
  </w:num>
  <w:num w:numId="25" w16cid:durableId="187528253">
    <w:abstractNumId w:val="10"/>
  </w:num>
  <w:num w:numId="26" w16cid:durableId="410389756">
    <w:abstractNumId w:val="8"/>
  </w:num>
  <w:num w:numId="27" w16cid:durableId="127474030">
    <w:abstractNumId w:val="5"/>
  </w:num>
  <w:num w:numId="28" w16cid:durableId="1335913877">
    <w:abstractNumId w:val="6"/>
  </w:num>
  <w:num w:numId="29" w16cid:durableId="691952424">
    <w:abstractNumId w:val="38"/>
  </w:num>
  <w:num w:numId="30" w16cid:durableId="700126375">
    <w:abstractNumId w:val="2"/>
  </w:num>
  <w:num w:numId="31" w16cid:durableId="375131906">
    <w:abstractNumId w:val="34"/>
  </w:num>
  <w:num w:numId="32" w16cid:durableId="570698680">
    <w:abstractNumId w:val="0"/>
  </w:num>
  <w:num w:numId="33" w16cid:durableId="657197023">
    <w:abstractNumId w:val="39"/>
  </w:num>
  <w:num w:numId="34" w16cid:durableId="1012877871">
    <w:abstractNumId w:val="28"/>
  </w:num>
  <w:num w:numId="35" w16cid:durableId="177279560">
    <w:abstractNumId w:val="36"/>
  </w:num>
  <w:num w:numId="36" w16cid:durableId="2098403747">
    <w:abstractNumId w:val="44"/>
  </w:num>
  <w:num w:numId="37" w16cid:durableId="399520599">
    <w:abstractNumId w:val="33"/>
  </w:num>
  <w:num w:numId="38" w16cid:durableId="635765776">
    <w:abstractNumId w:val="33"/>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16cid:durableId="245767443">
    <w:abstractNumId w:val="32"/>
  </w:num>
  <w:num w:numId="40" w16cid:durableId="486672516">
    <w:abstractNumId w:val="33"/>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16cid:durableId="294147045">
    <w:abstractNumId w:val="12"/>
  </w:num>
  <w:num w:numId="42" w16cid:durableId="1030954781">
    <w:abstractNumId w:val="51"/>
  </w:num>
  <w:num w:numId="43" w16cid:durableId="458111450">
    <w:abstractNumId w:val="42"/>
  </w:num>
  <w:num w:numId="44" w16cid:durableId="10532104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962156721">
    <w:abstractNumId w:val="13"/>
  </w:num>
  <w:num w:numId="46" w16cid:durableId="1611858170">
    <w:abstractNumId w:val="25"/>
  </w:num>
  <w:num w:numId="47" w16cid:durableId="1868105354">
    <w:abstractNumId w:val="20"/>
  </w:num>
  <w:num w:numId="48" w16cid:durableId="1718622615">
    <w:abstractNumId w:val="48"/>
  </w:num>
  <w:num w:numId="49" w16cid:durableId="1522280710">
    <w:abstractNumId w:val="7"/>
  </w:num>
  <w:num w:numId="50" w16cid:durableId="2042658782">
    <w:abstractNumId w:val="24"/>
  </w:num>
  <w:num w:numId="51" w16cid:durableId="2093696548">
    <w:abstractNumId w:val="46"/>
  </w:num>
  <w:num w:numId="52" w16cid:durableId="187105994">
    <w:abstractNumId w:val="3"/>
  </w:num>
  <w:num w:numId="53" w16cid:durableId="38558437">
    <w:abstractNumId w:val="50"/>
  </w:num>
  <w:num w:numId="54" w16cid:durableId="786002478">
    <w:abstractNumId w:val="30"/>
  </w:num>
  <w:num w:numId="55" w16cid:durableId="2018771817">
    <w:abstractNumId w:val="47"/>
  </w:num>
  <w:num w:numId="56" w16cid:durableId="942372601">
    <w:abstractNumId w:val="40"/>
  </w:num>
  <w:num w:numId="57" w16cid:durableId="714040645">
    <w:abstractNumId w:val="15"/>
  </w:num>
  <w:num w:numId="58" w16cid:durableId="604574896">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818"/>
    <w:rsid w:val="00000D95"/>
    <w:rsid w:val="000017FC"/>
    <w:rsid w:val="00001832"/>
    <w:rsid w:val="00001A7A"/>
    <w:rsid w:val="00004C38"/>
    <w:rsid w:val="00005314"/>
    <w:rsid w:val="00006060"/>
    <w:rsid w:val="000063B8"/>
    <w:rsid w:val="00006EBE"/>
    <w:rsid w:val="0000711F"/>
    <w:rsid w:val="00007A07"/>
    <w:rsid w:val="00007F77"/>
    <w:rsid w:val="00010331"/>
    <w:rsid w:val="00010816"/>
    <w:rsid w:val="000119A8"/>
    <w:rsid w:val="00011E34"/>
    <w:rsid w:val="00013A1F"/>
    <w:rsid w:val="00013E74"/>
    <w:rsid w:val="00015FBB"/>
    <w:rsid w:val="000165BA"/>
    <w:rsid w:val="000169D4"/>
    <w:rsid w:val="00016E4A"/>
    <w:rsid w:val="000178DE"/>
    <w:rsid w:val="000204AE"/>
    <w:rsid w:val="00020C4A"/>
    <w:rsid w:val="0002236D"/>
    <w:rsid w:val="00023039"/>
    <w:rsid w:val="00023EC4"/>
    <w:rsid w:val="00024A1B"/>
    <w:rsid w:val="000252AD"/>
    <w:rsid w:val="0002544E"/>
    <w:rsid w:val="00025A01"/>
    <w:rsid w:val="000266D2"/>
    <w:rsid w:val="000269D7"/>
    <w:rsid w:val="00026F67"/>
    <w:rsid w:val="00027422"/>
    <w:rsid w:val="000301D5"/>
    <w:rsid w:val="00030218"/>
    <w:rsid w:val="00030475"/>
    <w:rsid w:val="00030481"/>
    <w:rsid w:val="000309C3"/>
    <w:rsid w:val="00030C81"/>
    <w:rsid w:val="000311C3"/>
    <w:rsid w:val="000322ED"/>
    <w:rsid w:val="00032D2D"/>
    <w:rsid w:val="00033253"/>
    <w:rsid w:val="000337CA"/>
    <w:rsid w:val="00034091"/>
    <w:rsid w:val="000346F7"/>
    <w:rsid w:val="00034A5B"/>
    <w:rsid w:val="00034F68"/>
    <w:rsid w:val="0003579F"/>
    <w:rsid w:val="00035B15"/>
    <w:rsid w:val="0003601D"/>
    <w:rsid w:val="00036542"/>
    <w:rsid w:val="0004022A"/>
    <w:rsid w:val="000416CF"/>
    <w:rsid w:val="00041A96"/>
    <w:rsid w:val="000424EB"/>
    <w:rsid w:val="00043D58"/>
    <w:rsid w:val="00043D9F"/>
    <w:rsid w:val="00045097"/>
    <w:rsid w:val="000450A1"/>
    <w:rsid w:val="00045A08"/>
    <w:rsid w:val="00045B1F"/>
    <w:rsid w:val="00046704"/>
    <w:rsid w:val="00047EFB"/>
    <w:rsid w:val="000500F1"/>
    <w:rsid w:val="00050222"/>
    <w:rsid w:val="0005067B"/>
    <w:rsid w:val="00050AE9"/>
    <w:rsid w:val="00050E1D"/>
    <w:rsid w:val="00051385"/>
    <w:rsid w:val="000513A5"/>
    <w:rsid w:val="0005268E"/>
    <w:rsid w:val="00052B32"/>
    <w:rsid w:val="00052D78"/>
    <w:rsid w:val="00052EFA"/>
    <w:rsid w:val="000534F7"/>
    <w:rsid w:val="00053E31"/>
    <w:rsid w:val="0005487C"/>
    <w:rsid w:val="00056191"/>
    <w:rsid w:val="00056269"/>
    <w:rsid w:val="000562A7"/>
    <w:rsid w:val="000565B8"/>
    <w:rsid w:val="00056ADC"/>
    <w:rsid w:val="00056E43"/>
    <w:rsid w:val="00057D66"/>
    <w:rsid w:val="00060774"/>
    <w:rsid w:val="00062669"/>
    <w:rsid w:val="000629B7"/>
    <w:rsid w:val="000634EB"/>
    <w:rsid w:val="00063E95"/>
    <w:rsid w:val="00063F0C"/>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CB3"/>
    <w:rsid w:val="00073E57"/>
    <w:rsid w:val="00073FDF"/>
    <w:rsid w:val="00074500"/>
    <w:rsid w:val="00074D7D"/>
    <w:rsid w:val="00075832"/>
    <w:rsid w:val="00076027"/>
    <w:rsid w:val="00076568"/>
    <w:rsid w:val="00076750"/>
    <w:rsid w:val="00076C80"/>
    <w:rsid w:val="00076FD5"/>
    <w:rsid w:val="00077967"/>
    <w:rsid w:val="00077A96"/>
    <w:rsid w:val="00080945"/>
    <w:rsid w:val="00081138"/>
    <w:rsid w:val="00081645"/>
    <w:rsid w:val="000825DA"/>
    <w:rsid w:val="00083270"/>
    <w:rsid w:val="00083512"/>
    <w:rsid w:val="000836E8"/>
    <w:rsid w:val="00084E73"/>
    <w:rsid w:val="00085469"/>
    <w:rsid w:val="00085A4B"/>
    <w:rsid w:val="000863DD"/>
    <w:rsid w:val="00087590"/>
    <w:rsid w:val="00087EF2"/>
    <w:rsid w:val="0009077C"/>
    <w:rsid w:val="00090A95"/>
    <w:rsid w:val="00092F3C"/>
    <w:rsid w:val="000932E4"/>
    <w:rsid w:val="00093861"/>
    <w:rsid w:val="00093C8C"/>
    <w:rsid w:val="00094896"/>
    <w:rsid w:val="00094ACB"/>
    <w:rsid w:val="00095C97"/>
    <w:rsid w:val="00097E38"/>
    <w:rsid w:val="000A021F"/>
    <w:rsid w:val="000A094F"/>
    <w:rsid w:val="000A0E8D"/>
    <w:rsid w:val="000A118E"/>
    <w:rsid w:val="000A22AB"/>
    <w:rsid w:val="000A2C7A"/>
    <w:rsid w:val="000A3F77"/>
    <w:rsid w:val="000A49F3"/>
    <w:rsid w:val="000A4E1E"/>
    <w:rsid w:val="000A5D49"/>
    <w:rsid w:val="000A6F86"/>
    <w:rsid w:val="000A6F8F"/>
    <w:rsid w:val="000B0075"/>
    <w:rsid w:val="000B045B"/>
    <w:rsid w:val="000B1576"/>
    <w:rsid w:val="000B1B25"/>
    <w:rsid w:val="000B236F"/>
    <w:rsid w:val="000B282D"/>
    <w:rsid w:val="000B286B"/>
    <w:rsid w:val="000B4978"/>
    <w:rsid w:val="000B4CDB"/>
    <w:rsid w:val="000B4E79"/>
    <w:rsid w:val="000B5516"/>
    <w:rsid w:val="000B565F"/>
    <w:rsid w:val="000B5DB0"/>
    <w:rsid w:val="000B6D63"/>
    <w:rsid w:val="000B72C9"/>
    <w:rsid w:val="000B79B0"/>
    <w:rsid w:val="000C0F01"/>
    <w:rsid w:val="000C14A3"/>
    <w:rsid w:val="000C1E84"/>
    <w:rsid w:val="000C20A9"/>
    <w:rsid w:val="000C32AA"/>
    <w:rsid w:val="000C3A40"/>
    <w:rsid w:val="000C3BE0"/>
    <w:rsid w:val="000C4572"/>
    <w:rsid w:val="000C4D98"/>
    <w:rsid w:val="000C5D2A"/>
    <w:rsid w:val="000C68DD"/>
    <w:rsid w:val="000C706B"/>
    <w:rsid w:val="000C7DC2"/>
    <w:rsid w:val="000D00B7"/>
    <w:rsid w:val="000D09A5"/>
    <w:rsid w:val="000D1B33"/>
    <w:rsid w:val="000D1BF3"/>
    <w:rsid w:val="000D1FF5"/>
    <w:rsid w:val="000D2555"/>
    <w:rsid w:val="000D26CF"/>
    <w:rsid w:val="000D316E"/>
    <w:rsid w:val="000D37B4"/>
    <w:rsid w:val="000D3D5D"/>
    <w:rsid w:val="000D7424"/>
    <w:rsid w:val="000D7D9E"/>
    <w:rsid w:val="000E15A1"/>
    <w:rsid w:val="000E1B9D"/>
    <w:rsid w:val="000E1D4C"/>
    <w:rsid w:val="000E284F"/>
    <w:rsid w:val="000E3609"/>
    <w:rsid w:val="000E3E03"/>
    <w:rsid w:val="000E4273"/>
    <w:rsid w:val="000E47B4"/>
    <w:rsid w:val="000E5C6F"/>
    <w:rsid w:val="000E6274"/>
    <w:rsid w:val="000E6437"/>
    <w:rsid w:val="000E6E00"/>
    <w:rsid w:val="000E7763"/>
    <w:rsid w:val="000F00EA"/>
    <w:rsid w:val="000F1229"/>
    <w:rsid w:val="000F172E"/>
    <w:rsid w:val="000F45A6"/>
    <w:rsid w:val="000F4C73"/>
    <w:rsid w:val="000F6511"/>
    <w:rsid w:val="000F71E5"/>
    <w:rsid w:val="000F7245"/>
    <w:rsid w:val="00100203"/>
    <w:rsid w:val="00100309"/>
    <w:rsid w:val="00100893"/>
    <w:rsid w:val="00101B95"/>
    <w:rsid w:val="00101CB5"/>
    <w:rsid w:val="00102461"/>
    <w:rsid w:val="001034AF"/>
    <w:rsid w:val="00104419"/>
    <w:rsid w:val="00104DEE"/>
    <w:rsid w:val="0010556C"/>
    <w:rsid w:val="0010617D"/>
    <w:rsid w:val="00106493"/>
    <w:rsid w:val="0010712D"/>
    <w:rsid w:val="0010718D"/>
    <w:rsid w:val="00107504"/>
    <w:rsid w:val="00110821"/>
    <w:rsid w:val="001111BB"/>
    <w:rsid w:val="00111B8C"/>
    <w:rsid w:val="00111D45"/>
    <w:rsid w:val="00112539"/>
    <w:rsid w:val="00112E04"/>
    <w:rsid w:val="001130B7"/>
    <w:rsid w:val="00114BF6"/>
    <w:rsid w:val="00115882"/>
    <w:rsid w:val="00115AA9"/>
    <w:rsid w:val="0011625F"/>
    <w:rsid w:val="001162FE"/>
    <w:rsid w:val="00117B8F"/>
    <w:rsid w:val="0012114E"/>
    <w:rsid w:val="0012154B"/>
    <w:rsid w:val="00121E30"/>
    <w:rsid w:val="0012299E"/>
    <w:rsid w:val="00123223"/>
    <w:rsid w:val="001236C0"/>
    <w:rsid w:val="00124073"/>
    <w:rsid w:val="00124880"/>
    <w:rsid w:val="0012494E"/>
    <w:rsid w:val="001249BF"/>
    <w:rsid w:val="00124A09"/>
    <w:rsid w:val="00125E6B"/>
    <w:rsid w:val="001264BB"/>
    <w:rsid w:val="00126B9F"/>
    <w:rsid w:val="00127109"/>
    <w:rsid w:val="00127F8C"/>
    <w:rsid w:val="00130F1C"/>
    <w:rsid w:val="00132F81"/>
    <w:rsid w:val="00133506"/>
    <w:rsid w:val="0013362F"/>
    <w:rsid w:val="0013382A"/>
    <w:rsid w:val="00133D25"/>
    <w:rsid w:val="00134496"/>
    <w:rsid w:val="001347F6"/>
    <w:rsid w:val="00134A4A"/>
    <w:rsid w:val="00134AB2"/>
    <w:rsid w:val="00135699"/>
    <w:rsid w:val="00135B05"/>
    <w:rsid w:val="00135D9F"/>
    <w:rsid w:val="00135DCC"/>
    <w:rsid w:val="0013676D"/>
    <w:rsid w:val="00136DE0"/>
    <w:rsid w:val="00137E50"/>
    <w:rsid w:val="00140161"/>
    <w:rsid w:val="001406FC"/>
    <w:rsid w:val="00140EB9"/>
    <w:rsid w:val="00143182"/>
    <w:rsid w:val="00144032"/>
    <w:rsid w:val="001440EE"/>
    <w:rsid w:val="001442FF"/>
    <w:rsid w:val="00144568"/>
    <w:rsid w:val="0014475D"/>
    <w:rsid w:val="00145028"/>
    <w:rsid w:val="00145833"/>
    <w:rsid w:val="00145901"/>
    <w:rsid w:val="00145B67"/>
    <w:rsid w:val="0014661F"/>
    <w:rsid w:val="001467A5"/>
    <w:rsid w:val="001471AF"/>
    <w:rsid w:val="00147798"/>
    <w:rsid w:val="00147AE3"/>
    <w:rsid w:val="00147C83"/>
    <w:rsid w:val="00147E9D"/>
    <w:rsid w:val="00147F5E"/>
    <w:rsid w:val="00147FC1"/>
    <w:rsid w:val="00150A9F"/>
    <w:rsid w:val="00150BB2"/>
    <w:rsid w:val="00150DF1"/>
    <w:rsid w:val="001520CD"/>
    <w:rsid w:val="00152197"/>
    <w:rsid w:val="0015250B"/>
    <w:rsid w:val="00152567"/>
    <w:rsid w:val="00153031"/>
    <w:rsid w:val="00153064"/>
    <w:rsid w:val="0015335A"/>
    <w:rsid w:val="001535A3"/>
    <w:rsid w:val="00153867"/>
    <w:rsid w:val="001540F9"/>
    <w:rsid w:val="001565C5"/>
    <w:rsid w:val="00156EC6"/>
    <w:rsid w:val="001572BE"/>
    <w:rsid w:val="00157B10"/>
    <w:rsid w:val="00157B9A"/>
    <w:rsid w:val="0016040D"/>
    <w:rsid w:val="00160BC8"/>
    <w:rsid w:val="00161509"/>
    <w:rsid w:val="0016182F"/>
    <w:rsid w:val="001626A5"/>
    <w:rsid w:val="001639EA"/>
    <w:rsid w:val="00164200"/>
    <w:rsid w:val="001650A2"/>
    <w:rsid w:val="0016540D"/>
    <w:rsid w:val="00166A06"/>
    <w:rsid w:val="00167D6D"/>
    <w:rsid w:val="00170313"/>
    <w:rsid w:val="001703D7"/>
    <w:rsid w:val="001704FA"/>
    <w:rsid w:val="00170D53"/>
    <w:rsid w:val="00170D92"/>
    <w:rsid w:val="00171008"/>
    <w:rsid w:val="0017205C"/>
    <w:rsid w:val="00172261"/>
    <w:rsid w:val="00173723"/>
    <w:rsid w:val="001737C7"/>
    <w:rsid w:val="00173EAD"/>
    <w:rsid w:val="00174113"/>
    <w:rsid w:val="0017412C"/>
    <w:rsid w:val="0017464C"/>
    <w:rsid w:val="00174712"/>
    <w:rsid w:val="00174840"/>
    <w:rsid w:val="00174914"/>
    <w:rsid w:val="00175D1E"/>
    <w:rsid w:val="00175E66"/>
    <w:rsid w:val="00176462"/>
    <w:rsid w:val="001775F7"/>
    <w:rsid w:val="0018094E"/>
    <w:rsid w:val="00180E0E"/>
    <w:rsid w:val="001812A2"/>
    <w:rsid w:val="0018188A"/>
    <w:rsid w:val="00181CF7"/>
    <w:rsid w:val="00181FC7"/>
    <w:rsid w:val="00182147"/>
    <w:rsid w:val="00182B1F"/>
    <w:rsid w:val="00183189"/>
    <w:rsid w:val="00183293"/>
    <w:rsid w:val="001833E3"/>
    <w:rsid w:val="001842C1"/>
    <w:rsid w:val="0018454E"/>
    <w:rsid w:val="001845BA"/>
    <w:rsid w:val="001847B5"/>
    <w:rsid w:val="001863E6"/>
    <w:rsid w:val="0018722F"/>
    <w:rsid w:val="00187537"/>
    <w:rsid w:val="001875AA"/>
    <w:rsid w:val="00187E2D"/>
    <w:rsid w:val="00187E37"/>
    <w:rsid w:val="00187E58"/>
    <w:rsid w:val="00192DBE"/>
    <w:rsid w:val="00193263"/>
    <w:rsid w:val="00194049"/>
    <w:rsid w:val="00194FDB"/>
    <w:rsid w:val="001963FF"/>
    <w:rsid w:val="001965E2"/>
    <w:rsid w:val="00196F94"/>
    <w:rsid w:val="0019713E"/>
    <w:rsid w:val="00197CB6"/>
    <w:rsid w:val="001A02ED"/>
    <w:rsid w:val="001A0663"/>
    <w:rsid w:val="001A1505"/>
    <w:rsid w:val="001A1CF0"/>
    <w:rsid w:val="001A1FD4"/>
    <w:rsid w:val="001A231D"/>
    <w:rsid w:val="001A2C43"/>
    <w:rsid w:val="001A2EFF"/>
    <w:rsid w:val="001A30DB"/>
    <w:rsid w:val="001A3158"/>
    <w:rsid w:val="001A5249"/>
    <w:rsid w:val="001A5594"/>
    <w:rsid w:val="001A565D"/>
    <w:rsid w:val="001A5E8C"/>
    <w:rsid w:val="001A60D8"/>
    <w:rsid w:val="001A749E"/>
    <w:rsid w:val="001A7AC9"/>
    <w:rsid w:val="001B0E63"/>
    <w:rsid w:val="001B1356"/>
    <w:rsid w:val="001B17DF"/>
    <w:rsid w:val="001B19F5"/>
    <w:rsid w:val="001B1A25"/>
    <w:rsid w:val="001B27F7"/>
    <w:rsid w:val="001B289A"/>
    <w:rsid w:val="001B2999"/>
    <w:rsid w:val="001B2EE6"/>
    <w:rsid w:val="001B2FC6"/>
    <w:rsid w:val="001B30B4"/>
    <w:rsid w:val="001B30C3"/>
    <w:rsid w:val="001B3AAE"/>
    <w:rsid w:val="001B42A7"/>
    <w:rsid w:val="001B46CA"/>
    <w:rsid w:val="001B4AAC"/>
    <w:rsid w:val="001B4FDF"/>
    <w:rsid w:val="001B5255"/>
    <w:rsid w:val="001B5BAA"/>
    <w:rsid w:val="001B6214"/>
    <w:rsid w:val="001B67E5"/>
    <w:rsid w:val="001B77C9"/>
    <w:rsid w:val="001C09A4"/>
    <w:rsid w:val="001C1046"/>
    <w:rsid w:val="001C1C6A"/>
    <w:rsid w:val="001C2828"/>
    <w:rsid w:val="001C3D72"/>
    <w:rsid w:val="001C49CA"/>
    <w:rsid w:val="001C569E"/>
    <w:rsid w:val="001C5DE6"/>
    <w:rsid w:val="001C6121"/>
    <w:rsid w:val="001C628D"/>
    <w:rsid w:val="001C66A8"/>
    <w:rsid w:val="001C73E7"/>
    <w:rsid w:val="001C7C0F"/>
    <w:rsid w:val="001D039E"/>
    <w:rsid w:val="001D0D7D"/>
    <w:rsid w:val="001D15A2"/>
    <w:rsid w:val="001D171C"/>
    <w:rsid w:val="001D1752"/>
    <w:rsid w:val="001D18B0"/>
    <w:rsid w:val="001D33A7"/>
    <w:rsid w:val="001D406D"/>
    <w:rsid w:val="001D4954"/>
    <w:rsid w:val="001D4B6B"/>
    <w:rsid w:val="001D5639"/>
    <w:rsid w:val="001D58C1"/>
    <w:rsid w:val="001D5FCB"/>
    <w:rsid w:val="001D62A0"/>
    <w:rsid w:val="001D68F5"/>
    <w:rsid w:val="001D726B"/>
    <w:rsid w:val="001D77C5"/>
    <w:rsid w:val="001D7AA7"/>
    <w:rsid w:val="001E02B9"/>
    <w:rsid w:val="001E2BCC"/>
    <w:rsid w:val="001E3D3E"/>
    <w:rsid w:val="001E3E3B"/>
    <w:rsid w:val="001E4ADF"/>
    <w:rsid w:val="001E4B9C"/>
    <w:rsid w:val="001E5F83"/>
    <w:rsid w:val="001E6D4B"/>
    <w:rsid w:val="001E7420"/>
    <w:rsid w:val="001E763C"/>
    <w:rsid w:val="001E780F"/>
    <w:rsid w:val="001F088D"/>
    <w:rsid w:val="001F08EA"/>
    <w:rsid w:val="001F1CB5"/>
    <w:rsid w:val="001F227E"/>
    <w:rsid w:val="001F2427"/>
    <w:rsid w:val="001F385D"/>
    <w:rsid w:val="001F3930"/>
    <w:rsid w:val="001F3DD3"/>
    <w:rsid w:val="001F4216"/>
    <w:rsid w:val="001F42D6"/>
    <w:rsid w:val="001F4618"/>
    <w:rsid w:val="001F5457"/>
    <w:rsid w:val="001F563F"/>
    <w:rsid w:val="001F5683"/>
    <w:rsid w:val="001F66DA"/>
    <w:rsid w:val="001F6D2E"/>
    <w:rsid w:val="001F73D7"/>
    <w:rsid w:val="00200327"/>
    <w:rsid w:val="00201B31"/>
    <w:rsid w:val="00201FAE"/>
    <w:rsid w:val="00202227"/>
    <w:rsid w:val="0020252F"/>
    <w:rsid w:val="00202D25"/>
    <w:rsid w:val="0020414F"/>
    <w:rsid w:val="00204C8D"/>
    <w:rsid w:val="00204FA2"/>
    <w:rsid w:val="002054B5"/>
    <w:rsid w:val="00206C05"/>
    <w:rsid w:val="00206C9B"/>
    <w:rsid w:val="00207041"/>
    <w:rsid w:val="00210277"/>
    <w:rsid w:val="0021055B"/>
    <w:rsid w:val="002109DA"/>
    <w:rsid w:val="002116D6"/>
    <w:rsid w:val="00211E52"/>
    <w:rsid w:val="00212081"/>
    <w:rsid w:val="002121A2"/>
    <w:rsid w:val="002126B0"/>
    <w:rsid w:val="00212CCB"/>
    <w:rsid w:val="00212D50"/>
    <w:rsid w:val="00212E21"/>
    <w:rsid w:val="00212F27"/>
    <w:rsid w:val="002130E3"/>
    <w:rsid w:val="00213AE8"/>
    <w:rsid w:val="00213D89"/>
    <w:rsid w:val="00214120"/>
    <w:rsid w:val="002154BA"/>
    <w:rsid w:val="002157A2"/>
    <w:rsid w:val="00216B01"/>
    <w:rsid w:val="002173BC"/>
    <w:rsid w:val="00220621"/>
    <w:rsid w:val="00220A49"/>
    <w:rsid w:val="00220CB0"/>
    <w:rsid w:val="00222711"/>
    <w:rsid w:val="00223132"/>
    <w:rsid w:val="0022382B"/>
    <w:rsid w:val="00223E52"/>
    <w:rsid w:val="00224B7B"/>
    <w:rsid w:val="00224B84"/>
    <w:rsid w:val="0022543F"/>
    <w:rsid w:val="002254D2"/>
    <w:rsid w:val="002260E7"/>
    <w:rsid w:val="00226EFB"/>
    <w:rsid w:val="00227CC0"/>
    <w:rsid w:val="00227E3C"/>
    <w:rsid w:val="002315D5"/>
    <w:rsid w:val="00231690"/>
    <w:rsid w:val="00231769"/>
    <w:rsid w:val="00232888"/>
    <w:rsid w:val="00233480"/>
    <w:rsid w:val="00233DF2"/>
    <w:rsid w:val="002344BB"/>
    <w:rsid w:val="00235172"/>
    <w:rsid w:val="00235CF2"/>
    <w:rsid w:val="00235E00"/>
    <w:rsid w:val="002361A4"/>
    <w:rsid w:val="00236286"/>
    <w:rsid w:val="002362FD"/>
    <w:rsid w:val="00236AC0"/>
    <w:rsid w:val="00236DE6"/>
    <w:rsid w:val="002376F3"/>
    <w:rsid w:val="0024022A"/>
    <w:rsid w:val="00240720"/>
    <w:rsid w:val="00240E8F"/>
    <w:rsid w:val="00241129"/>
    <w:rsid w:val="00241304"/>
    <w:rsid w:val="002419F8"/>
    <w:rsid w:val="0024225A"/>
    <w:rsid w:val="00243255"/>
    <w:rsid w:val="00243836"/>
    <w:rsid w:val="002447E8"/>
    <w:rsid w:val="0024509C"/>
    <w:rsid w:val="00245165"/>
    <w:rsid w:val="00245BBB"/>
    <w:rsid w:val="00246098"/>
    <w:rsid w:val="00246557"/>
    <w:rsid w:val="00246C49"/>
    <w:rsid w:val="00246FBB"/>
    <w:rsid w:val="00247BF4"/>
    <w:rsid w:val="00250027"/>
    <w:rsid w:val="00250917"/>
    <w:rsid w:val="00250EEC"/>
    <w:rsid w:val="00250EFD"/>
    <w:rsid w:val="002519A9"/>
    <w:rsid w:val="00251FDB"/>
    <w:rsid w:val="00251FFD"/>
    <w:rsid w:val="00252607"/>
    <w:rsid w:val="002530CF"/>
    <w:rsid w:val="00253174"/>
    <w:rsid w:val="002539D8"/>
    <w:rsid w:val="00254428"/>
    <w:rsid w:val="00254F92"/>
    <w:rsid w:val="00255294"/>
    <w:rsid w:val="002558D8"/>
    <w:rsid w:val="00255A2F"/>
    <w:rsid w:val="0025657B"/>
    <w:rsid w:val="0025794F"/>
    <w:rsid w:val="002606E9"/>
    <w:rsid w:val="00261123"/>
    <w:rsid w:val="002620AF"/>
    <w:rsid w:val="0026224D"/>
    <w:rsid w:val="002624E1"/>
    <w:rsid w:val="0026282D"/>
    <w:rsid w:val="00262CF3"/>
    <w:rsid w:val="002630E3"/>
    <w:rsid w:val="00263E21"/>
    <w:rsid w:val="002640E6"/>
    <w:rsid w:val="00264B18"/>
    <w:rsid w:val="00264B29"/>
    <w:rsid w:val="00265839"/>
    <w:rsid w:val="00265A25"/>
    <w:rsid w:val="00266383"/>
    <w:rsid w:val="00267456"/>
    <w:rsid w:val="00267DD6"/>
    <w:rsid w:val="00271678"/>
    <w:rsid w:val="0027169C"/>
    <w:rsid w:val="00271E37"/>
    <w:rsid w:val="002726B4"/>
    <w:rsid w:val="00272F47"/>
    <w:rsid w:val="00273A04"/>
    <w:rsid w:val="00273AE7"/>
    <w:rsid w:val="00274F78"/>
    <w:rsid w:val="00275B9E"/>
    <w:rsid w:val="00275C49"/>
    <w:rsid w:val="00275E01"/>
    <w:rsid w:val="00276379"/>
    <w:rsid w:val="00277187"/>
    <w:rsid w:val="00277737"/>
    <w:rsid w:val="0028136B"/>
    <w:rsid w:val="002813A4"/>
    <w:rsid w:val="002813F9"/>
    <w:rsid w:val="0028219A"/>
    <w:rsid w:val="002825CE"/>
    <w:rsid w:val="00283503"/>
    <w:rsid w:val="002836D9"/>
    <w:rsid w:val="002839C4"/>
    <w:rsid w:val="0028561B"/>
    <w:rsid w:val="00285E29"/>
    <w:rsid w:val="00286861"/>
    <w:rsid w:val="00286D2E"/>
    <w:rsid w:val="00286FA1"/>
    <w:rsid w:val="00287B65"/>
    <w:rsid w:val="00287DF6"/>
    <w:rsid w:val="0029023A"/>
    <w:rsid w:val="002906E1"/>
    <w:rsid w:val="002914BB"/>
    <w:rsid w:val="00291510"/>
    <w:rsid w:val="00292149"/>
    <w:rsid w:val="002926C0"/>
    <w:rsid w:val="0029293C"/>
    <w:rsid w:val="00292C01"/>
    <w:rsid w:val="00292CEE"/>
    <w:rsid w:val="00292D3C"/>
    <w:rsid w:val="00293364"/>
    <w:rsid w:val="00293AB5"/>
    <w:rsid w:val="00293D47"/>
    <w:rsid w:val="0029423A"/>
    <w:rsid w:val="0029435B"/>
    <w:rsid w:val="0029589C"/>
    <w:rsid w:val="00295FF1"/>
    <w:rsid w:val="00295FF9"/>
    <w:rsid w:val="002961FD"/>
    <w:rsid w:val="00296597"/>
    <w:rsid w:val="00296F82"/>
    <w:rsid w:val="002972B4"/>
    <w:rsid w:val="00297CF2"/>
    <w:rsid w:val="00297F94"/>
    <w:rsid w:val="002A0A43"/>
    <w:rsid w:val="002A1323"/>
    <w:rsid w:val="002A15C3"/>
    <w:rsid w:val="002A25A0"/>
    <w:rsid w:val="002A2B6D"/>
    <w:rsid w:val="002A2DD8"/>
    <w:rsid w:val="002A30BB"/>
    <w:rsid w:val="002A3569"/>
    <w:rsid w:val="002A3914"/>
    <w:rsid w:val="002A5078"/>
    <w:rsid w:val="002A53D4"/>
    <w:rsid w:val="002A5CB3"/>
    <w:rsid w:val="002A5DAF"/>
    <w:rsid w:val="002A6838"/>
    <w:rsid w:val="002A6B66"/>
    <w:rsid w:val="002A6DF5"/>
    <w:rsid w:val="002A7BE0"/>
    <w:rsid w:val="002A7F38"/>
    <w:rsid w:val="002B00F8"/>
    <w:rsid w:val="002B05FB"/>
    <w:rsid w:val="002B0B36"/>
    <w:rsid w:val="002B121A"/>
    <w:rsid w:val="002B1272"/>
    <w:rsid w:val="002B1FAC"/>
    <w:rsid w:val="002B3B2C"/>
    <w:rsid w:val="002B4205"/>
    <w:rsid w:val="002B45BA"/>
    <w:rsid w:val="002B46AE"/>
    <w:rsid w:val="002B46D2"/>
    <w:rsid w:val="002B4BAE"/>
    <w:rsid w:val="002B5392"/>
    <w:rsid w:val="002B62AF"/>
    <w:rsid w:val="002B66CA"/>
    <w:rsid w:val="002B71BE"/>
    <w:rsid w:val="002B7C25"/>
    <w:rsid w:val="002B7E56"/>
    <w:rsid w:val="002C067B"/>
    <w:rsid w:val="002C0D0A"/>
    <w:rsid w:val="002C1FA5"/>
    <w:rsid w:val="002C2328"/>
    <w:rsid w:val="002C2FEE"/>
    <w:rsid w:val="002C3563"/>
    <w:rsid w:val="002C36E8"/>
    <w:rsid w:val="002C3B8E"/>
    <w:rsid w:val="002C5981"/>
    <w:rsid w:val="002C598C"/>
    <w:rsid w:val="002C5BB5"/>
    <w:rsid w:val="002C627E"/>
    <w:rsid w:val="002C6DF1"/>
    <w:rsid w:val="002C6E02"/>
    <w:rsid w:val="002C6FB0"/>
    <w:rsid w:val="002C72F8"/>
    <w:rsid w:val="002D0A55"/>
    <w:rsid w:val="002D0CD4"/>
    <w:rsid w:val="002D13B9"/>
    <w:rsid w:val="002D171A"/>
    <w:rsid w:val="002D1BF9"/>
    <w:rsid w:val="002D26B6"/>
    <w:rsid w:val="002D28EA"/>
    <w:rsid w:val="002D2A80"/>
    <w:rsid w:val="002D3B9B"/>
    <w:rsid w:val="002D407C"/>
    <w:rsid w:val="002D4311"/>
    <w:rsid w:val="002D46AA"/>
    <w:rsid w:val="002D4791"/>
    <w:rsid w:val="002D47B9"/>
    <w:rsid w:val="002D79FA"/>
    <w:rsid w:val="002D7F63"/>
    <w:rsid w:val="002E0B44"/>
    <w:rsid w:val="002E192B"/>
    <w:rsid w:val="002E21AF"/>
    <w:rsid w:val="002E2316"/>
    <w:rsid w:val="002E2753"/>
    <w:rsid w:val="002E295A"/>
    <w:rsid w:val="002E3B20"/>
    <w:rsid w:val="002E600E"/>
    <w:rsid w:val="002E6278"/>
    <w:rsid w:val="002E6986"/>
    <w:rsid w:val="002E7005"/>
    <w:rsid w:val="002E7BB4"/>
    <w:rsid w:val="002F0144"/>
    <w:rsid w:val="002F018B"/>
    <w:rsid w:val="002F14F2"/>
    <w:rsid w:val="002F1A41"/>
    <w:rsid w:val="002F1D9F"/>
    <w:rsid w:val="002F2315"/>
    <w:rsid w:val="002F25F8"/>
    <w:rsid w:val="002F2BDC"/>
    <w:rsid w:val="002F2DE7"/>
    <w:rsid w:val="002F2F9B"/>
    <w:rsid w:val="002F3270"/>
    <w:rsid w:val="002F3FB7"/>
    <w:rsid w:val="002F4D23"/>
    <w:rsid w:val="002F4F0E"/>
    <w:rsid w:val="002F5D2A"/>
    <w:rsid w:val="002F5E22"/>
    <w:rsid w:val="002F5F2D"/>
    <w:rsid w:val="002F5F3F"/>
    <w:rsid w:val="002F5F4B"/>
    <w:rsid w:val="002F6EC3"/>
    <w:rsid w:val="002F78C7"/>
    <w:rsid w:val="002F7AEB"/>
    <w:rsid w:val="003004EE"/>
    <w:rsid w:val="003016CC"/>
    <w:rsid w:val="00301D2B"/>
    <w:rsid w:val="0030252A"/>
    <w:rsid w:val="00302A63"/>
    <w:rsid w:val="00302B81"/>
    <w:rsid w:val="003038EA"/>
    <w:rsid w:val="00303BF2"/>
    <w:rsid w:val="00303C44"/>
    <w:rsid w:val="00303D68"/>
    <w:rsid w:val="0030415A"/>
    <w:rsid w:val="003049FA"/>
    <w:rsid w:val="00304A1C"/>
    <w:rsid w:val="00304B6D"/>
    <w:rsid w:val="0030523C"/>
    <w:rsid w:val="003076AE"/>
    <w:rsid w:val="00310885"/>
    <w:rsid w:val="003109C4"/>
    <w:rsid w:val="00310A8F"/>
    <w:rsid w:val="00311263"/>
    <w:rsid w:val="0031197C"/>
    <w:rsid w:val="00311C2F"/>
    <w:rsid w:val="00312211"/>
    <w:rsid w:val="00312A34"/>
    <w:rsid w:val="00312C5C"/>
    <w:rsid w:val="00312F5E"/>
    <w:rsid w:val="00313836"/>
    <w:rsid w:val="003148DB"/>
    <w:rsid w:val="003167F4"/>
    <w:rsid w:val="0031693D"/>
    <w:rsid w:val="00317976"/>
    <w:rsid w:val="003179FA"/>
    <w:rsid w:val="00317C5B"/>
    <w:rsid w:val="0032060B"/>
    <w:rsid w:val="00321148"/>
    <w:rsid w:val="00321D74"/>
    <w:rsid w:val="00321E1D"/>
    <w:rsid w:val="00322234"/>
    <w:rsid w:val="003228B2"/>
    <w:rsid w:val="00323BD6"/>
    <w:rsid w:val="00323E28"/>
    <w:rsid w:val="00323FD7"/>
    <w:rsid w:val="00327172"/>
    <w:rsid w:val="00327827"/>
    <w:rsid w:val="00330C7B"/>
    <w:rsid w:val="003314C7"/>
    <w:rsid w:val="0033383C"/>
    <w:rsid w:val="003343DE"/>
    <w:rsid w:val="00334568"/>
    <w:rsid w:val="00334F36"/>
    <w:rsid w:val="00335215"/>
    <w:rsid w:val="0033615D"/>
    <w:rsid w:val="00337D05"/>
    <w:rsid w:val="00340F57"/>
    <w:rsid w:val="00341109"/>
    <w:rsid w:val="00341EF3"/>
    <w:rsid w:val="0034240A"/>
    <w:rsid w:val="003439F6"/>
    <w:rsid w:val="00344724"/>
    <w:rsid w:val="003448A6"/>
    <w:rsid w:val="00344DF8"/>
    <w:rsid w:val="003450FB"/>
    <w:rsid w:val="003453AF"/>
    <w:rsid w:val="00345C66"/>
    <w:rsid w:val="00346E59"/>
    <w:rsid w:val="003472BF"/>
    <w:rsid w:val="00347508"/>
    <w:rsid w:val="00350285"/>
    <w:rsid w:val="0035030D"/>
    <w:rsid w:val="00350E1D"/>
    <w:rsid w:val="00350F0B"/>
    <w:rsid w:val="00352D92"/>
    <w:rsid w:val="00353B0E"/>
    <w:rsid w:val="00353E69"/>
    <w:rsid w:val="00353ED5"/>
    <w:rsid w:val="00354A41"/>
    <w:rsid w:val="00354FDD"/>
    <w:rsid w:val="003557C0"/>
    <w:rsid w:val="00355AAD"/>
    <w:rsid w:val="00355FA3"/>
    <w:rsid w:val="00356049"/>
    <w:rsid w:val="0035643F"/>
    <w:rsid w:val="0035682A"/>
    <w:rsid w:val="00356DAB"/>
    <w:rsid w:val="00356FB0"/>
    <w:rsid w:val="00357E47"/>
    <w:rsid w:val="00360403"/>
    <w:rsid w:val="00360BF1"/>
    <w:rsid w:val="00360D81"/>
    <w:rsid w:val="003615D8"/>
    <w:rsid w:val="00361CAA"/>
    <w:rsid w:val="00363280"/>
    <w:rsid w:val="003635E5"/>
    <w:rsid w:val="00364700"/>
    <w:rsid w:val="00364ABD"/>
    <w:rsid w:val="0036575A"/>
    <w:rsid w:val="003659DE"/>
    <w:rsid w:val="003665FD"/>
    <w:rsid w:val="0036779C"/>
    <w:rsid w:val="00367CD1"/>
    <w:rsid w:val="00371023"/>
    <w:rsid w:val="00371501"/>
    <w:rsid w:val="00371767"/>
    <w:rsid w:val="00371FAC"/>
    <w:rsid w:val="00372328"/>
    <w:rsid w:val="00372A9E"/>
    <w:rsid w:val="00372F4E"/>
    <w:rsid w:val="003736EC"/>
    <w:rsid w:val="00373884"/>
    <w:rsid w:val="00374A42"/>
    <w:rsid w:val="00374B90"/>
    <w:rsid w:val="00374CD9"/>
    <w:rsid w:val="0037545E"/>
    <w:rsid w:val="00375562"/>
    <w:rsid w:val="003755C0"/>
    <w:rsid w:val="00375C32"/>
    <w:rsid w:val="00376090"/>
    <w:rsid w:val="0037616A"/>
    <w:rsid w:val="0037737A"/>
    <w:rsid w:val="003776A3"/>
    <w:rsid w:val="00377BD0"/>
    <w:rsid w:val="00377D8B"/>
    <w:rsid w:val="00377F95"/>
    <w:rsid w:val="003800AE"/>
    <w:rsid w:val="0038020B"/>
    <w:rsid w:val="00380214"/>
    <w:rsid w:val="00380C95"/>
    <w:rsid w:val="00380E04"/>
    <w:rsid w:val="0038255F"/>
    <w:rsid w:val="00382776"/>
    <w:rsid w:val="003827C8"/>
    <w:rsid w:val="003827D2"/>
    <w:rsid w:val="00383121"/>
    <w:rsid w:val="0038469D"/>
    <w:rsid w:val="003848C4"/>
    <w:rsid w:val="00384AD2"/>
    <w:rsid w:val="00385C79"/>
    <w:rsid w:val="003862F5"/>
    <w:rsid w:val="00386BE5"/>
    <w:rsid w:val="00386EC4"/>
    <w:rsid w:val="00387EBA"/>
    <w:rsid w:val="00387F23"/>
    <w:rsid w:val="00390362"/>
    <w:rsid w:val="0039229F"/>
    <w:rsid w:val="003922A0"/>
    <w:rsid w:val="003926C0"/>
    <w:rsid w:val="003928C7"/>
    <w:rsid w:val="00392964"/>
    <w:rsid w:val="00392B21"/>
    <w:rsid w:val="003930D3"/>
    <w:rsid w:val="003936A3"/>
    <w:rsid w:val="00393E69"/>
    <w:rsid w:val="00394260"/>
    <w:rsid w:val="003947A2"/>
    <w:rsid w:val="003953D1"/>
    <w:rsid w:val="003957FB"/>
    <w:rsid w:val="00395897"/>
    <w:rsid w:val="00395DFB"/>
    <w:rsid w:val="00395F0A"/>
    <w:rsid w:val="00396581"/>
    <w:rsid w:val="00396F65"/>
    <w:rsid w:val="0039724F"/>
    <w:rsid w:val="00397661"/>
    <w:rsid w:val="00397D5D"/>
    <w:rsid w:val="00397F3D"/>
    <w:rsid w:val="003A014E"/>
    <w:rsid w:val="003A0AC5"/>
    <w:rsid w:val="003A0C84"/>
    <w:rsid w:val="003A0EFF"/>
    <w:rsid w:val="003A1416"/>
    <w:rsid w:val="003A1C6B"/>
    <w:rsid w:val="003A2B5D"/>
    <w:rsid w:val="003A30C7"/>
    <w:rsid w:val="003A33FD"/>
    <w:rsid w:val="003A3517"/>
    <w:rsid w:val="003A371B"/>
    <w:rsid w:val="003A3803"/>
    <w:rsid w:val="003A42CD"/>
    <w:rsid w:val="003A4DC9"/>
    <w:rsid w:val="003A55AD"/>
    <w:rsid w:val="003A582A"/>
    <w:rsid w:val="003A6169"/>
    <w:rsid w:val="003A64A0"/>
    <w:rsid w:val="003A70BD"/>
    <w:rsid w:val="003A7B00"/>
    <w:rsid w:val="003A7C53"/>
    <w:rsid w:val="003B0209"/>
    <w:rsid w:val="003B0C52"/>
    <w:rsid w:val="003B0F72"/>
    <w:rsid w:val="003B1C81"/>
    <w:rsid w:val="003B2885"/>
    <w:rsid w:val="003B2C48"/>
    <w:rsid w:val="003B3543"/>
    <w:rsid w:val="003B3FBD"/>
    <w:rsid w:val="003B47A3"/>
    <w:rsid w:val="003B4AD6"/>
    <w:rsid w:val="003B5819"/>
    <w:rsid w:val="003B609D"/>
    <w:rsid w:val="003B634C"/>
    <w:rsid w:val="003B6684"/>
    <w:rsid w:val="003B7461"/>
    <w:rsid w:val="003C0F86"/>
    <w:rsid w:val="003C1649"/>
    <w:rsid w:val="003C18B2"/>
    <w:rsid w:val="003C18BB"/>
    <w:rsid w:val="003C1B0F"/>
    <w:rsid w:val="003C247E"/>
    <w:rsid w:val="003C248C"/>
    <w:rsid w:val="003C31AA"/>
    <w:rsid w:val="003C36B1"/>
    <w:rsid w:val="003C39C0"/>
    <w:rsid w:val="003C3EF0"/>
    <w:rsid w:val="003C41B6"/>
    <w:rsid w:val="003C42EC"/>
    <w:rsid w:val="003C431B"/>
    <w:rsid w:val="003C5297"/>
    <w:rsid w:val="003C60E0"/>
    <w:rsid w:val="003C6E2D"/>
    <w:rsid w:val="003C6FC4"/>
    <w:rsid w:val="003C736F"/>
    <w:rsid w:val="003D0158"/>
    <w:rsid w:val="003D089B"/>
    <w:rsid w:val="003D0F57"/>
    <w:rsid w:val="003D248F"/>
    <w:rsid w:val="003D26C2"/>
    <w:rsid w:val="003D3FD2"/>
    <w:rsid w:val="003D4232"/>
    <w:rsid w:val="003D441E"/>
    <w:rsid w:val="003D467D"/>
    <w:rsid w:val="003D48FD"/>
    <w:rsid w:val="003D491D"/>
    <w:rsid w:val="003D509E"/>
    <w:rsid w:val="003D56EF"/>
    <w:rsid w:val="003D5EE7"/>
    <w:rsid w:val="003D6A42"/>
    <w:rsid w:val="003D6C39"/>
    <w:rsid w:val="003D7685"/>
    <w:rsid w:val="003E060C"/>
    <w:rsid w:val="003E0ACC"/>
    <w:rsid w:val="003E0B8B"/>
    <w:rsid w:val="003E0BB5"/>
    <w:rsid w:val="003E0DE2"/>
    <w:rsid w:val="003E0F8C"/>
    <w:rsid w:val="003E1398"/>
    <w:rsid w:val="003E189A"/>
    <w:rsid w:val="003E216C"/>
    <w:rsid w:val="003E2CF3"/>
    <w:rsid w:val="003E3A3A"/>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64E7"/>
    <w:rsid w:val="003F69CB"/>
    <w:rsid w:val="003F6FF4"/>
    <w:rsid w:val="003F71C1"/>
    <w:rsid w:val="004005F3"/>
    <w:rsid w:val="004006DE"/>
    <w:rsid w:val="00401084"/>
    <w:rsid w:val="0040114B"/>
    <w:rsid w:val="004013B3"/>
    <w:rsid w:val="00401E77"/>
    <w:rsid w:val="00404A52"/>
    <w:rsid w:val="00404F61"/>
    <w:rsid w:val="00405FA8"/>
    <w:rsid w:val="00406156"/>
    <w:rsid w:val="00406B1E"/>
    <w:rsid w:val="00406F62"/>
    <w:rsid w:val="00406FEC"/>
    <w:rsid w:val="00407C84"/>
    <w:rsid w:val="00407E43"/>
    <w:rsid w:val="00410146"/>
    <w:rsid w:val="004108A8"/>
    <w:rsid w:val="00410F32"/>
    <w:rsid w:val="0041148E"/>
    <w:rsid w:val="00411CEE"/>
    <w:rsid w:val="00412182"/>
    <w:rsid w:val="004122C9"/>
    <w:rsid w:val="00412459"/>
    <w:rsid w:val="0041260E"/>
    <w:rsid w:val="0041263F"/>
    <w:rsid w:val="00412910"/>
    <w:rsid w:val="00412A37"/>
    <w:rsid w:val="00412C7F"/>
    <w:rsid w:val="00413BF9"/>
    <w:rsid w:val="00413DE5"/>
    <w:rsid w:val="004148D0"/>
    <w:rsid w:val="0041607E"/>
    <w:rsid w:val="00416178"/>
    <w:rsid w:val="004162B6"/>
    <w:rsid w:val="00416846"/>
    <w:rsid w:val="0041764F"/>
    <w:rsid w:val="00417806"/>
    <w:rsid w:val="00417953"/>
    <w:rsid w:val="0041797E"/>
    <w:rsid w:val="00417A20"/>
    <w:rsid w:val="00417A26"/>
    <w:rsid w:val="004201C1"/>
    <w:rsid w:val="00420E63"/>
    <w:rsid w:val="004212A9"/>
    <w:rsid w:val="0042213A"/>
    <w:rsid w:val="00422636"/>
    <w:rsid w:val="00422BE8"/>
    <w:rsid w:val="00424169"/>
    <w:rsid w:val="00424486"/>
    <w:rsid w:val="004255BB"/>
    <w:rsid w:val="00425E7B"/>
    <w:rsid w:val="00426E7E"/>
    <w:rsid w:val="00427C68"/>
    <w:rsid w:val="00431946"/>
    <w:rsid w:val="00431FB9"/>
    <w:rsid w:val="004329F3"/>
    <w:rsid w:val="00432DED"/>
    <w:rsid w:val="00434EC8"/>
    <w:rsid w:val="004350C1"/>
    <w:rsid w:val="00436058"/>
    <w:rsid w:val="004362D9"/>
    <w:rsid w:val="00436D3A"/>
    <w:rsid w:val="00436E51"/>
    <w:rsid w:val="00440356"/>
    <w:rsid w:val="00441336"/>
    <w:rsid w:val="004418C3"/>
    <w:rsid w:val="0044268D"/>
    <w:rsid w:val="00442FDA"/>
    <w:rsid w:val="004441F3"/>
    <w:rsid w:val="00444691"/>
    <w:rsid w:val="004452D4"/>
    <w:rsid w:val="00445851"/>
    <w:rsid w:val="00445E2B"/>
    <w:rsid w:val="00445F18"/>
    <w:rsid w:val="004465ED"/>
    <w:rsid w:val="00446699"/>
    <w:rsid w:val="00446955"/>
    <w:rsid w:val="00446DCD"/>
    <w:rsid w:val="00447A59"/>
    <w:rsid w:val="00447DF9"/>
    <w:rsid w:val="004507E6"/>
    <w:rsid w:val="00450F0B"/>
    <w:rsid w:val="00451064"/>
    <w:rsid w:val="00452FB7"/>
    <w:rsid w:val="004531E5"/>
    <w:rsid w:val="00453B22"/>
    <w:rsid w:val="00453FCD"/>
    <w:rsid w:val="00454B75"/>
    <w:rsid w:val="00454CC5"/>
    <w:rsid w:val="004560E8"/>
    <w:rsid w:val="004570AF"/>
    <w:rsid w:val="004573E3"/>
    <w:rsid w:val="004574D6"/>
    <w:rsid w:val="004574EC"/>
    <w:rsid w:val="004579E3"/>
    <w:rsid w:val="00457EA7"/>
    <w:rsid w:val="00457ED4"/>
    <w:rsid w:val="00460150"/>
    <w:rsid w:val="0046016C"/>
    <w:rsid w:val="004605F9"/>
    <w:rsid w:val="00460C82"/>
    <w:rsid w:val="00461BAC"/>
    <w:rsid w:val="00461D17"/>
    <w:rsid w:val="0046277B"/>
    <w:rsid w:val="004644B9"/>
    <w:rsid w:val="00464D19"/>
    <w:rsid w:val="00465C96"/>
    <w:rsid w:val="00465F79"/>
    <w:rsid w:val="00466455"/>
    <w:rsid w:val="00466F3F"/>
    <w:rsid w:val="0046733C"/>
    <w:rsid w:val="004674F4"/>
    <w:rsid w:val="004677FA"/>
    <w:rsid w:val="004710B0"/>
    <w:rsid w:val="00471249"/>
    <w:rsid w:val="004719A6"/>
    <w:rsid w:val="00471A68"/>
    <w:rsid w:val="00472329"/>
    <w:rsid w:val="00472BA1"/>
    <w:rsid w:val="00473360"/>
    <w:rsid w:val="00473A9B"/>
    <w:rsid w:val="00473AD0"/>
    <w:rsid w:val="00473B12"/>
    <w:rsid w:val="00473D4D"/>
    <w:rsid w:val="00474094"/>
    <w:rsid w:val="00475394"/>
    <w:rsid w:val="00475F37"/>
    <w:rsid w:val="004763FE"/>
    <w:rsid w:val="00476A09"/>
    <w:rsid w:val="0047725A"/>
    <w:rsid w:val="00477789"/>
    <w:rsid w:val="004778D4"/>
    <w:rsid w:val="00477EF5"/>
    <w:rsid w:val="00480801"/>
    <w:rsid w:val="0048160C"/>
    <w:rsid w:val="004817D6"/>
    <w:rsid w:val="004820A6"/>
    <w:rsid w:val="0048265E"/>
    <w:rsid w:val="00482CC9"/>
    <w:rsid w:val="0048316B"/>
    <w:rsid w:val="00483971"/>
    <w:rsid w:val="00484555"/>
    <w:rsid w:val="004850B8"/>
    <w:rsid w:val="00485647"/>
    <w:rsid w:val="00485A61"/>
    <w:rsid w:val="00485B83"/>
    <w:rsid w:val="00487B16"/>
    <w:rsid w:val="00487BE8"/>
    <w:rsid w:val="00490087"/>
    <w:rsid w:val="004901FD"/>
    <w:rsid w:val="00490617"/>
    <w:rsid w:val="004909CD"/>
    <w:rsid w:val="00490C87"/>
    <w:rsid w:val="00491169"/>
    <w:rsid w:val="00491791"/>
    <w:rsid w:val="00491D9A"/>
    <w:rsid w:val="00491EB3"/>
    <w:rsid w:val="004925DD"/>
    <w:rsid w:val="004933F9"/>
    <w:rsid w:val="00493514"/>
    <w:rsid w:val="004940AC"/>
    <w:rsid w:val="004963AA"/>
    <w:rsid w:val="00496636"/>
    <w:rsid w:val="00496AE0"/>
    <w:rsid w:val="00497985"/>
    <w:rsid w:val="00497E14"/>
    <w:rsid w:val="004A06FC"/>
    <w:rsid w:val="004A11B0"/>
    <w:rsid w:val="004A1565"/>
    <w:rsid w:val="004A1F02"/>
    <w:rsid w:val="004A2197"/>
    <w:rsid w:val="004A3118"/>
    <w:rsid w:val="004A4639"/>
    <w:rsid w:val="004A4822"/>
    <w:rsid w:val="004A48CE"/>
    <w:rsid w:val="004A53D0"/>
    <w:rsid w:val="004A5563"/>
    <w:rsid w:val="004A6276"/>
    <w:rsid w:val="004A66C0"/>
    <w:rsid w:val="004A67C3"/>
    <w:rsid w:val="004A6819"/>
    <w:rsid w:val="004A70A7"/>
    <w:rsid w:val="004A7279"/>
    <w:rsid w:val="004A7F4A"/>
    <w:rsid w:val="004B0264"/>
    <w:rsid w:val="004B0AE2"/>
    <w:rsid w:val="004B190C"/>
    <w:rsid w:val="004B3A7E"/>
    <w:rsid w:val="004B3FDF"/>
    <w:rsid w:val="004B4304"/>
    <w:rsid w:val="004B4338"/>
    <w:rsid w:val="004B4BEC"/>
    <w:rsid w:val="004B4E9C"/>
    <w:rsid w:val="004B4FBC"/>
    <w:rsid w:val="004B58A8"/>
    <w:rsid w:val="004B631F"/>
    <w:rsid w:val="004B6A62"/>
    <w:rsid w:val="004B6DC3"/>
    <w:rsid w:val="004B70C3"/>
    <w:rsid w:val="004B77C2"/>
    <w:rsid w:val="004C0C59"/>
    <w:rsid w:val="004C0FD1"/>
    <w:rsid w:val="004C1A2A"/>
    <w:rsid w:val="004C3475"/>
    <w:rsid w:val="004C3857"/>
    <w:rsid w:val="004C3ECE"/>
    <w:rsid w:val="004C4679"/>
    <w:rsid w:val="004C4F8C"/>
    <w:rsid w:val="004C5FEB"/>
    <w:rsid w:val="004C63A7"/>
    <w:rsid w:val="004C6F89"/>
    <w:rsid w:val="004C78A4"/>
    <w:rsid w:val="004C7C88"/>
    <w:rsid w:val="004D0F7F"/>
    <w:rsid w:val="004D0FDA"/>
    <w:rsid w:val="004D1C02"/>
    <w:rsid w:val="004D1D72"/>
    <w:rsid w:val="004D214B"/>
    <w:rsid w:val="004D2D53"/>
    <w:rsid w:val="004D2EB4"/>
    <w:rsid w:val="004D3DC3"/>
    <w:rsid w:val="004D4C49"/>
    <w:rsid w:val="004D4C76"/>
    <w:rsid w:val="004D592B"/>
    <w:rsid w:val="004D639D"/>
    <w:rsid w:val="004D6F8B"/>
    <w:rsid w:val="004D7F93"/>
    <w:rsid w:val="004E05F0"/>
    <w:rsid w:val="004E0B47"/>
    <w:rsid w:val="004E0F40"/>
    <w:rsid w:val="004E1B04"/>
    <w:rsid w:val="004E1F41"/>
    <w:rsid w:val="004E200B"/>
    <w:rsid w:val="004E2F47"/>
    <w:rsid w:val="004E3B00"/>
    <w:rsid w:val="004E4740"/>
    <w:rsid w:val="004E5D83"/>
    <w:rsid w:val="004E62DA"/>
    <w:rsid w:val="004E7263"/>
    <w:rsid w:val="004E72A1"/>
    <w:rsid w:val="004F0EEC"/>
    <w:rsid w:val="004F13D0"/>
    <w:rsid w:val="004F14DE"/>
    <w:rsid w:val="004F1696"/>
    <w:rsid w:val="004F26D9"/>
    <w:rsid w:val="004F3299"/>
    <w:rsid w:val="004F32DC"/>
    <w:rsid w:val="004F37D2"/>
    <w:rsid w:val="004F454F"/>
    <w:rsid w:val="004F4BFC"/>
    <w:rsid w:val="004F569C"/>
    <w:rsid w:val="004F644C"/>
    <w:rsid w:val="004F69BA"/>
    <w:rsid w:val="004F6A15"/>
    <w:rsid w:val="004F6D90"/>
    <w:rsid w:val="004F7306"/>
    <w:rsid w:val="004F7492"/>
    <w:rsid w:val="004F76DF"/>
    <w:rsid w:val="00500A79"/>
    <w:rsid w:val="00500B21"/>
    <w:rsid w:val="005012C4"/>
    <w:rsid w:val="00501309"/>
    <w:rsid w:val="00501C3E"/>
    <w:rsid w:val="0050216C"/>
    <w:rsid w:val="00502BFE"/>
    <w:rsid w:val="00503734"/>
    <w:rsid w:val="0050398A"/>
    <w:rsid w:val="00504973"/>
    <w:rsid w:val="00505716"/>
    <w:rsid w:val="005068DC"/>
    <w:rsid w:val="00506D2E"/>
    <w:rsid w:val="005073AD"/>
    <w:rsid w:val="0050794E"/>
    <w:rsid w:val="00510FE3"/>
    <w:rsid w:val="00511013"/>
    <w:rsid w:val="0051114F"/>
    <w:rsid w:val="005118FE"/>
    <w:rsid w:val="005125A9"/>
    <w:rsid w:val="0051297E"/>
    <w:rsid w:val="00514344"/>
    <w:rsid w:val="005152A2"/>
    <w:rsid w:val="0051594D"/>
    <w:rsid w:val="00515DFC"/>
    <w:rsid w:val="0051642A"/>
    <w:rsid w:val="00516D9E"/>
    <w:rsid w:val="00517493"/>
    <w:rsid w:val="005176E3"/>
    <w:rsid w:val="00517B7F"/>
    <w:rsid w:val="00520125"/>
    <w:rsid w:val="0052023F"/>
    <w:rsid w:val="00520321"/>
    <w:rsid w:val="00520627"/>
    <w:rsid w:val="00520AE7"/>
    <w:rsid w:val="00520E19"/>
    <w:rsid w:val="0052246A"/>
    <w:rsid w:val="00522E33"/>
    <w:rsid w:val="005230FD"/>
    <w:rsid w:val="00523755"/>
    <w:rsid w:val="005240E6"/>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B6F"/>
    <w:rsid w:val="00531369"/>
    <w:rsid w:val="00531CA8"/>
    <w:rsid w:val="00532411"/>
    <w:rsid w:val="0053332F"/>
    <w:rsid w:val="00534A23"/>
    <w:rsid w:val="00534EDF"/>
    <w:rsid w:val="0053523A"/>
    <w:rsid w:val="0053617D"/>
    <w:rsid w:val="005365C5"/>
    <w:rsid w:val="005366B3"/>
    <w:rsid w:val="00536C2F"/>
    <w:rsid w:val="0053766B"/>
    <w:rsid w:val="005379AD"/>
    <w:rsid w:val="0054006A"/>
    <w:rsid w:val="00540476"/>
    <w:rsid w:val="0054073E"/>
    <w:rsid w:val="00540771"/>
    <w:rsid w:val="00540996"/>
    <w:rsid w:val="00543E8B"/>
    <w:rsid w:val="00543F08"/>
    <w:rsid w:val="00543FFB"/>
    <w:rsid w:val="0054424A"/>
    <w:rsid w:val="00544701"/>
    <w:rsid w:val="0054474A"/>
    <w:rsid w:val="00544919"/>
    <w:rsid w:val="00545B18"/>
    <w:rsid w:val="00545ED8"/>
    <w:rsid w:val="00546066"/>
    <w:rsid w:val="005462B8"/>
    <w:rsid w:val="005468F7"/>
    <w:rsid w:val="005470AA"/>
    <w:rsid w:val="005471A8"/>
    <w:rsid w:val="00547704"/>
    <w:rsid w:val="00547B49"/>
    <w:rsid w:val="00547EA0"/>
    <w:rsid w:val="00547FC9"/>
    <w:rsid w:val="00550457"/>
    <w:rsid w:val="00550495"/>
    <w:rsid w:val="00550896"/>
    <w:rsid w:val="00550E3B"/>
    <w:rsid w:val="005516AD"/>
    <w:rsid w:val="00551D73"/>
    <w:rsid w:val="0055254A"/>
    <w:rsid w:val="00552BF0"/>
    <w:rsid w:val="005534D8"/>
    <w:rsid w:val="0055366C"/>
    <w:rsid w:val="0055478D"/>
    <w:rsid w:val="00554DE7"/>
    <w:rsid w:val="00555084"/>
    <w:rsid w:val="00555515"/>
    <w:rsid w:val="00555C47"/>
    <w:rsid w:val="00555ECF"/>
    <w:rsid w:val="0055614A"/>
    <w:rsid w:val="0055640A"/>
    <w:rsid w:val="00556688"/>
    <w:rsid w:val="005567F3"/>
    <w:rsid w:val="00557039"/>
    <w:rsid w:val="00560290"/>
    <w:rsid w:val="0056038B"/>
    <w:rsid w:val="00560DDF"/>
    <w:rsid w:val="00561267"/>
    <w:rsid w:val="00561426"/>
    <w:rsid w:val="00561B4F"/>
    <w:rsid w:val="005631AA"/>
    <w:rsid w:val="00563334"/>
    <w:rsid w:val="005634A7"/>
    <w:rsid w:val="00563715"/>
    <w:rsid w:val="00564C7C"/>
    <w:rsid w:val="00564F16"/>
    <w:rsid w:val="00565D34"/>
    <w:rsid w:val="00566A95"/>
    <w:rsid w:val="00567074"/>
    <w:rsid w:val="0056749B"/>
    <w:rsid w:val="005678E4"/>
    <w:rsid w:val="00567F6B"/>
    <w:rsid w:val="005703F0"/>
    <w:rsid w:val="00570F7C"/>
    <w:rsid w:val="0057108B"/>
    <w:rsid w:val="00571149"/>
    <w:rsid w:val="00571301"/>
    <w:rsid w:val="00571AE5"/>
    <w:rsid w:val="00571F44"/>
    <w:rsid w:val="0057217B"/>
    <w:rsid w:val="00572446"/>
    <w:rsid w:val="00572D38"/>
    <w:rsid w:val="00573011"/>
    <w:rsid w:val="00573F8D"/>
    <w:rsid w:val="00574001"/>
    <w:rsid w:val="0057445D"/>
    <w:rsid w:val="00574FC1"/>
    <w:rsid w:val="00575331"/>
    <w:rsid w:val="00575A3C"/>
    <w:rsid w:val="00576531"/>
    <w:rsid w:val="00576860"/>
    <w:rsid w:val="005774C4"/>
    <w:rsid w:val="00580317"/>
    <w:rsid w:val="00580754"/>
    <w:rsid w:val="00581EDD"/>
    <w:rsid w:val="0058201B"/>
    <w:rsid w:val="005825D0"/>
    <w:rsid w:val="00584E8B"/>
    <w:rsid w:val="0058591A"/>
    <w:rsid w:val="00585EA8"/>
    <w:rsid w:val="00586040"/>
    <w:rsid w:val="00586CA1"/>
    <w:rsid w:val="005871FA"/>
    <w:rsid w:val="00587867"/>
    <w:rsid w:val="005905C4"/>
    <w:rsid w:val="0059174E"/>
    <w:rsid w:val="00591BB7"/>
    <w:rsid w:val="00592498"/>
    <w:rsid w:val="0059276D"/>
    <w:rsid w:val="005928A6"/>
    <w:rsid w:val="00592D34"/>
    <w:rsid w:val="00592F6E"/>
    <w:rsid w:val="005932D9"/>
    <w:rsid w:val="0059495F"/>
    <w:rsid w:val="0059524C"/>
    <w:rsid w:val="00595947"/>
    <w:rsid w:val="00595CB3"/>
    <w:rsid w:val="0059726F"/>
    <w:rsid w:val="0059784E"/>
    <w:rsid w:val="005A03E6"/>
    <w:rsid w:val="005A0C2A"/>
    <w:rsid w:val="005A0C6B"/>
    <w:rsid w:val="005A2EA9"/>
    <w:rsid w:val="005A387A"/>
    <w:rsid w:val="005A412B"/>
    <w:rsid w:val="005A4542"/>
    <w:rsid w:val="005A4607"/>
    <w:rsid w:val="005A54F9"/>
    <w:rsid w:val="005A5B52"/>
    <w:rsid w:val="005A5D14"/>
    <w:rsid w:val="005A7EF7"/>
    <w:rsid w:val="005B162E"/>
    <w:rsid w:val="005B1C31"/>
    <w:rsid w:val="005B2D03"/>
    <w:rsid w:val="005B2E5A"/>
    <w:rsid w:val="005B301D"/>
    <w:rsid w:val="005B3862"/>
    <w:rsid w:val="005B3D6E"/>
    <w:rsid w:val="005B3FAC"/>
    <w:rsid w:val="005B41D1"/>
    <w:rsid w:val="005B4249"/>
    <w:rsid w:val="005B460E"/>
    <w:rsid w:val="005B4BF7"/>
    <w:rsid w:val="005B5443"/>
    <w:rsid w:val="005B5968"/>
    <w:rsid w:val="005B5BF8"/>
    <w:rsid w:val="005B6485"/>
    <w:rsid w:val="005B65AD"/>
    <w:rsid w:val="005B698C"/>
    <w:rsid w:val="005B6F91"/>
    <w:rsid w:val="005B71D8"/>
    <w:rsid w:val="005B7E64"/>
    <w:rsid w:val="005C0429"/>
    <w:rsid w:val="005C0D1D"/>
    <w:rsid w:val="005C1503"/>
    <w:rsid w:val="005C1662"/>
    <w:rsid w:val="005C25D3"/>
    <w:rsid w:val="005C2B8C"/>
    <w:rsid w:val="005C308F"/>
    <w:rsid w:val="005C33C8"/>
    <w:rsid w:val="005C3E96"/>
    <w:rsid w:val="005C416E"/>
    <w:rsid w:val="005C4625"/>
    <w:rsid w:val="005C4783"/>
    <w:rsid w:val="005C528C"/>
    <w:rsid w:val="005C5D46"/>
    <w:rsid w:val="005C5EE1"/>
    <w:rsid w:val="005C6333"/>
    <w:rsid w:val="005C68E9"/>
    <w:rsid w:val="005C6A2D"/>
    <w:rsid w:val="005C6CE0"/>
    <w:rsid w:val="005C6FF9"/>
    <w:rsid w:val="005C74D2"/>
    <w:rsid w:val="005C7F7C"/>
    <w:rsid w:val="005D0F81"/>
    <w:rsid w:val="005D13C8"/>
    <w:rsid w:val="005D16B3"/>
    <w:rsid w:val="005D1712"/>
    <w:rsid w:val="005D1C80"/>
    <w:rsid w:val="005D2605"/>
    <w:rsid w:val="005D2D53"/>
    <w:rsid w:val="005D36F4"/>
    <w:rsid w:val="005D4360"/>
    <w:rsid w:val="005D4A3F"/>
    <w:rsid w:val="005D4BCA"/>
    <w:rsid w:val="005D54E5"/>
    <w:rsid w:val="005D5ADA"/>
    <w:rsid w:val="005D5EB9"/>
    <w:rsid w:val="005D60DD"/>
    <w:rsid w:val="005D6190"/>
    <w:rsid w:val="005D6326"/>
    <w:rsid w:val="005D66D9"/>
    <w:rsid w:val="005D70E4"/>
    <w:rsid w:val="005E0214"/>
    <w:rsid w:val="005E16E0"/>
    <w:rsid w:val="005E24C5"/>
    <w:rsid w:val="005E2FEC"/>
    <w:rsid w:val="005E33F8"/>
    <w:rsid w:val="005E3CF7"/>
    <w:rsid w:val="005E4967"/>
    <w:rsid w:val="005E5164"/>
    <w:rsid w:val="005E5A47"/>
    <w:rsid w:val="005E5B01"/>
    <w:rsid w:val="005E5E6A"/>
    <w:rsid w:val="005E611F"/>
    <w:rsid w:val="005E6377"/>
    <w:rsid w:val="005E6F9F"/>
    <w:rsid w:val="005E7957"/>
    <w:rsid w:val="005F202F"/>
    <w:rsid w:val="005F2201"/>
    <w:rsid w:val="005F24B1"/>
    <w:rsid w:val="005F283C"/>
    <w:rsid w:val="005F3238"/>
    <w:rsid w:val="005F3993"/>
    <w:rsid w:val="005F45F6"/>
    <w:rsid w:val="005F4A0A"/>
    <w:rsid w:val="005F53DE"/>
    <w:rsid w:val="005F558B"/>
    <w:rsid w:val="005F6019"/>
    <w:rsid w:val="006001A7"/>
    <w:rsid w:val="00601223"/>
    <w:rsid w:val="00601890"/>
    <w:rsid w:val="006019CF"/>
    <w:rsid w:val="006022A2"/>
    <w:rsid w:val="006023BF"/>
    <w:rsid w:val="00602829"/>
    <w:rsid w:val="0060315F"/>
    <w:rsid w:val="00603704"/>
    <w:rsid w:val="00603BAE"/>
    <w:rsid w:val="00604268"/>
    <w:rsid w:val="006045D3"/>
    <w:rsid w:val="0060485B"/>
    <w:rsid w:val="00604DDE"/>
    <w:rsid w:val="0060580E"/>
    <w:rsid w:val="0060668D"/>
    <w:rsid w:val="00606A3C"/>
    <w:rsid w:val="006070B7"/>
    <w:rsid w:val="0061003E"/>
    <w:rsid w:val="00610489"/>
    <w:rsid w:val="00610A6F"/>
    <w:rsid w:val="00610CD8"/>
    <w:rsid w:val="006117A2"/>
    <w:rsid w:val="00612D04"/>
    <w:rsid w:val="006138F5"/>
    <w:rsid w:val="00613AED"/>
    <w:rsid w:val="00613DDC"/>
    <w:rsid w:val="00614967"/>
    <w:rsid w:val="00614E7B"/>
    <w:rsid w:val="006155E4"/>
    <w:rsid w:val="006158CD"/>
    <w:rsid w:val="0061593A"/>
    <w:rsid w:val="00617399"/>
    <w:rsid w:val="0061772F"/>
    <w:rsid w:val="00617A90"/>
    <w:rsid w:val="00620714"/>
    <w:rsid w:val="00620A98"/>
    <w:rsid w:val="00622A9C"/>
    <w:rsid w:val="00622C45"/>
    <w:rsid w:val="0062357D"/>
    <w:rsid w:val="006237B3"/>
    <w:rsid w:val="0062414C"/>
    <w:rsid w:val="006242E4"/>
    <w:rsid w:val="006258CD"/>
    <w:rsid w:val="0062599A"/>
    <w:rsid w:val="0062601F"/>
    <w:rsid w:val="006265CC"/>
    <w:rsid w:val="00627103"/>
    <w:rsid w:val="00627D65"/>
    <w:rsid w:val="006306CA"/>
    <w:rsid w:val="00630FC9"/>
    <w:rsid w:val="006313B3"/>
    <w:rsid w:val="00631D78"/>
    <w:rsid w:val="006323D9"/>
    <w:rsid w:val="0063387B"/>
    <w:rsid w:val="0063390E"/>
    <w:rsid w:val="00633997"/>
    <w:rsid w:val="00634261"/>
    <w:rsid w:val="0063488C"/>
    <w:rsid w:val="00634B7E"/>
    <w:rsid w:val="00636476"/>
    <w:rsid w:val="006368B3"/>
    <w:rsid w:val="006378E2"/>
    <w:rsid w:val="00640305"/>
    <w:rsid w:val="006411F3"/>
    <w:rsid w:val="0064166D"/>
    <w:rsid w:val="00643870"/>
    <w:rsid w:val="00643E8A"/>
    <w:rsid w:val="00643ED3"/>
    <w:rsid w:val="00644DAF"/>
    <w:rsid w:val="00646569"/>
    <w:rsid w:val="006466E0"/>
    <w:rsid w:val="0064759B"/>
    <w:rsid w:val="00650AD7"/>
    <w:rsid w:val="00651220"/>
    <w:rsid w:val="00651B77"/>
    <w:rsid w:val="00651CA9"/>
    <w:rsid w:val="00652AAC"/>
    <w:rsid w:val="00654B53"/>
    <w:rsid w:val="0065619A"/>
    <w:rsid w:val="00656388"/>
    <w:rsid w:val="00656FB2"/>
    <w:rsid w:val="006570FF"/>
    <w:rsid w:val="006600D2"/>
    <w:rsid w:val="0066150D"/>
    <w:rsid w:val="00661633"/>
    <w:rsid w:val="00661E50"/>
    <w:rsid w:val="0066202C"/>
    <w:rsid w:val="00662946"/>
    <w:rsid w:val="006633CE"/>
    <w:rsid w:val="006641E4"/>
    <w:rsid w:val="00664E27"/>
    <w:rsid w:val="00665E36"/>
    <w:rsid w:val="006662D3"/>
    <w:rsid w:val="00666425"/>
    <w:rsid w:val="006668DA"/>
    <w:rsid w:val="006671CD"/>
    <w:rsid w:val="006676D5"/>
    <w:rsid w:val="006679C3"/>
    <w:rsid w:val="00670531"/>
    <w:rsid w:val="006714FC"/>
    <w:rsid w:val="00671536"/>
    <w:rsid w:val="006717F6"/>
    <w:rsid w:val="0067231B"/>
    <w:rsid w:val="00672546"/>
    <w:rsid w:val="00672A81"/>
    <w:rsid w:val="0067320C"/>
    <w:rsid w:val="0067370C"/>
    <w:rsid w:val="0067411C"/>
    <w:rsid w:val="00674A60"/>
    <w:rsid w:val="0067513A"/>
    <w:rsid w:val="00675F5F"/>
    <w:rsid w:val="00677F6A"/>
    <w:rsid w:val="006806D4"/>
    <w:rsid w:val="006808A7"/>
    <w:rsid w:val="006842C5"/>
    <w:rsid w:val="00684323"/>
    <w:rsid w:val="0068598B"/>
    <w:rsid w:val="006863C7"/>
    <w:rsid w:val="006870BB"/>
    <w:rsid w:val="00690358"/>
    <w:rsid w:val="0069202B"/>
    <w:rsid w:val="0069222D"/>
    <w:rsid w:val="00693BD7"/>
    <w:rsid w:val="0069473A"/>
    <w:rsid w:val="00694B41"/>
    <w:rsid w:val="006952FF"/>
    <w:rsid w:val="0069585F"/>
    <w:rsid w:val="0069594D"/>
    <w:rsid w:val="00696FA5"/>
    <w:rsid w:val="006A110B"/>
    <w:rsid w:val="006A2F14"/>
    <w:rsid w:val="006A32BF"/>
    <w:rsid w:val="006A3848"/>
    <w:rsid w:val="006A5AE5"/>
    <w:rsid w:val="006A5C3A"/>
    <w:rsid w:val="006A76D0"/>
    <w:rsid w:val="006A7FB1"/>
    <w:rsid w:val="006B0125"/>
    <w:rsid w:val="006B04A2"/>
    <w:rsid w:val="006B05E9"/>
    <w:rsid w:val="006B0F07"/>
    <w:rsid w:val="006B116D"/>
    <w:rsid w:val="006B1592"/>
    <w:rsid w:val="006B1F48"/>
    <w:rsid w:val="006B22EE"/>
    <w:rsid w:val="006B2907"/>
    <w:rsid w:val="006B2FAF"/>
    <w:rsid w:val="006B37E0"/>
    <w:rsid w:val="006B3CA0"/>
    <w:rsid w:val="006B4EBD"/>
    <w:rsid w:val="006B5BC1"/>
    <w:rsid w:val="006B733A"/>
    <w:rsid w:val="006B7857"/>
    <w:rsid w:val="006B78AE"/>
    <w:rsid w:val="006C02A5"/>
    <w:rsid w:val="006C07C6"/>
    <w:rsid w:val="006C09FB"/>
    <w:rsid w:val="006C0A1A"/>
    <w:rsid w:val="006C0A3D"/>
    <w:rsid w:val="006C19FE"/>
    <w:rsid w:val="006C1CF8"/>
    <w:rsid w:val="006C3328"/>
    <w:rsid w:val="006C3D64"/>
    <w:rsid w:val="006C3FDE"/>
    <w:rsid w:val="006C4241"/>
    <w:rsid w:val="006C43C0"/>
    <w:rsid w:val="006C495C"/>
    <w:rsid w:val="006C49F5"/>
    <w:rsid w:val="006C5673"/>
    <w:rsid w:val="006C5BD7"/>
    <w:rsid w:val="006C6275"/>
    <w:rsid w:val="006C66A2"/>
    <w:rsid w:val="006C752F"/>
    <w:rsid w:val="006D103A"/>
    <w:rsid w:val="006D1516"/>
    <w:rsid w:val="006D197C"/>
    <w:rsid w:val="006D1E15"/>
    <w:rsid w:val="006D2F3C"/>
    <w:rsid w:val="006D3435"/>
    <w:rsid w:val="006D373F"/>
    <w:rsid w:val="006D39F1"/>
    <w:rsid w:val="006D48F2"/>
    <w:rsid w:val="006D4C5E"/>
    <w:rsid w:val="006D4D9D"/>
    <w:rsid w:val="006D518F"/>
    <w:rsid w:val="006D579C"/>
    <w:rsid w:val="006D5AF5"/>
    <w:rsid w:val="006D5DB1"/>
    <w:rsid w:val="006D77B5"/>
    <w:rsid w:val="006E06DE"/>
    <w:rsid w:val="006E0714"/>
    <w:rsid w:val="006E0C02"/>
    <w:rsid w:val="006E0F3B"/>
    <w:rsid w:val="006E1870"/>
    <w:rsid w:val="006E1C9E"/>
    <w:rsid w:val="006E2509"/>
    <w:rsid w:val="006E26FA"/>
    <w:rsid w:val="006E52FE"/>
    <w:rsid w:val="006E6576"/>
    <w:rsid w:val="006F02E3"/>
    <w:rsid w:val="006F1007"/>
    <w:rsid w:val="006F1FE6"/>
    <w:rsid w:val="006F30A1"/>
    <w:rsid w:val="006F3647"/>
    <w:rsid w:val="006F43C9"/>
    <w:rsid w:val="006F446F"/>
    <w:rsid w:val="006F481E"/>
    <w:rsid w:val="006F6475"/>
    <w:rsid w:val="006F7E97"/>
    <w:rsid w:val="007005AB"/>
    <w:rsid w:val="00700C82"/>
    <w:rsid w:val="00700F98"/>
    <w:rsid w:val="00701177"/>
    <w:rsid w:val="007014C7"/>
    <w:rsid w:val="007023BD"/>
    <w:rsid w:val="00702812"/>
    <w:rsid w:val="00702D05"/>
    <w:rsid w:val="007035B3"/>
    <w:rsid w:val="007036FC"/>
    <w:rsid w:val="00703C59"/>
    <w:rsid w:val="007047BA"/>
    <w:rsid w:val="00704E98"/>
    <w:rsid w:val="00704EB3"/>
    <w:rsid w:val="007051E5"/>
    <w:rsid w:val="0070573B"/>
    <w:rsid w:val="007059CD"/>
    <w:rsid w:val="00705ACE"/>
    <w:rsid w:val="007069D0"/>
    <w:rsid w:val="00710703"/>
    <w:rsid w:val="007112AC"/>
    <w:rsid w:val="00711BCC"/>
    <w:rsid w:val="00712FA9"/>
    <w:rsid w:val="00713B12"/>
    <w:rsid w:val="00715494"/>
    <w:rsid w:val="00715702"/>
    <w:rsid w:val="00715D9B"/>
    <w:rsid w:val="007166E9"/>
    <w:rsid w:val="007168F6"/>
    <w:rsid w:val="00716A6D"/>
    <w:rsid w:val="00716E3E"/>
    <w:rsid w:val="0071716A"/>
    <w:rsid w:val="0071719D"/>
    <w:rsid w:val="00717332"/>
    <w:rsid w:val="0071793A"/>
    <w:rsid w:val="00717A1E"/>
    <w:rsid w:val="00720B27"/>
    <w:rsid w:val="00720E81"/>
    <w:rsid w:val="00722842"/>
    <w:rsid w:val="00730CF9"/>
    <w:rsid w:val="00732DBA"/>
    <w:rsid w:val="00736946"/>
    <w:rsid w:val="00736F10"/>
    <w:rsid w:val="007370CA"/>
    <w:rsid w:val="00737E91"/>
    <w:rsid w:val="007403EA"/>
    <w:rsid w:val="00740CBA"/>
    <w:rsid w:val="00740EFD"/>
    <w:rsid w:val="007414D8"/>
    <w:rsid w:val="00742139"/>
    <w:rsid w:val="00744673"/>
    <w:rsid w:val="00744B37"/>
    <w:rsid w:val="00745068"/>
    <w:rsid w:val="007450DD"/>
    <w:rsid w:val="0074519C"/>
    <w:rsid w:val="00745254"/>
    <w:rsid w:val="0074547F"/>
    <w:rsid w:val="0074562A"/>
    <w:rsid w:val="007458A0"/>
    <w:rsid w:val="007458C6"/>
    <w:rsid w:val="007460BA"/>
    <w:rsid w:val="0074705A"/>
    <w:rsid w:val="00747112"/>
    <w:rsid w:val="00747974"/>
    <w:rsid w:val="00747A1B"/>
    <w:rsid w:val="00750C57"/>
    <w:rsid w:val="00751FAC"/>
    <w:rsid w:val="0075243F"/>
    <w:rsid w:val="00752918"/>
    <w:rsid w:val="00752DFB"/>
    <w:rsid w:val="007530C5"/>
    <w:rsid w:val="00754C22"/>
    <w:rsid w:val="00754D30"/>
    <w:rsid w:val="007563BA"/>
    <w:rsid w:val="0075759E"/>
    <w:rsid w:val="007616EC"/>
    <w:rsid w:val="007617D6"/>
    <w:rsid w:val="0076191D"/>
    <w:rsid w:val="00762650"/>
    <w:rsid w:val="0076315C"/>
    <w:rsid w:val="00764555"/>
    <w:rsid w:val="00764E16"/>
    <w:rsid w:val="00764E33"/>
    <w:rsid w:val="00765C95"/>
    <w:rsid w:val="00767051"/>
    <w:rsid w:val="0076770D"/>
    <w:rsid w:val="00770198"/>
    <w:rsid w:val="00771A76"/>
    <w:rsid w:val="007727ED"/>
    <w:rsid w:val="00775B44"/>
    <w:rsid w:val="00776197"/>
    <w:rsid w:val="00776333"/>
    <w:rsid w:val="00777043"/>
    <w:rsid w:val="007770BC"/>
    <w:rsid w:val="007776DA"/>
    <w:rsid w:val="007800BD"/>
    <w:rsid w:val="0078028C"/>
    <w:rsid w:val="00780D88"/>
    <w:rsid w:val="00783026"/>
    <w:rsid w:val="0078308E"/>
    <w:rsid w:val="0078322F"/>
    <w:rsid w:val="0078329F"/>
    <w:rsid w:val="00783C81"/>
    <w:rsid w:val="007840E1"/>
    <w:rsid w:val="0078417C"/>
    <w:rsid w:val="00784DD3"/>
    <w:rsid w:val="00785250"/>
    <w:rsid w:val="007858A3"/>
    <w:rsid w:val="00785956"/>
    <w:rsid w:val="00785E11"/>
    <w:rsid w:val="0078640A"/>
    <w:rsid w:val="00786510"/>
    <w:rsid w:val="007871BF"/>
    <w:rsid w:val="00787FC6"/>
    <w:rsid w:val="00790105"/>
    <w:rsid w:val="007910AE"/>
    <w:rsid w:val="0079122D"/>
    <w:rsid w:val="0079136D"/>
    <w:rsid w:val="007913A8"/>
    <w:rsid w:val="00791E4B"/>
    <w:rsid w:val="007931D7"/>
    <w:rsid w:val="00793DB7"/>
    <w:rsid w:val="00793E4F"/>
    <w:rsid w:val="007949F4"/>
    <w:rsid w:val="00795454"/>
    <w:rsid w:val="0079567C"/>
    <w:rsid w:val="007958FC"/>
    <w:rsid w:val="00795F96"/>
    <w:rsid w:val="00796F27"/>
    <w:rsid w:val="007976D3"/>
    <w:rsid w:val="00797992"/>
    <w:rsid w:val="007A1883"/>
    <w:rsid w:val="007A1CDA"/>
    <w:rsid w:val="007A1D27"/>
    <w:rsid w:val="007A1D8D"/>
    <w:rsid w:val="007A20BA"/>
    <w:rsid w:val="007A299D"/>
    <w:rsid w:val="007A3175"/>
    <w:rsid w:val="007A38C9"/>
    <w:rsid w:val="007A48B4"/>
    <w:rsid w:val="007A4900"/>
    <w:rsid w:val="007A5E37"/>
    <w:rsid w:val="007A5FDE"/>
    <w:rsid w:val="007A65B4"/>
    <w:rsid w:val="007A6E96"/>
    <w:rsid w:val="007A733E"/>
    <w:rsid w:val="007A798F"/>
    <w:rsid w:val="007A7D14"/>
    <w:rsid w:val="007B0588"/>
    <w:rsid w:val="007B0BDE"/>
    <w:rsid w:val="007B17BA"/>
    <w:rsid w:val="007B1E1D"/>
    <w:rsid w:val="007B2337"/>
    <w:rsid w:val="007B2B4D"/>
    <w:rsid w:val="007B2E5B"/>
    <w:rsid w:val="007B2F5B"/>
    <w:rsid w:val="007B37E9"/>
    <w:rsid w:val="007B3A4A"/>
    <w:rsid w:val="007B4A16"/>
    <w:rsid w:val="007B5666"/>
    <w:rsid w:val="007B5D9B"/>
    <w:rsid w:val="007B6E7A"/>
    <w:rsid w:val="007B6F9F"/>
    <w:rsid w:val="007B706D"/>
    <w:rsid w:val="007B76A1"/>
    <w:rsid w:val="007B7EA5"/>
    <w:rsid w:val="007C0408"/>
    <w:rsid w:val="007C0C47"/>
    <w:rsid w:val="007C1CE6"/>
    <w:rsid w:val="007C1DF4"/>
    <w:rsid w:val="007C246D"/>
    <w:rsid w:val="007C2B3C"/>
    <w:rsid w:val="007C2D2F"/>
    <w:rsid w:val="007C3186"/>
    <w:rsid w:val="007C3DD3"/>
    <w:rsid w:val="007C429B"/>
    <w:rsid w:val="007C4982"/>
    <w:rsid w:val="007C4AA9"/>
    <w:rsid w:val="007C4DAA"/>
    <w:rsid w:val="007C5148"/>
    <w:rsid w:val="007C568A"/>
    <w:rsid w:val="007C5B96"/>
    <w:rsid w:val="007C6FA2"/>
    <w:rsid w:val="007C7D7F"/>
    <w:rsid w:val="007D1648"/>
    <w:rsid w:val="007D2024"/>
    <w:rsid w:val="007D21B1"/>
    <w:rsid w:val="007D2603"/>
    <w:rsid w:val="007D2823"/>
    <w:rsid w:val="007D2942"/>
    <w:rsid w:val="007D2C6F"/>
    <w:rsid w:val="007D30D8"/>
    <w:rsid w:val="007D3371"/>
    <w:rsid w:val="007D3CB0"/>
    <w:rsid w:val="007D42BF"/>
    <w:rsid w:val="007D4A9D"/>
    <w:rsid w:val="007D4EFA"/>
    <w:rsid w:val="007D4F93"/>
    <w:rsid w:val="007D5103"/>
    <w:rsid w:val="007D52FC"/>
    <w:rsid w:val="007D54AC"/>
    <w:rsid w:val="007D596F"/>
    <w:rsid w:val="007D6BFD"/>
    <w:rsid w:val="007D6D7C"/>
    <w:rsid w:val="007D7352"/>
    <w:rsid w:val="007E23CB"/>
    <w:rsid w:val="007E261F"/>
    <w:rsid w:val="007E2E3F"/>
    <w:rsid w:val="007E45A0"/>
    <w:rsid w:val="007E5290"/>
    <w:rsid w:val="007E5706"/>
    <w:rsid w:val="007E5983"/>
    <w:rsid w:val="007E69DB"/>
    <w:rsid w:val="007E6CF6"/>
    <w:rsid w:val="007E7121"/>
    <w:rsid w:val="007E728A"/>
    <w:rsid w:val="007E760F"/>
    <w:rsid w:val="007F0499"/>
    <w:rsid w:val="007F0B25"/>
    <w:rsid w:val="007F11C2"/>
    <w:rsid w:val="007F2FF0"/>
    <w:rsid w:val="007F309D"/>
    <w:rsid w:val="007F3A45"/>
    <w:rsid w:val="007F3C85"/>
    <w:rsid w:val="007F49A4"/>
    <w:rsid w:val="007F5248"/>
    <w:rsid w:val="007F5617"/>
    <w:rsid w:val="007F617C"/>
    <w:rsid w:val="007F6AF2"/>
    <w:rsid w:val="007F6D9F"/>
    <w:rsid w:val="007F79D2"/>
    <w:rsid w:val="007F7A5A"/>
    <w:rsid w:val="00800743"/>
    <w:rsid w:val="00800EB7"/>
    <w:rsid w:val="0080200F"/>
    <w:rsid w:val="00802179"/>
    <w:rsid w:val="00802311"/>
    <w:rsid w:val="00805570"/>
    <w:rsid w:val="00806D26"/>
    <w:rsid w:val="00807038"/>
    <w:rsid w:val="0080792A"/>
    <w:rsid w:val="00810032"/>
    <w:rsid w:val="008106DE"/>
    <w:rsid w:val="00810B95"/>
    <w:rsid w:val="00810C7E"/>
    <w:rsid w:val="008129EE"/>
    <w:rsid w:val="00812D69"/>
    <w:rsid w:val="00813AAE"/>
    <w:rsid w:val="0081488E"/>
    <w:rsid w:val="00815274"/>
    <w:rsid w:val="008157B4"/>
    <w:rsid w:val="00817288"/>
    <w:rsid w:val="0081736B"/>
    <w:rsid w:val="00817407"/>
    <w:rsid w:val="00817A09"/>
    <w:rsid w:val="00817B10"/>
    <w:rsid w:val="00817D40"/>
    <w:rsid w:val="008200B1"/>
    <w:rsid w:val="00820CE4"/>
    <w:rsid w:val="008213BE"/>
    <w:rsid w:val="00821407"/>
    <w:rsid w:val="008217BA"/>
    <w:rsid w:val="00821D28"/>
    <w:rsid w:val="00822D80"/>
    <w:rsid w:val="008237CC"/>
    <w:rsid w:val="008237F1"/>
    <w:rsid w:val="008243B1"/>
    <w:rsid w:val="00824432"/>
    <w:rsid w:val="0082495A"/>
    <w:rsid w:val="008254FB"/>
    <w:rsid w:val="0082555B"/>
    <w:rsid w:val="00825BF9"/>
    <w:rsid w:val="0082625C"/>
    <w:rsid w:val="00826487"/>
    <w:rsid w:val="00826A1C"/>
    <w:rsid w:val="00827146"/>
    <w:rsid w:val="008272DA"/>
    <w:rsid w:val="00827357"/>
    <w:rsid w:val="00827644"/>
    <w:rsid w:val="00827B48"/>
    <w:rsid w:val="00830883"/>
    <w:rsid w:val="008327FC"/>
    <w:rsid w:val="00832A8D"/>
    <w:rsid w:val="00834D65"/>
    <w:rsid w:val="00835D0D"/>
    <w:rsid w:val="008363A2"/>
    <w:rsid w:val="0084190A"/>
    <w:rsid w:val="008429E4"/>
    <w:rsid w:val="00842ADA"/>
    <w:rsid w:val="00842FE1"/>
    <w:rsid w:val="008430F9"/>
    <w:rsid w:val="00843789"/>
    <w:rsid w:val="00843944"/>
    <w:rsid w:val="00843AD3"/>
    <w:rsid w:val="0084431A"/>
    <w:rsid w:val="00844F2C"/>
    <w:rsid w:val="00845869"/>
    <w:rsid w:val="008461CF"/>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457E"/>
    <w:rsid w:val="00855321"/>
    <w:rsid w:val="00855AB6"/>
    <w:rsid w:val="00855CEC"/>
    <w:rsid w:val="00855EAA"/>
    <w:rsid w:val="00856A7E"/>
    <w:rsid w:val="00857161"/>
    <w:rsid w:val="00857182"/>
    <w:rsid w:val="008618EE"/>
    <w:rsid w:val="00861B02"/>
    <w:rsid w:val="00862218"/>
    <w:rsid w:val="008625D9"/>
    <w:rsid w:val="00862CA0"/>
    <w:rsid w:val="0086342A"/>
    <w:rsid w:val="00863C36"/>
    <w:rsid w:val="00863F7A"/>
    <w:rsid w:val="008645AA"/>
    <w:rsid w:val="00864740"/>
    <w:rsid w:val="008647A4"/>
    <w:rsid w:val="00864EE3"/>
    <w:rsid w:val="0086523B"/>
    <w:rsid w:val="00865D43"/>
    <w:rsid w:val="00866D09"/>
    <w:rsid w:val="00867DE9"/>
    <w:rsid w:val="00870275"/>
    <w:rsid w:val="00870DDF"/>
    <w:rsid w:val="00872B8D"/>
    <w:rsid w:val="0087343C"/>
    <w:rsid w:val="008750F0"/>
    <w:rsid w:val="0087630C"/>
    <w:rsid w:val="0087664B"/>
    <w:rsid w:val="0087708A"/>
    <w:rsid w:val="00877BFC"/>
    <w:rsid w:val="008806ED"/>
    <w:rsid w:val="00880C1F"/>
    <w:rsid w:val="0088237A"/>
    <w:rsid w:val="0088251C"/>
    <w:rsid w:val="00884453"/>
    <w:rsid w:val="00885006"/>
    <w:rsid w:val="008856EE"/>
    <w:rsid w:val="00885D5D"/>
    <w:rsid w:val="00886269"/>
    <w:rsid w:val="00886DA3"/>
    <w:rsid w:val="00887E79"/>
    <w:rsid w:val="0089010F"/>
    <w:rsid w:val="00890177"/>
    <w:rsid w:val="008902C4"/>
    <w:rsid w:val="00890749"/>
    <w:rsid w:val="00891DCE"/>
    <w:rsid w:val="00892A31"/>
    <w:rsid w:val="008931EA"/>
    <w:rsid w:val="0089334B"/>
    <w:rsid w:val="00893535"/>
    <w:rsid w:val="0089386D"/>
    <w:rsid w:val="00893D64"/>
    <w:rsid w:val="00893E3E"/>
    <w:rsid w:val="00894011"/>
    <w:rsid w:val="0089491A"/>
    <w:rsid w:val="00894B84"/>
    <w:rsid w:val="00895609"/>
    <w:rsid w:val="008956BE"/>
    <w:rsid w:val="008957F2"/>
    <w:rsid w:val="00895B40"/>
    <w:rsid w:val="008969D8"/>
    <w:rsid w:val="008A1791"/>
    <w:rsid w:val="008A298A"/>
    <w:rsid w:val="008A2AC9"/>
    <w:rsid w:val="008A3158"/>
    <w:rsid w:val="008A343D"/>
    <w:rsid w:val="008A36AE"/>
    <w:rsid w:val="008A36D2"/>
    <w:rsid w:val="008A3A4E"/>
    <w:rsid w:val="008A3C50"/>
    <w:rsid w:val="008A453F"/>
    <w:rsid w:val="008A4618"/>
    <w:rsid w:val="008A51D3"/>
    <w:rsid w:val="008A527C"/>
    <w:rsid w:val="008A53F5"/>
    <w:rsid w:val="008A5BDF"/>
    <w:rsid w:val="008A5CE8"/>
    <w:rsid w:val="008A6BFA"/>
    <w:rsid w:val="008B050C"/>
    <w:rsid w:val="008B0591"/>
    <w:rsid w:val="008B07E9"/>
    <w:rsid w:val="008B0CF0"/>
    <w:rsid w:val="008B17A1"/>
    <w:rsid w:val="008B19EF"/>
    <w:rsid w:val="008B1A84"/>
    <w:rsid w:val="008B1BD1"/>
    <w:rsid w:val="008B2ACD"/>
    <w:rsid w:val="008B33F3"/>
    <w:rsid w:val="008B3C2A"/>
    <w:rsid w:val="008B421E"/>
    <w:rsid w:val="008B500F"/>
    <w:rsid w:val="008B5265"/>
    <w:rsid w:val="008B558E"/>
    <w:rsid w:val="008B5A74"/>
    <w:rsid w:val="008B65CD"/>
    <w:rsid w:val="008B6DA4"/>
    <w:rsid w:val="008B7771"/>
    <w:rsid w:val="008B7893"/>
    <w:rsid w:val="008B7E5F"/>
    <w:rsid w:val="008B7F05"/>
    <w:rsid w:val="008C093F"/>
    <w:rsid w:val="008C1866"/>
    <w:rsid w:val="008C1DBA"/>
    <w:rsid w:val="008C30A0"/>
    <w:rsid w:val="008C32DE"/>
    <w:rsid w:val="008C3593"/>
    <w:rsid w:val="008C4A17"/>
    <w:rsid w:val="008C4D47"/>
    <w:rsid w:val="008C4F82"/>
    <w:rsid w:val="008C5A0B"/>
    <w:rsid w:val="008C5AFC"/>
    <w:rsid w:val="008C5E01"/>
    <w:rsid w:val="008C69AD"/>
    <w:rsid w:val="008C7B43"/>
    <w:rsid w:val="008C7E1F"/>
    <w:rsid w:val="008D00CD"/>
    <w:rsid w:val="008D0237"/>
    <w:rsid w:val="008D0B84"/>
    <w:rsid w:val="008D1BD1"/>
    <w:rsid w:val="008D3471"/>
    <w:rsid w:val="008D40DA"/>
    <w:rsid w:val="008D47F0"/>
    <w:rsid w:val="008D49DF"/>
    <w:rsid w:val="008D4AFA"/>
    <w:rsid w:val="008D4EF6"/>
    <w:rsid w:val="008D604A"/>
    <w:rsid w:val="008D6109"/>
    <w:rsid w:val="008D63C9"/>
    <w:rsid w:val="008D6D56"/>
    <w:rsid w:val="008D758A"/>
    <w:rsid w:val="008E05A8"/>
    <w:rsid w:val="008E1101"/>
    <w:rsid w:val="008E1791"/>
    <w:rsid w:val="008E1CB9"/>
    <w:rsid w:val="008E212E"/>
    <w:rsid w:val="008E2597"/>
    <w:rsid w:val="008E2825"/>
    <w:rsid w:val="008E454A"/>
    <w:rsid w:val="008E4A3D"/>
    <w:rsid w:val="008E57B2"/>
    <w:rsid w:val="008E59CD"/>
    <w:rsid w:val="008E5E44"/>
    <w:rsid w:val="008E706A"/>
    <w:rsid w:val="008E768E"/>
    <w:rsid w:val="008F03E0"/>
    <w:rsid w:val="008F03E4"/>
    <w:rsid w:val="008F0771"/>
    <w:rsid w:val="008F09E3"/>
    <w:rsid w:val="008F0A22"/>
    <w:rsid w:val="008F11B3"/>
    <w:rsid w:val="008F1884"/>
    <w:rsid w:val="008F2275"/>
    <w:rsid w:val="008F235B"/>
    <w:rsid w:val="008F2373"/>
    <w:rsid w:val="008F2515"/>
    <w:rsid w:val="008F27D9"/>
    <w:rsid w:val="008F297E"/>
    <w:rsid w:val="008F2B45"/>
    <w:rsid w:val="008F2B58"/>
    <w:rsid w:val="008F3288"/>
    <w:rsid w:val="008F32EF"/>
    <w:rsid w:val="008F33B7"/>
    <w:rsid w:val="008F33DF"/>
    <w:rsid w:val="008F37BC"/>
    <w:rsid w:val="008F39A2"/>
    <w:rsid w:val="008F4707"/>
    <w:rsid w:val="008F47D1"/>
    <w:rsid w:val="008F63FB"/>
    <w:rsid w:val="008F67D5"/>
    <w:rsid w:val="008F6FB0"/>
    <w:rsid w:val="009004E6"/>
    <w:rsid w:val="00900B1B"/>
    <w:rsid w:val="00900D39"/>
    <w:rsid w:val="009011DE"/>
    <w:rsid w:val="00902707"/>
    <w:rsid w:val="009027B8"/>
    <w:rsid w:val="0090460E"/>
    <w:rsid w:val="00904A73"/>
    <w:rsid w:val="00904D2F"/>
    <w:rsid w:val="0090556D"/>
    <w:rsid w:val="00905C1A"/>
    <w:rsid w:val="009060E1"/>
    <w:rsid w:val="0090628B"/>
    <w:rsid w:val="0090657E"/>
    <w:rsid w:val="00906CF9"/>
    <w:rsid w:val="00906E90"/>
    <w:rsid w:val="00906EBE"/>
    <w:rsid w:val="009071B9"/>
    <w:rsid w:val="009072E4"/>
    <w:rsid w:val="00907ACC"/>
    <w:rsid w:val="00907D71"/>
    <w:rsid w:val="00907DBB"/>
    <w:rsid w:val="00911CD9"/>
    <w:rsid w:val="00912533"/>
    <w:rsid w:val="0091383B"/>
    <w:rsid w:val="00913985"/>
    <w:rsid w:val="009141C2"/>
    <w:rsid w:val="00914B22"/>
    <w:rsid w:val="00916087"/>
    <w:rsid w:val="00916C7D"/>
    <w:rsid w:val="0091727F"/>
    <w:rsid w:val="00920087"/>
    <w:rsid w:val="009202CF"/>
    <w:rsid w:val="009204E1"/>
    <w:rsid w:val="00921641"/>
    <w:rsid w:val="0092218E"/>
    <w:rsid w:val="009224C0"/>
    <w:rsid w:val="00923844"/>
    <w:rsid w:val="0092384E"/>
    <w:rsid w:val="00924A67"/>
    <w:rsid w:val="00924D32"/>
    <w:rsid w:val="00924D4E"/>
    <w:rsid w:val="00925212"/>
    <w:rsid w:val="0092550D"/>
    <w:rsid w:val="00925AE9"/>
    <w:rsid w:val="00925D8C"/>
    <w:rsid w:val="009261D5"/>
    <w:rsid w:val="00926376"/>
    <w:rsid w:val="00926BA1"/>
    <w:rsid w:val="00926BE8"/>
    <w:rsid w:val="00930168"/>
    <w:rsid w:val="00930402"/>
    <w:rsid w:val="009306A4"/>
    <w:rsid w:val="00930BD9"/>
    <w:rsid w:val="0093103E"/>
    <w:rsid w:val="00931B5B"/>
    <w:rsid w:val="00931C8B"/>
    <w:rsid w:val="00931F62"/>
    <w:rsid w:val="009327B0"/>
    <w:rsid w:val="00933677"/>
    <w:rsid w:val="00933E62"/>
    <w:rsid w:val="00934499"/>
    <w:rsid w:val="00934857"/>
    <w:rsid w:val="00935BDE"/>
    <w:rsid w:val="00935C63"/>
    <w:rsid w:val="00935E8B"/>
    <w:rsid w:val="009363D1"/>
    <w:rsid w:val="009371DA"/>
    <w:rsid w:val="0093772B"/>
    <w:rsid w:val="009378BF"/>
    <w:rsid w:val="00940936"/>
    <w:rsid w:val="00940AD0"/>
    <w:rsid w:val="0094130C"/>
    <w:rsid w:val="00942492"/>
    <w:rsid w:val="00943196"/>
    <w:rsid w:val="009432E0"/>
    <w:rsid w:val="00943901"/>
    <w:rsid w:val="00944221"/>
    <w:rsid w:val="009443C8"/>
    <w:rsid w:val="00944BCC"/>
    <w:rsid w:val="009459B7"/>
    <w:rsid w:val="00945C94"/>
    <w:rsid w:val="00947121"/>
    <w:rsid w:val="00947900"/>
    <w:rsid w:val="00950400"/>
    <w:rsid w:val="00950BC6"/>
    <w:rsid w:val="00952542"/>
    <w:rsid w:val="009526EE"/>
    <w:rsid w:val="00952C3E"/>
    <w:rsid w:val="00952EEC"/>
    <w:rsid w:val="009530E2"/>
    <w:rsid w:val="009530FF"/>
    <w:rsid w:val="009538E7"/>
    <w:rsid w:val="00953F61"/>
    <w:rsid w:val="009548C0"/>
    <w:rsid w:val="00955A46"/>
    <w:rsid w:val="00955BCB"/>
    <w:rsid w:val="00955C26"/>
    <w:rsid w:val="00955D98"/>
    <w:rsid w:val="00955E3B"/>
    <w:rsid w:val="0095611B"/>
    <w:rsid w:val="0095744D"/>
    <w:rsid w:val="00957ACD"/>
    <w:rsid w:val="00961234"/>
    <w:rsid w:val="00961421"/>
    <w:rsid w:val="009625C6"/>
    <w:rsid w:val="00964212"/>
    <w:rsid w:val="009645F7"/>
    <w:rsid w:val="00964794"/>
    <w:rsid w:val="00964ECA"/>
    <w:rsid w:val="00964F38"/>
    <w:rsid w:val="0096588F"/>
    <w:rsid w:val="00965A2F"/>
    <w:rsid w:val="009660EF"/>
    <w:rsid w:val="00966336"/>
    <w:rsid w:val="00966763"/>
    <w:rsid w:val="009703DC"/>
    <w:rsid w:val="00970D03"/>
    <w:rsid w:val="00970F77"/>
    <w:rsid w:val="00971303"/>
    <w:rsid w:val="00972A55"/>
    <w:rsid w:val="009742DB"/>
    <w:rsid w:val="009745E1"/>
    <w:rsid w:val="009759DB"/>
    <w:rsid w:val="00976300"/>
    <w:rsid w:val="00976C80"/>
    <w:rsid w:val="0097725D"/>
    <w:rsid w:val="00977B99"/>
    <w:rsid w:val="0098043F"/>
    <w:rsid w:val="0098064C"/>
    <w:rsid w:val="009814E7"/>
    <w:rsid w:val="00981539"/>
    <w:rsid w:val="00981A5D"/>
    <w:rsid w:val="0098282D"/>
    <w:rsid w:val="00982848"/>
    <w:rsid w:val="0098292B"/>
    <w:rsid w:val="00983A6B"/>
    <w:rsid w:val="00983CA8"/>
    <w:rsid w:val="00984597"/>
    <w:rsid w:val="0098494E"/>
    <w:rsid w:val="00984DAD"/>
    <w:rsid w:val="00986975"/>
    <w:rsid w:val="00986FBA"/>
    <w:rsid w:val="00987223"/>
    <w:rsid w:val="00987E95"/>
    <w:rsid w:val="009922EF"/>
    <w:rsid w:val="00993D5F"/>
    <w:rsid w:val="00994F63"/>
    <w:rsid w:val="009952A1"/>
    <w:rsid w:val="00996801"/>
    <w:rsid w:val="00997654"/>
    <w:rsid w:val="00997B93"/>
    <w:rsid w:val="00997C34"/>
    <w:rsid w:val="009A0474"/>
    <w:rsid w:val="009A052A"/>
    <w:rsid w:val="009A0DB9"/>
    <w:rsid w:val="009A0F28"/>
    <w:rsid w:val="009A1EF3"/>
    <w:rsid w:val="009A24C1"/>
    <w:rsid w:val="009A2842"/>
    <w:rsid w:val="009A29ED"/>
    <w:rsid w:val="009A2F12"/>
    <w:rsid w:val="009A305F"/>
    <w:rsid w:val="009A308F"/>
    <w:rsid w:val="009A322C"/>
    <w:rsid w:val="009A43D9"/>
    <w:rsid w:val="009A45D8"/>
    <w:rsid w:val="009A4776"/>
    <w:rsid w:val="009A48A3"/>
    <w:rsid w:val="009A4C33"/>
    <w:rsid w:val="009A4EF8"/>
    <w:rsid w:val="009A5128"/>
    <w:rsid w:val="009A52C5"/>
    <w:rsid w:val="009A5568"/>
    <w:rsid w:val="009A5587"/>
    <w:rsid w:val="009A56C3"/>
    <w:rsid w:val="009A65BA"/>
    <w:rsid w:val="009A6805"/>
    <w:rsid w:val="009A70A1"/>
    <w:rsid w:val="009A720F"/>
    <w:rsid w:val="009A7259"/>
    <w:rsid w:val="009B082C"/>
    <w:rsid w:val="009B1157"/>
    <w:rsid w:val="009B1430"/>
    <w:rsid w:val="009B1E5C"/>
    <w:rsid w:val="009B1EC9"/>
    <w:rsid w:val="009B279B"/>
    <w:rsid w:val="009B292E"/>
    <w:rsid w:val="009B2C35"/>
    <w:rsid w:val="009B2D0A"/>
    <w:rsid w:val="009B2E18"/>
    <w:rsid w:val="009B35F2"/>
    <w:rsid w:val="009B3CE1"/>
    <w:rsid w:val="009B565E"/>
    <w:rsid w:val="009B5B94"/>
    <w:rsid w:val="009B60A2"/>
    <w:rsid w:val="009B65AC"/>
    <w:rsid w:val="009B687D"/>
    <w:rsid w:val="009B6A0B"/>
    <w:rsid w:val="009B72B3"/>
    <w:rsid w:val="009B746F"/>
    <w:rsid w:val="009B7A07"/>
    <w:rsid w:val="009C0014"/>
    <w:rsid w:val="009C042B"/>
    <w:rsid w:val="009C09C4"/>
    <w:rsid w:val="009C120D"/>
    <w:rsid w:val="009C1A83"/>
    <w:rsid w:val="009C1CC7"/>
    <w:rsid w:val="009C1F02"/>
    <w:rsid w:val="009C217F"/>
    <w:rsid w:val="009C436F"/>
    <w:rsid w:val="009C4BD2"/>
    <w:rsid w:val="009C564F"/>
    <w:rsid w:val="009C63ED"/>
    <w:rsid w:val="009C6940"/>
    <w:rsid w:val="009D0125"/>
    <w:rsid w:val="009D0355"/>
    <w:rsid w:val="009D278B"/>
    <w:rsid w:val="009D29CD"/>
    <w:rsid w:val="009D2D10"/>
    <w:rsid w:val="009D3AAD"/>
    <w:rsid w:val="009D3F8D"/>
    <w:rsid w:val="009D41BA"/>
    <w:rsid w:val="009D549B"/>
    <w:rsid w:val="009D650C"/>
    <w:rsid w:val="009D6F06"/>
    <w:rsid w:val="009D7C5A"/>
    <w:rsid w:val="009E2232"/>
    <w:rsid w:val="009E2340"/>
    <w:rsid w:val="009E23AB"/>
    <w:rsid w:val="009E29F3"/>
    <w:rsid w:val="009E2B12"/>
    <w:rsid w:val="009E3ADD"/>
    <w:rsid w:val="009E3ED5"/>
    <w:rsid w:val="009E4F59"/>
    <w:rsid w:val="009E56FC"/>
    <w:rsid w:val="009E5AAB"/>
    <w:rsid w:val="009E6E7F"/>
    <w:rsid w:val="009E6FE5"/>
    <w:rsid w:val="009E7725"/>
    <w:rsid w:val="009E7A9D"/>
    <w:rsid w:val="009F1C1F"/>
    <w:rsid w:val="009F20B5"/>
    <w:rsid w:val="009F24A3"/>
    <w:rsid w:val="009F250D"/>
    <w:rsid w:val="009F268B"/>
    <w:rsid w:val="009F4651"/>
    <w:rsid w:val="009F496F"/>
    <w:rsid w:val="009F5C99"/>
    <w:rsid w:val="009F61CE"/>
    <w:rsid w:val="009F6570"/>
    <w:rsid w:val="009F7263"/>
    <w:rsid w:val="009F7E89"/>
    <w:rsid w:val="009F7F0D"/>
    <w:rsid w:val="00A024C7"/>
    <w:rsid w:val="00A0278A"/>
    <w:rsid w:val="00A028C6"/>
    <w:rsid w:val="00A02D9E"/>
    <w:rsid w:val="00A02FF9"/>
    <w:rsid w:val="00A030C2"/>
    <w:rsid w:val="00A03224"/>
    <w:rsid w:val="00A03724"/>
    <w:rsid w:val="00A0507F"/>
    <w:rsid w:val="00A05FA8"/>
    <w:rsid w:val="00A060AF"/>
    <w:rsid w:val="00A068E4"/>
    <w:rsid w:val="00A10B9E"/>
    <w:rsid w:val="00A10EDF"/>
    <w:rsid w:val="00A11D2B"/>
    <w:rsid w:val="00A1233C"/>
    <w:rsid w:val="00A124D5"/>
    <w:rsid w:val="00A1286E"/>
    <w:rsid w:val="00A12B36"/>
    <w:rsid w:val="00A14CC2"/>
    <w:rsid w:val="00A15F05"/>
    <w:rsid w:val="00A1622C"/>
    <w:rsid w:val="00A16A88"/>
    <w:rsid w:val="00A16C2F"/>
    <w:rsid w:val="00A170B1"/>
    <w:rsid w:val="00A17E26"/>
    <w:rsid w:val="00A20C4F"/>
    <w:rsid w:val="00A20D79"/>
    <w:rsid w:val="00A219D5"/>
    <w:rsid w:val="00A21A20"/>
    <w:rsid w:val="00A21DA5"/>
    <w:rsid w:val="00A220DA"/>
    <w:rsid w:val="00A22405"/>
    <w:rsid w:val="00A22450"/>
    <w:rsid w:val="00A234BC"/>
    <w:rsid w:val="00A24340"/>
    <w:rsid w:val="00A244C2"/>
    <w:rsid w:val="00A24BCC"/>
    <w:rsid w:val="00A24FF5"/>
    <w:rsid w:val="00A253B4"/>
    <w:rsid w:val="00A25893"/>
    <w:rsid w:val="00A2729B"/>
    <w:rsid w:val="00A27323"/>
    <w:rsid w:val="00A27398"/>
    <w:rsid w:val="00A275B2"/>
    <w:rsid w:val="00A276DC"/>
    <w:rsid w:val="00A27FEC"/>
    <w:rsid w:val="00A31F19"/>
    <w:rsid w:val="00A32383"/>
    <w:rsid w:val="00A3297C"/>
    <w:rsid w:val="00A33005"/>
    <w:rsid w:val="00A33DB9"/>
    <w:rsid w:val="00A34AB2"/>
    <w:rsid w:val="00A35389"/>
    <w:rsid w:val="00A354E6"/>
    <w:rsid w:val="00A36AA3"/>
    <w:rsid w:val="00A36C13"/>
    <w:rsid w:val="00A36CF0"/>
    <w:rsid w:val="00A40256"/>
    <w:rsid w:val="00A404BD"/>
    <w:rsid w:val="00A40C3F"/>
    <w:rsid w:val="00A41529"/>
    <w:rsid w:val="00A41DD3"/>
    <w:rsid w:val="00A4243F"/>
    <w:rsid w:val="00A42CBE"/>
    <w:rsid w:val="00A42F53"/>
    <w:rsid w:val="00A448BB"/>
    <w:rsid w:val="00A44BB4"/>
    <w:rsid w:val="00A4509F"/>
    <w:rsid w:val="00A45B71"/>
    <w:rsid w:val="00A45E26"/>
    <w:rsid w:val="00A46764"/>
    <w:rsid w:val="00A474DE"/>
    <w:rsid w:val="00A5039C"/>
    <w:rsid w:val="00A505EE"/>
    <w:rsid w:val="00A50926"/>
    <w:rsid w:val="00A519B6"/>
    <w:rsid w:val="00A5240B"/>
    <w:rsid w:val="00A52690"/>
    <w:rsid w:val="00A54087"/>
    <w:rsid w:val="00A54486"/>
    <w:rsid w:val="00A546CE"/>
    <w:rsid w:val="00A5524A"/>
    <w:rsid w:val="00A55586"/>
    <w:rsid w:val="00A55A47"/>
    <w:rsid w:val="00A57977"/>
    <w:rsid w:val="00A5799F"/>
    <w:rsid w:val="00A57C19"/>
    <w:rsid w:val="00A611FF"/>
    <w:rsid w:val="00A620ED"/>
    <w:rsid w:val="00A627EB"/>
    <w:rsid w:val="00A63EBD"/>
    <w:rsid w:val="00A6413A"/>
    <w:rsid w:val="00A6422B"/>
    <w:rsid w:val="00A64646"/>
    <w:rsid w:val="00A66A3B"/>
    <w:rsid w:val="00A66BBF"/>
    <w:rsid w:val="00A66E85"/>
    <w:rsid w:val="00A66F8A"/>
    <w:rsid w:val="00A67268"/>
    <w:rsid w:val="00A6744A"/>
    <w:rsid w:val="00A73818"/>
    <w:rsid w:val="00A74081"/>
    <w:rsid w:val="00A74266"/>
    <w:rsid w:val="00A751C6"/>
    <w:rsid w:val="00A75392"/>
    <w:rsid w:val="00A758B8"/>
    <w:rsid w:val="00A774A9"/>
    <w:rsid w:val="00A7787A"/>
    <w:rsid w:val="00A77B63"/>
    <w:rsid w:val="00A8012E"/>
    <w:rsid w:val="00A80306"/>
    <w:rsid w:val="00A803AD"/>
    <w:rsid w:val="00A80F4E"/>
    <w:rsid w:val="00A828DB"/>
    <w:rsid w:val="00A82F24"/>
    <w:rsid w:val="00A82FC3"/>
    <w:rsid w:val="00A83146"/>
    <w:rsid w:val="00A83CDE"/>
    <w:rsid w:val="00A851E8"/>
    <w:rsid w:val="00A85431"/>
    <w:rsid w:val="00A85F9D"/>
    <w:rsid w:val="00A90ABC"/>
    <w:rsid w:val="00A92588"/>
    <w:rsid w:val="00A9289E"/>
    <w:rsid w:val="00A92B92"/>
    <w:rsid w:val="00A92BE3"/>
    <w:rsid w:val="00A938D8"/>
    <w:rsid w:val="00A93944"/>
    <w:rsid w:val="00A9445C"/>
    <w:rsid w:val="00A95569"/>
    <w:rsid w:val="00A956E2"/>
    <w:rsid w:val="00A958D5"/>
    <w:rsid w:val="00A95D8B"/>
    <w:rsid w:val="00A96231"/>
    <w:rsid w:val="00A962CB"/>
    <w:rsid w:val="00A96484"/>
    <w:rsid w:val="00A96731"/>
    <w:rsid w:val="00A9690A"/>
    <w:rsid w:val="00A96DD1"/>
    <w:rsid w:val="00A97C7A"/>
    <w:rsid w:val="00A97EE5"/>
    <w:rsid w:val="00A97FBB"/>
    <w:rsid w:val="00AA02E7"/>
    <w:rsid w:val="00AA04DD"/>
    <w:rsid w:val="00AA05BE"/>
    <w:rsid w:val="00AA1360"/>
    <w:rsid w:val="00AA14DE"/>
    <w:rsid w:val="00AA22B5"/>
    <w:rsid w:val="00AA41D2"/>
    <w:rsid w:val="00AA4617"/>
    <w:rsid w:val="00AA4AF2"/>
    <w:rsid w:val="00AA5141"/>
    <w:rsid w:val="00AA57B2"/>
    <w:rsid w:val="00AA5E5D"/>
    <w:rsid w:val="00AA65A6"/>
    <w:rsid w:val="00AA721E"/>
    <w:rsid w:val="00AB041A"/>
    <w:rsid w:val="00AB0512"/>
    <w:rsid w:val="00AB113D"/>
    <w:rsid w:val="00AB1378"/>
    <w:rsid w:val="00AB18C9"/>
    <w:rsid w:val="00AB210B"/>
    <w:rsid w:val="00AB2A90"/>
    <w:rsid w:val="00AB2AC3"/>
    <w:rsid w:val="00AB2EAD"/>
    <w:rsid w:val="00AB2ED7"/>
    <w:rsid w:val="00AB3CEA"/>
    <w:rsid w:val="00AB3CF5"/>
    <w:rsid w:val="00AB57C4"/>
    <w:rsid w:val="00AB5AD7"/>
    <w:rsid w:val="00AB6547"/>
    <w:rsid w:val="00AB6F58"/>
    <w:rsid w:val="00AC067E"/>
    <w:rsid w:val="00AC0A29"/>
    <w:rsid w:val="00AC1402"/>
    <w:rsid w:val="00AC1ECA"/>
    <w:rsid w:val="00AC290B"/>
    <w:rsid w:val="00AC355E"/>
    <w:rsid w:val="00AC3E57"/>
    <w:rsid w:val="00AC4976"/>
    <w:rsid w:val="00AC7207"/>
    <w:rsid w:val="00AC7615"/>
    <w:rsid w:val="00AC7687"/>
    <w:rsid w:val="00AC7EE5"/>
    <w:rsid w:val="00AC7FD3"/>
    <w:rsid w:val="00AD0037"/>
    <w:rsid w:val="00AD0AD6"/>
    <w:rsid w:val="00AD0FCC"/>
    <w:rsid w:val="00AD1C82"/>
    <w:rsid w:val="00AD1FA2"/>
    <w:rsid w:val="00AD33C7"/>
    <w:rsid w:val="00AD4D05"/>
    <w:rsid w:val="00AD5E33"/>
    <w:rsid w:val="00AD6523"/>
    <w:rsid w:val="00AD7199"/>
    <w:rsid w:val="00AD7640"/>
    <w:rsid w:val="00AE10BD"/>
    <w:rsid w:val="00AE1579"/>
    <w:rsid w:val="00AE2334"/>
    <w:rsid w:val="00AE23BF"/>
    <w:rsid w:val="00AE2456"/>
    <w:rsid w:val="00AE2705"/>
    <w:rsid w:val="00AE2916"/>
    <w:rsid w:val="00AE3210"/>
    <w:rsid w:val="00AE436F"/>
    <w:rsid w:val="00AE619E"/>
    <w:rsid w:val="00AE6CCD"/>
    <w:rsid w:val="00AE6E7D"/>
    <w:rsid w:val="00AF067E"/>
    <w:rsid w:val="00AF10D8"/>
    <w:rsid w:val="00AF27DD"/>
    <w:rsid w:val="00AF35F7"/>
    <w:rsid w:val="00AF3C51"/>
    <w:rsid w:val="00AF40CE"/>
    <w:rsid w:val="00AF440B"/>
    <w:rsid w:val="00AF472B"/>
    <w:rsid w:val="00AF4DD7"/>
    <w:rsid w:val="00AF4DE3"/>
    <w:rsid w:val="00AF5325"/>
    <w:rsid w:val="00AF54A8"/>
    <w:rsid w:val="00AF576B"/>
    <w:rsid w:val="00AF57E3"/>
    <w:rsid w:val="00AF64D5"/>
    <w:rsid w:val="00AF6DA8"/>
    <w:rsid w:val="00AF6FED"/>
    <w:rsid w:val="00B0015A"/>
    <w:rsid w:val="00B0136F"/>
    <w:rsid w:val="00B02254"/>
    <w:rsid w:val="00B03174"/>
    <w:rsid w:val="00B04687"/>
    <w:rsid w:val="00B04839"/>
    <w:rsid w:val="00B04C6D"/>
    <w:rsid w:val="00B04DCA"/>
    <w:rsid w:val="00B050E7"/>
    <w:rsid w:val="00B057B6"/>
    <w:rsid w:val="00B063EA"/>
    <w:rsid w:val="00B06F74"/>
    <w:rsid w:val="00B0750E"/>
    <w:rsid w:val="00B079A0"/>
    <w:rsid w:val="00B10326"/>
    <w:rsid w:val="00B106E9"/>
    <w:rsid w:val="00B10BAD"/>
    <w:rsid w:val="00B112A4"/>
    <w:rsid w:val="00B118AB"/>
    <w:rsid w:val="00B119EF"/>
    <w:rsid w:val="00B122CC"/>
    <w:rsid w:val="00B1243A"/>
    <w:rsid w:val="00B14226"/>
    <w:rsid w:val="00B14DC9"/>
    <w:rsid w:val="00B150D2"/>
    <w:rsid w:val="00B15298"/>
    <w:rsid w:val="00B15829"/>
    <w:rsid w:val="00B15F88"/>
    <w:rsid w:val="00B16E59"/>
    <w:rsid w:val="00B1743C"/>
    <w:rsid w:val="00B17849"/>
    <w:rsid w:val="00B17F9B"/>
    <w:rsid w:val="00B2187C"/>
    <w:rsid w:val="00B22853"/>
    <w:rsid w:val="00B22E4B"/>
    <w:rsid w:val="00B22F3B"/>
    <w:rsid w:val="00B23B1C"/>
    <w:rsid w:val="00B24A46"/>
    <w:rsid w:val="00B24D38"/>
    <w:rsid w:val="00B26055"/>
    <w:rsid w:val="00B26686"/>
    <w:rsid w:val="00B27531"/>
    <w:rsid w:val="00B27F20"/>
    <w:rsid w:val="00B305E0"/>
    <w:rsid w:val="00B30B3D"/>
    <w:rsid w:val="00B312A1"/>
    <w:rsid w:val="00B32027"/>
    <w:rsid w:val="00B323DF"/>
    <w:rsid w:val="00B328E2"/>
    <w:rsid w:val="00B32D93"/>
    <w:rsid w:val="00B33CAD"/>
    <w:rsid w:val="00B34AC2"/>
    <w:rsid w:val="00B355DC"/>
    <w:rsid w:val="00B3568B"/>
    <w:rsid w:val="00B365D7"/>
    <w:rsid w:val="00B36AB0"/>
    <w:rsid w:val="00B36C07"/>
    <w:rsid w:val="00B36D11"/>
    <w:rsid w:val="00B36D8B"/>
    <w:rsid w:val="00B37994"/>
    <w:rsid w:val="00B40542"/>
    <w:rsid w:val="00B407FD"/>
    <w:rsid w:val="00B418F5"/>
    <w:rsid w:val="00B41D8F"/>
    <w:rsid w:val="00B41FEF"/>
    <w:rsid w:val="00B421E6"/>
    <w:rsid w:val="00B4281D"/>
    <w:rsid w:val="00B42CA2"/>
    <w:rsid w:val="00B43145"/>
    <w:rsid w:val="00B43163"/>
    <w:rsid w:val="00B43A21"/>
    <w:rsid w:val="00B43A65"/>
    <w:rsid w:val="00B44F00"/>
    <w:rsid w:val="00B44FF4"/>
    <w:rsid w:val="00B4565F"/>
    <w:rsid w:val="00B473F3"/>
    <w:rsid w:val="00B476E2"/>
    <w:rsid w:val="00B47BBE"/>
    <w:rsid w:val="00B502F2"/>
    <w:rsid w:val="00B50C25"/>
    <w:rsid w:val="00B51900"/>
    <w:rsid w:val="00B51FBE"/>
    <w:rsid w:val="00B520A7"/>
    <w:rsid w:val="00B52E71"/>
    <w:rsid w:val="00B5429D"/>
    <w:rsid w:val="00B54A5A"/>
    <w:rsid w:val="00B54AC7"/>
    <w:rsid w:val="00B5512E"/>
    <w:rsid w:val="00B556D0"/>
    <w:rsid w:val="00B556FF"/>
    <w:rsid w:val="00B558E9"/>
    <w:rsid w:val="00B567FD"/>
    <w:rsid w:val="00B56AEF"/>
    <w:rsid w:val="00B57213"/>
    <w:rsid w:val="00B5738F"/>
    <w:rsid w:val="00B60E88"/>
    <w:rsid w:val="00B60F02"/>
    <w:rsid w:val="00B611B6"/>
    <w:rsid w:val="00B611ED"/>
    <w:rsid w:val="00B6199C"/>
    <w:rsid w:val="00B61B29"/>
    <w:rsid w:val="00B62734"/>
    <w:rsid w:val="00B62AFF"/>
    <w:rsid w:val="00B62BF2"/>
    <w:rsid w:val="00B64D2A"/>
    <w:rsid w:val="00B650F6"/>
    <w:rsid w:val="00B65619"/>
    <w:rsid w:val="00B662C4"/>
    <w:rsid w:val="00B66524"/>
    <w:rsid w:val="00B668B1"/>
    <w:rsid w:val="00B66EA6"/>
    <w:rsid w:val="00B671B2"/>
    <w:rsid w:val="00B67BC9"/>
    <w:rsid w:val="00B67D1D"/>
    <w:rsid w:val="00B7004D"/>
    <w:rsid w:val="00B70D4F"/>
    <w:rsid w:val="00B733D1"/>
    <w:rsid w:val="00B735BC"/>
    <w:rsid w:val="00B736B1"/>
    <w:rsid w:val="00B740F2"/>
    <w:rsid w:val="00B74815"/>
    <w:rsid w:val="00B75FF5"/>
    <w:rsid w:val="00B76079"/>
    <w:rsid w:val="00B766E4"/>
    <w:rsid w:val="00B76DCF"/>
    <w:rsid w:val="00B77C1D"/>
    <w:rsid w:val="00B80B6F"/>
    <w:rsid w:val="00B816DE"/>
    <w:rsid w:val="00B83BB1"/>
    <w:rsid w:val="00B8445E"/>
    <w:rsid w:val="00B85146"/>
    <w:rsid w:val="00B8591E"/>
    <w:rsid w:val="00B85D04"/>
    <w:rsid w:val="00B869E9"/>
    <w:rsid w:val="00B86DDA"/>
    <w:rsid w:val="00B8731A"/>
    <w:rsid w:val="00B876FD"/>
    <w:rsid w:val="00B87E75"/>
    <w:rsid w:val="00B87E9A"/>
    <w:rsid w:val="00B9129A"/>
    <w:rsid w:val="00B919BD"/>
    <w:rsid w:val="00B91E55"/>
    <w:rsid w:val="00B92DD1"/>
    <w:rsid w:val="00B932EE"/>
    <w:rsid w:val="00B93630"/>
    <w:rsid w:val="00B9402D"/>
    <w:rsid w:val="00B94FC1"/>
    <w:rsid w:val="00B950A0"/>
    <w:rsid w:val="00B952BE"/>
    <w:rsid w:val="00B9561C"/>
    <w:rsid w:val="00B96E62"/>
    <w:rsid w:val="00B978C7"/>
    <w:rsid w:val="00B97F69"/>
    <w:rsid w:val="00BA03D9"/>
    <w:rsid w:val="00BA092A"/>
    <w:rsid w:val="00BA1567"/>
    <w:rsid w:val="00BA20E4"/>
    <w:rsid w:val="00BA2C17"/>
    <w:rsid w:val="00BA2E7F"/>
    <w:rsid w:val="00BA40BC"/>
    <w:rsid w:val="00BA48C6"/>
    <w:rsid w:val="00BA49D5"/>
    <w:rsid w:val="00BA4D10"/>
    <w:rsid w:val="00BA5DED"/>
    <w:rsid w:val="00BA6ADF"/>
    <w:rsid w:val="00BA6FAD"/>
    <w:rsid w:val="00BA7321"/>
    <w:rsid w:val="00BA75C9"/>
    <w:rsid w:val="00BA7C7C"/>
    <w:rsid w:val="00BB022E"/>
    <w:rsid w:val="00BB0FDC"/>
    <w:rsid w:val="00BB190A"/>
    <w:rsid w:val="00BB259E"/>
    <w:rsid w:val="00BB2673"/>
    <w:rsid w:val="00BB32D0"/>
    <w:rsid w:val="00BB3C1A"/>
    <w:rsid w:val="00BB3ED7"/>
    <w:rsid w:val="00BB3FCD"/>
    <w:rsid w:val="00BB41D3"/>
    <w:rsid w:val="00BB4641"/>
    <w:rsid w:val="00BB5225"/>
    <w:rsid w:val="00BB57CC"/>
    <w:rsid w:val="00BB65A6"/>
    <w:rsid w:val="00BB698A"/>
    <w:rsid w:val="00BB6A12"/>
    <w:rsid w:val="00BB76D2"/>
    <w:rsid w:val="00BB7731"/>
    <w:rsid w:val="00BB7D3F"/>
    <w:rsid w:val="00BB7EDB"/>
    <w:rsid w:val="00BC030A"/>
    <w:rsid w:val="00BC08F5"/>
    <w:rsid w:val="00BC1B34"/>
    <w:rsid w:val="00BC2C73"/>
    <w:rsid w:val="00BC2D5E"/>
    <w:rsid w:val="00BC34CB"/>
    <w:rsid w:val="00BC40B3"/>
    <w:rsid w:val="00BC4203"/>
    <w:rsid w:val="00BC4BA0"/>
    <w:rsid w:val="00BC533A"/>
    <w:rsid w:val="00BC5BFF"/>
    <w:rsid w:val="00BC5C92"/>
    <w:rsid w:val="00BC65AF"/>
    <w:rsid w:val="00BC7065"/>
    <w:rsid w:val="00BC7561"/>
    <w:rsid w:val="00BC7719"/>
    <w:rsid w:val="00BD0549"/>
    <w:rsid w:val="00BD0DCE"/>
    <w:rsid w:val="00BD10B5"/>
    <w:rsid w:val="00BD1963"/>
    <w:rsid w:val="00BD1C7A"/>
    <w:rsid w:val="00BD28D1"/>
    <w:rsid w:val="00BD2CD6"/>
    <w:rsid w:val="00BD3528"/>
    <w:rsid w:val="00BD35E7"/>
    <w:rsid w:val="00BD3989"/>
    <w:rsid w:val="00BD4111"/>
    <w:rsid w:val="00BD4188"/>
    <w:rsid w:val="00BD4531"/>
    <w:rsid w:val="00BD46F8"/>
    <w:rsid w:val="00BD581F"/>
    <w:rsid w:val="00BD5B28"/>
    <w:rsid w:val="00BD6785"/>
    <w:rsid w:val="00BD6ACB"/>
    <w:rsid w:val="00BD6B2A"/>
    <w:rsid w:val="00BD6E9B"/>
    <w:rsid w:val="00BD7752"/>
    <w:rsid w:val="00BD7AC0"/>
    <w:rsid w:val="00BD7D2A"/>
    <w:rsid w:val="00BE15B0"/>
    <w:rsid w:val="00BE2106"/>
    <w:rsid w:val="00BE2130"/>
    <w:rsid w:val="00BE2796"/>
    <w:rsid w:val="00BE3181"/>
    <w:rsid w:val="00BE4161"/>
    <w:rsid w:val="00BE41B5"/>
    <w:rsid w:val="00BE486D"/>
    <w:rsid w:val="00BE722A"/>
    <w:rsid w:val="00BE7A10"/>
    <w:rsid w:val="00BE7E72"/>
    <w:rsid w:val="00BF0800"/>
    <w:rsid w:val="00BF260D"/>
    <w:rsid w:val="00BF2FC9"/>
    <w:rsid w:val="00BF3A5F"/>
    <w:rsid w:val="00BF3C18"/>
    <w:rsid w:val="00BF48B7"/>
    <w:rsid w:val="00BF5BF5"/>
    <w:rsid w:val="00BF62AF"/>
    <w:rsid w:val="00BF65DF"/>
    <w:rsid w:val="00BF67B2"/>
    <w:rsid w:val="00BF6FEB"/>
    <w:rsid w:val="00BF793C"/>
    <w:rsid w:val="00C00AB9"/>
    <w:rsid w:val="00C02DC6"/>
    <w:rsid w:val="00C0320D"/>
    <w:rsid w:val="00C032B9"/>
    <w:rsid w:val="00C039BF"/>
    <w:rsid w:val="00C05824"/>
    <w:rsid w:val="00C05BBC"/>
    <w:rsid w:val="00C05CC1"/>
    <w:rsid w:val="00C05ED6"/>
    <w:rsid w:val="00C073EE"/>
    <w:rsid w:val="00C11082"/>
    <w:rsid w:val="00C120E1"/>
    <w:rsid w:val="00C126EE"/>
    <w:rsid w:val="00C12899"/>
    <w:rsid w:val="00C129D1"/>
    <w:rsid w:val="00C13006"/>
    <w:rsid w:val="00C13077"/>
    <w:rsid w:val="00C13663"/>
    <w:rsid w:val="00C13F02"/>
    <w:rsid w:val="00C14642"/>
    <w:rsid w:val="00C14773"/>
    <w:rsid w:val="00C15FFE"/>
    <w:rsid w:val="00C1751D"/>
    <w:rsid w:val="00C17990"/>
    <w:rsid w:val="00C17B47"/>
    <w:rsid w:val="00C17CD0"/>
    <w:rsid w:val="00C17DD2"/>
    <w:rsid w:val="00C17FB6"/>
    <w:rsid w:val="00C2000D"/>
    <w:rsid w:val="00C20F30"/>
    <w:rsid w:val="00C218C4"/>
    <w:rsid w:val="00C21C6B"/>
    <w:rsid w:val="00C22198"/>
    <w:rsid w:val="00C22DA8"/>
    <w:rsid w:val="00C22F0F"/>
    <w:rsid w:val="00C24392"/>
    <w:rsid w:val="00C2473A"/>
    <w:rsid w:val="00C2478F"/>
    <w:rsid w:val="00C2480F"/>
    <w:rsid w:val="00C24F9A"/>
    <w:rsid w:val="00C253E9"/>
    <w:rsid w:val="00C255E7"/>
    <w:rsid w:val="00C25B85"/>
    <w:rsid w:val="00C25C4B"/>
    <w:rsid w:val="00C2793E"/>
    <w:rsid w:val="00C27E57"/>
    <w:rsid w:val="00C27F36"/>
    <w:rsid w:val="00C27FA8"/>
    <w:rsid w:val="00C30866"/>
    <w:rsid w:val="00C30B0B"/>
    <w:rsid w:val="00C31050"/>
    <w:rsid w:val="00C313A0"/>
    <w:rsid w:val="00C31B97"/>
    <w:rsid w:val="00C32D3D"/>
    <w:rsid w:val="00C339FF"/>
    <w:rsid w:val="00C33B31"/>
    <w:rsid w:val="00C357A5"/>
    <w:rsid w:val="00C36C5C"/>
    <w:rsid w:val="00C3720A"/>
    <w:rsid w:val="00C37426"/>
    <w:rsid w:val="00C37EBC"/>
    <w:rsid w:val="00C4049B"/>
    <w:rsid w:val="00C404D6"/>
    <w:rsid w:val="00C407F2"/>
    <w:rsid w:val="00C40BC9"/>
    <w:rsid w:val="00C40C98"/>
    <w:rsid w:val="00C411B4"/>
    <w:rsid w:val="00C41792"/>
    <w:rsid w:val="00C41956"/>
    <w:rsid w:val="00C41EA5"/>
    <w:rsid w:val="00C431F1"/>
    <w:rsid w:val="00C4340D"/>
    <w:rsid w:val="00C43476"/>
    <w:rsid w:val="00C4460C"/>
    <w:rsid w:val="00C45021"/>
    <w:rsid w:val="00C45316"/>
    <w:rsid w:val="00C46600"/>
    <w:rsid w:val="00C468DD"/>
    <w:rsid w:val="00C4693D"/>
    <w:rsid w:val="00C46AAE"/>
    <w:rsid w:val="00C47D59"/>
    <w:rsid w:val="00C50807"/>
    <w:rsid w:val="00C5082F"/>
    <w:rsid w:val="00C50AE1"/>
    <w:rsid w:val="00C5146B"/>
    <w:rsid w:val="00C51ACE"/>
    <w:rsid w:val="00C532F0"/>
    <w:rsid w:val="00C536DB"/>
    <w:rsid w:val="00C537DD"/>
    <w:rsid w:val="00C53A6F"/>
    <w:rsid w:val="00C53AFA"/>
    <w:rsid w:val="00C541B1"/>
    <w:rsid w:val="00C54A9A"/>
    <w:rsid w:val="00C54AFF"/>
    <w:rsid w:val="00C54B2E"/>
    <w:rsid w:val="00C54D79"/>
    <w:rsid w:val="00C551D5"/>
    <w:rsid w:val="00C55DB0"/>
    <w:rsid w:val="00C563B1"/>
    <w:rsid w:val="00C57169"/>
    <w:rsid w:val="00C576F2"/>
    <w:rsid w:val="00C60717"/>
    <w:rsid w:val="00C60788"/>
    <w:rsid w:val="00C60CF7"/>
    <w:rsid w:val="00C61B1D"/>
    <w:rsid w:val="00C62306"/>
    <w:rsid w:val="00C62734"/>
    <w:rsid w:val="00C62C5D"/>
    <w:rsid w:val="00C63BED"/>
    <w:rsid w:val="00C64623"/>
    <w:rsid w:val="00C64759"/>
    <w:rsid w:val="00C64C94"/>
    <w:rsid w:val="00C655C8"/>
    <w:rsid w:val="00C66427"/>
    <w:rsid w:val="00C67581"/>
    <w:rsid w:val="00C67EFD"/>
    <w:rsid w:val="00C67F08"/>
    <w:rsid w:val="00C67F37"/>
    <w:rsid w:val="00C7050E"/>
    <w:rsid w:val="00C70A68"/>
    <w:rsid w:val="00C70F4B"/>
    <w:rsid w:val="00C71574"/>
    <w:rsid w:val="00C71A01"/>
    <w:rsid w:val="00C71C3C"/>
    <w:rsid w:val="00C72D32"/>
    <w:rsid w:val="00C730BD"/>
    <w:rsid w:val="00C73E61"/>
    <w:rsid w:val="00C7461D"/>
    <w:rsid w:val="00C751B2"/>
    <w:rsid w:val="00C76261"/>
    <w:rsid w:val="00C76790"/>
    <w:rsid w:val="00C76D36"/>
    <w:rsid w:val="00C775B7"/>
    <w:rsid w:val="00C80893"/>
    <w:rsid w:val="00C81213"/>
    <w:rsid w:val="00C81807"/>
    <w:rsid w:val="00C8231E"/>
    <w:rsid w:val="00C832E7"/>
    <w:rsid w:val="00C8358D"/>
    <w:rsid w:val="00C8408A"/>
    <w:rsid w:val="00C8443A"/>
    <w:rsid w:val="00C8552F"/>
    <w:rsid w:val="00C85826"/>
    <w:rsid w:val="00C85873"/>
    <w:rsid w:val="00C858E3"/>
    <w:rsid w:val="00C85A3D"/>
    <w:rsid w:val="00C85AE2"/>
    <w:rsid w:val="00C85E0C"/>
    <w:rsid w:val="00C8659B"/>
    <w:rsid w:val="00C872C6"/>
    <w:rsid w:val="00C90044"/>
    <w:rsid w:val="00C90BFA"/>
    <w:rsid w:val="00C90F4F"/>
    <w:rsid w:val="00C913AA"/>
    <w:rsid w:val="00C9156D"/>
    <w:rsid w:val="00C91FDB"/>
    <w:rsid w:val="00C92287"/>
    <w:rsid w:val="00C928F0"/>
    <w:rsid w:val="00C92EBB"/>
    <w:rsid w:val="00C93FA3"/>
    <w:rsid w:val="00C94856"/>
    <w:rsid w:val="00C94CB9"/>
    <w:rsid w:val="00C95D16"/>
    <w:rsid w:val="00C95EBE"/>
    <w:rsid w:val="00C9652E"/>
    <w:rsid w:val="00C96E5F"/>
    <w:rsid w:val="00C9718A"/>
    <w:rsid w:val="00C979AD"/>
    <w:rsid w:val="00C97C39"/>
    <w:rsid w:val="00CA057B"/>
    <w:rsid w:val="00CA1D18"/>
    <w:rsid w:val="00CA1E68"/>
    <w:rsid w:val="00CA22D0"/>
    <w:rsid w:val="00CA4014"/>
    <w:rsid w:val="00CA41FF"/>
    <w:rsid w:val="00CA471B"/>
    <w:rsid w:val="00CA4EB3"/>
    <w:rsid w:val="00CA512E"/>
    <w:rsid w:val="00CA5A16"/>
    <w:rsid w:val="00CA5C2F"/>
    <w:rsid w:val="00CA5DE3"/>
    <w:rsid w:val="00CA6838"/>
    <w:rsid w:val="00CA69A5"/>
    <w:rsid w:val="00CB0105"/>
    <w:rsid w:val="00CB0430"/>
    <w:rsid w:val="00CB09DE"/>
    <w:rsid w:val="00CB1E81"/>
    <w:rsid w:val="00CB24A7"/>
    <w:rsid w:val="00CB333B"/>
    <w:rsid w:val="00CB3BEA"/>
    <w:rsid w:val="00CB3D70"/>
    <w:rsid w:val="00CB4315"/>
    <w:rsid w:val="00CB43D1"/>
    <w:rsid w:val="00CB4B0D"/>
    <w:rsid w:val="00CB4BD9"/>
    <w:rsid w:val="00CB4FFC"/>
    <w:rsid w:val="00CB5EB0"/>
    <w:rsid w:val="00CB76BB"/>
    <w:rsid w:val="00CB77D0"/>
    <w:rsid w:val="00CB79C7"/>
    <w:rsid w:val="00CB7F91"/>
    <w:rsid w:val="00CC1123"/>
    <w:rsid w:val="00CC288F"/>
    <w:rsid w:val="00CC5450"/>
    <w:rsid w:val="00CC6296"/>
    <w:rsid w:val="00CC6357"/>
    <w:rsid w:val="00CC6F47"/>
    <w:rsid w:val="00CC7CCE"/>
    <w:rsid w:val="00CD04BA"/>
    <w:rsid w:val="00CD0F4F"/>
    <w:rsid w:val="00CD23D7"/>
    <w:rsid w:val="00CD2924"/>
    <w:rsid w:val="00CD2E63"/>
    <w:rsid w:val="00CD3AA4"/>
    <w:rsid w:val="00CD3EFF"/>
    <w:rsid w:val="00CD4DBB"/>
    <w:rsid w:val="00CD559D"/>
    <w:rsid w:val="00CD5BF2"/>
    <w:rsid w:val="00CD672F"/>
    <w:rsid w:val="00CD7014"/>
    <w:rsid w:val="00CD763B"/>
    <w:rsid w:val="00CD7F7B"/>
    <w:rsid w:val="00CD7FB9"/>
    <w:rsid w:val="00CE09A6"/>
    <w:rsid w:val="00CE1367"/>
    <w:rsid w:val="00CE138A"/>
    <w:rsid w:val="00CE1FB8"/>
    <w:rsid w:val="00CE2EC4"/>
    <w:rsid w:val="00CE3280"/>
    <w:rsid w:val="00CE332B"/>
    <w:rsid w:val="00CE3F48"/>
    <w:rsid w:val="00CE4A61"/>
    <w:rsid w:val="00CE4AC7"/>
    <w:rsid w:val="00CE4E59"/>
    <w:rsid w:val="00CE5759"/>
    <w:rsid w:val="00CE66D8"/>
    <w:rsid w:val="00CF04A4"/>
    <w:rsid w:val="00CF0A1F"/>
    <w:rsid w:val="00CF0AFC"/>
    <w:rsid w:val="00CF0D76"/>
    <w:rsid w:val="00CF0E66"/>
    <w:rsid w:val="00CF110F"/>
    <w:rsid w:val="00CF1310"/>
    <w:rsid w:val="00CF241B"/>
    <w:rsid w:val="00CF35ED"/>
    <w:rsid w:val="00CF4B4C"/>
    <w:rsid w:val="00CF4C68"/>
    <w:rsid w:val="00CF5530"/>
    <w:rsid w:val="00CF5A2D"/>
    <w:rsid w:val="00CF5B3B"/>
    <w:rsid w:val="00CF6EE8"/>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3CCD"/>
    <w:rsid w:val="00D04EA6"/>
    <w:rsid w:val="00D058D5"/>
    <w:rsid w:val="00D0630A"/>
    <w:rsid w:val="00D0630D"/>
    <w:rsid w:val="00D06476"/>
    <w:rsid w:val="00D064FC"/>
    <w:rsid w:val="00D06FA4"/>
    <w:rsid w:val="00D0729F"/>
    <w:rsid w:val="00D07DAC"/>
    <w:rsid w:val="00D103C7"/>
    <w:rsid w:val="00D10AC9"/>
    <w:rsid w:val="00D11051"/>
    <w:rsid w:val="00D11FE7"/>
    <w:rsid w:val="00D12DDB"/>
    <w:rsid w:val="00D13049"/>
    <w:rsid w:val="00D14B17"/>
    <w:rsid w:val="00D15190"/>
    <w:rsid w:val="00D1692C"/>
    <w:rsid w:val="00D17655"/>
    <w:rsid w:val="00D178BC"/>
    <w:rsid w:val="00D202DC"/>
    <w:rsid w:val="00D209D8"/>
    <w:rsid w:val="00D20E1C"/>
    <w:rsid w:val="00D211A1"/>
    <w:rsid w:val="00D21B52"/>
    <w:rsid w:val="00D2218B"/>
    <w:rsid w:val="00D22513"/>
    <w:rsid w:val="00D23396"/>
    <w:rsid w:val="00D235B1"/>
    <w:rsid w:val="00D240AE"/>
    <w:rsid w:val="00D248B3"/>
    <w:rsid w:val="00D2506B"/>
    <w:rsid w:val="00D2526A"/>
    <w:rsid w:val="00D25F67"/>
    <w:rsid w:val="00D264B2"/>
    <w:rsid w:val="00D26A80"/>
    <w:rsid w:val="00D26C6D"/>
    <w:rsid w:val="00D26EA4"/>
    <w:rsid w:val="00D27C4A"/>
    <w:rsid w:val="00D27FF6"/>
    <w:rsid w:val="00D30EFA"/>
    <w:rsid w:val="00D31048"/>
    <w:rsid w:val="00D31D2F"/>
    <w:rsid w:val="00D31E59"/>
    <w:rsid w:val="00D33263"/>
    <w:rsid w:val="00D333BE"/>
    <w:rsid w:val="00D33CB2"/>
    <w:rsid w:val="00D34334"/>
    <w:rsid w:val="00D34DB8"/>
    <w:rsid w:val="00D3508A"/>
    <w:rsid w:val="00D357FD"/>
    <w:rsid w:val="00D35B69"/>
    <w:rsid w:val="00D35D25"/>
    <w:rsid w:val="00D36EFB"/>
    <w:rsid w:val="00D40114"/>
    <w:rsid w:val="00D405DC"/>
    <w:rsid w:val="00D412ED"/>
    <w:rsid w:val="00D41529"/>
    <w:rsid w:val="00D420A3"/>
    <w:rsid w:val="00D427B8"/>
    <w:rsid w:val="00D42B45"/>
    <w:rsid w:val="00D42B91"/>
    <w:rsid w:val="00D42F1B"/>
    <w:rsid w:val="00D43B9E"/>
    <w:rsid w:val="00D44237"/>
    <w:rsid w:val="00D4465F"/>
    <w:rsid w:val="00D45238"/>
    <w:rsid w:val="00D456B4"/>
    <w:rsid w:val="00D45848"/>
    <w:rsid w:val="00D459BB"/>
    <w:rsid w:val="00D45F95"/>
    <w:rsid w:val="00D46821"/>
    <w:rsid w:val="00D46D42"/>
    <w:rsid w:val="00D4728E"/>
    <w:rsid w:val="00D472A2"/>
    <w:rsid w:val="00D508B5"/>
    <w:rsid w:val="00D50B66"/>
    <w:rsid w:val="00D50EFE"/>
    <w:rsid w:val="00D50F28"/>
    <w:rsid w:val="00D51413"/>
    <w:rsid w:val="00D51BE1"/>
    <w:rsid w:val="00D521EF"/>
    <w:rsid w:val="00D525A3"/>
    <w:rsid w:val="00D52AB2"/>
    <w:rsid w:val="00D53862"/>
    <w:rsid w:val="00D53D60"/>
    <w:rsid w:val="00D54137"/>
    <w:rsid w:val="00D54BFF"/>
    <w:rsid w:val="00D55A19"/>
    <w:rsid w:val="00D55CC8"/>
    <w:rsid w:val="00D5683C"/>
    <w:rsid w:val="00D57182"/>
    <w:rsid w:val="00D57806"/>
    <w:rsid w:val="00D57E1D"/>
    <w:rsid w:val="00D60035"/>
    <w:rsid w:val="00D60849"/>
    <w:rsid w:val="00D60D38"/>
    <w:rsid w:val="00D62983"/>
    <w:rsid w:val="00D62A74"/>
    <w:rsid w:val="00D63243"/>
    <w:rsid w:val="00D63852"/>
    <w:rsid w:val="00D63FE1"/>
    <w:rsid w:val="00D64C07"/>
    <w:rsid w:val="00D65240"/>
    <w:rsid w:val="00D6546C"/>
    <w:rsid w:val="00D65574"/>
    <w:rsid w:val="00D65836"/>
    <w:rsid w:val="00D65B3E"/>
    <w:rsid w:val="00D65EF3"/>
    <w:rsid w:val="00D6670A"/>
    <w:rsid w:val="00D66FAD"/>
    <w:rsid w:val="00D6744C"/>
    <w:rsid w:val="00D67669"/>
    <w:rsid w:val="00D67A3E"/>
    <w:rsid w:val="00D67E11"/>
    <w:rsid w:val="00D67E1D"/>
    <w:rsid w:val="00D71601"/>
    <w:rsid w:val="00D71E5E"/>
    <w:rsid w:val="00D72FE7"/>
    <w:rsid w:val="00D73C77"/>
    <w:rsid w:val="00D7498E"/>
    <w:rsid w:val="00D759CF"/>
    <w:rsid w:val="00D75D51"/>
    <w:rsid w:val="00D760C8"/>
    <w:rsid w:val="00D76B72"/>
    <w:rsid w:val="00D7797B"/>
    <w:rsid w:val="00D77B3C"/>
    <w:rsid w:val="00D8021F"/>
    <w:rsid w:val="00D81629"/>
    <w:rsid w:val="00D817E8"/>
    <w:rsid w:val="00D81EF8"/>
    <w:rsid w:val="00D82FB4"/>
    <w:rsid w:val="00D830B9"/>
    <w:rsid w:val="00D8353A"/>
    <w:rsid w:val="00D8376E"/>
    <w:rsid w:val="00D85DA3"/>
    <w:rsid w:val="00D85F4D"/>
    <w:rsid w:val="00D86E1C"/>
    <w:rsid w:val="00D87170"/>
    <w:rsid w:val="00D872B8"/>
    <w:rsid w:val="00D90EBC"/>
    <w:rsid w:val="00D9144A"/>
    <w:rsid w:val="00D92622"/>
    <w:rsid w:val="00D92DFA"/>
    <w:rsid w:val="00D93612"/>
    <w:rsid w:val="00D937BD"/>
    <w:rsid w:val="00D94189"/>
    <w:rsid w:val="00D9464E"/>
    <w:rsid w:val="00D95B55"/>
    <w:rsid w:val="00D95F88"/>
    <w:rsid w:val="00D96107"/>
    <w:rsid w:val="00D96677"/>
    <w:rsid w:val="00D96AD9"/>
    <w:rsid w:val="00D96C6E"/>
    <w:rsid w:val="00D97686"/>
    <w:rsid w:val="00DA03BB"/>
    <w:rsid w:val="00DA0D4F"/>
    <w:rsid w:val="00DA2065"/>
    <w:rsid w:val="00DA254C"/>
    <w:rsid w:val="00DA284D"/>
    <w:rsid w:val="00DA2AAC"/>
    <w:rsid w:val="00DA2BBC"/>
    <w:rsid w:val="00DA3D54"/>
    <w:rsid w:val="00DA54E7"/>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076"/>
    <w:rsid w:val="00DB66E0"/>
    <w:rsid w:val="00DB6D18"/>
    <w:rsid w:val="00DB7C1B"/>
    <w:rsid w:val="00DC0624"/>
    <w:rsid w:val="00DC0729"/>
    <w:rsid w:val="00DC0914"/>
    <w:rsid w:val="00DC0A9F"/>
    <w:rsid w:val="00DC0B8F"/>
    <w:rsid w:val="00DC1715"/>
    <w:rsid w:val="00DC18D3"/>
    <w:rsid w:val="00DC2A00"/>
    <w:rsid w:val="00DC35B9"/>
    <w:rsid w:val="00DC4186"/>
    <w:rsid w:val="00DC4D19"/>
    <w:rsid w:val="00DC6417"/>
    <w:rsid w:val="00DC6E17"/>
    <w:rsid w:val="00DC772C"/>
    <w:rsid w:val="00DC7D5B"/>
    <w:rsid w:val="00DD04FC"/>
    <w:rsid w:val="00DD0F2E"/>
    <w:rsid w:val="00DD101F"/>
    <w:rsid w:val="00DD17E0"/>
    <w:rsid w:val="00DD1828"/>
    <w:rsid w:val="00DD2074"/>
    <w:rsid w:val="00DD23E8"/>
    <w:rsid w:val="00DD25F0"/>
    <w:rsid w:val="00DD269E"/>
    <w:rsid w:val="00DD2E6A"/>
    <w:rsid w:val="00DD35E3"/>
    <w:rsid w:val="00DD37AC"/>
    <w:rsid w:val="00DD62D8"/>
    <w:rsid w:val="00DD6BAA"/>
    <w:rsid w:val="00DD70DB"/>
    <w:rsid w:val="00DD7A1E"/>
    <w:rsid w:val="00DE02E1"/>
    <w:rsid w:val="00DE03AC"/>
    <w:rsid w:val="00DE2098"/>
    <w:rsid w:val="00DE26EF"/>
    <w:rsid w:val="00DE2918"/>
    <w:rsid w:val="00DE3C19"/>
    <w:rsid w:val="00DE3DDB"/>
    <w:rsid w:val="00DE41EC"/>
    <w:rsid w:val="00DE4635"/>
    <w:rsid w:val="00DE5633"/>
    <w:rsid w:val="00DE6283"/>
    <w:rsid w:val="00DE6294"/>
    <w:rsid w:val="00DE634B"/>
    <w:rsid w:val="00DE6379"/>
    <w:rsid w:val="00DE65EC"/>
    <w:rsid w:val="00DE6E92"/>
    <w:rsid w:val="00DE7600"/>
    <w:rsid w:val="00DE7CD3"/>
    <w:rsid w:val="00DE7E1E"/>
    <w:rsid w:val="00DE7F1C"/>
    <w:rsid w:val="00DF0CB4"/>
    <w:rsid w:val="00DF0FD2"/>
    <w:rsid w:val="00DF11D0"/>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1E66"/>
    <w:rsid w:val="00E02076"/>
    <w:rsid w:val="00E0233B"/>
    <w:rsid w:val="00E02B26"/>
    <w:rsid w:val="00E02E0E"/>
    <w:rsid w:val="00E0313A"/>
    <w:rsid w:val="00E035EB"/>
    <w:rsid w:val="00E03E22"/>
    <w:rsid w:val="00E0495E"/>
    <w:rsid w:val="00E04980"/>
    <w:rsid w:val="00E04A2F"/>
    <w:rsid w:val="00E06C94"/>
    <w:rsid w:val="00E06D0A"/>
    <w:rsid w:val="00E070DF"/>
    <w:rsid w:val="00E0725C"/>
    <w:rsid w:val="00E07382"/>
    <w:rsid w:val="00E10281"/>
    <w:rsid w:val="00E113C1"/>
    <w:rsid w:val="00E11FA1"/>
    <w:rsid w:val="00E12302"/>
    <w:rsid w:val="00E12DD4"/>
    <w:rsid w:val="00E13363"/>
    <w:rsid w:val="00E14740"/>
    <w:rsid w:val="00E147F8"/>
    <w:rsid w:val="00E148CB"/>
    <w:rsid w:val="00E14D27"/>
    <w:rsid w:val="00E156C7"/>
    <w:rsid w:val="00E163CB"/>
    <w:rsid w:val="00E166BD"/>
    <w:rsid w:val="00E17CFB"/>
    <w:rsid w:val="00E217A9"/>
    <w:rsid w:val="00E2221E"/>
    <w:rsid w:val="00E22557"/>
    <w:rsid w:val="00E226A1"/>
    <w:rsid w:val="00E22A69"/>
    <w:rsid w:val="00E22AE1"/>
    <w:rsid w:val="00E22DE1"/>
    <w:rsid w:val="00E22F0A"/>
    <w:rsid w:val="00E23087"/>
    <w:rsid w:val="00E235C6"/>
    <w:rsid w:val="00E2397F"/>
    <w:rsid w:val="00E2478E"/>
    <w:rsid w:val="00E25550"/>
    <w:rsid w:val="00E26336"/>
    <w:rsid w:val="00E265AD"/>
    <w:rsid w:val="00E2734C"/>
    <w:rsid w:val="00E273D9"/>
    <w:rsid w:val="00E306CB"/>
    <w:rsid w:val="00E30AEE"/>
    <w:rsid w:val="00E30D00"/>
    <w:rsid w:val="00E315CB"/>
    <w:rsid w:val="00E31D71"/>
    <w:rsid w:val="00E32589"/>
    <w:rsid w:val="00E32C8D"/>
    <w:rsid w:val="00E33255"/>
    <w:rsid w:val="00E332B4"/>
    <w:rsid w:val="00E3340A"/>
    <w:rsid w:val="00E33B1D"/>
    <w:rsid w:val="00E3412F"/>
    <w:rsid w:val="00E343FB"/>
    <w:rsid w:val="00E344B7"/>
    <w:rsid w:val="00E34B55"/>
    <w:rsid w:val="00E35C77"/>
    <w:rsid w:val="00E35EE3"/>
    <w:rsid w:val="00E36609"/>
    <w:rsid w:val="00E366AE"/>
    <w:rsid w:val="00E36B78"/>
    <w:rsid w:val="00E372CF"/>
    <w:rsid w:val="00E37412"/>
    <w:rsid w:val="00E374D8"/>
    <w:rsid w:val="00E37633"/>
    <w:rsid w:val="00E376EC"/>
    <w:rsid w:val="00E40443"/>
    <w:rsid w:val="00E40A20"/>
    <w:rsid w:val="00E41032"/>
    <w:rsid w:val="00E416FF"/>
    <w:rsid w:val="00E42439"/>
    <w:rsid w:val="00E441B7"/>
    <w:rsid w:val="00E447B4"/>
    <w:rsid w:val="00E44918"/>
    <w:rsid w:val="00E4498A"/>
    <w:rsid w:val="00E449B6"/>
    <w:rsid w:val="00E44BF8"/>
    <w:rsid w:val="00E458D3"/>
    <w:rsid w:val="00E46208"/>
    <w:rsid w:val="00E463A7"/>
    <w:rsid w:val="00E470AC"/>
    <w:rsid w:val="00E47B11"/>
    <w:rsid w:val="00E506F3"/>
    <w:rsid w:val="00E50BCE"/>
    <w:rsid w:val="00E50E7D"/>
    <w:rsid w:val="00E516A8"/>
    <w:rsid w:val="00E51F0E"/>
    <w:rsid w:val="00E52127"/>
    <w:rsid w:val="00E522BE"/>
    <w:rsid w:val="00E525B2"/>
    <w:rsid w:val="00E52B01"/>
    <w:rsid w:val="00E52F45"/>
    <w:rsid w:val="00E54634"/>
    <w:rsid w:val="00E546B2"/>
    <w:rsid w:val="00E5492B"/>
    <w:rsid w:val="00E5493E"/>
    <w:rsid w:val="00E54DD1"/>
    <w:rsid w:val="00E55FDB"/>
    <w:rsid w:val="00E567DB"/>
    <w:rsid w:val="00E5689F"/>
    <w:rsid w:val="00E56B58"/>
    <w:rsid w:val="00E56F94"/>
    <w:rsid w:val="00E57605"/>
    <w:rsid w:val="00E60405"/>
    <w:rsid w:val="00E60954"/>
    <w:rsid w:val="00E623F8"/>
    <w:rsid w:val="00E62B93"/>
    <w:rsid w:val="00E63284"/>
    <w:rsid w:val="00E6359F"/>
    <w:rsid w:val="00E63683"/>
    <w:rsid w:val="00E639D0"/>
    <w:rsid w:val="00E63CC2"/>
    <w:rsid w:val="00E63D16"/>
    <w:rsid w:val="00E63EC9"/>
    <w:rsid w:val="00E6458B"/>
    <w:rsid w:val="00E65045"/>
    <w:rsid w:val="00E650E7"/>
    <w:rsid w:val="00E651A6"/>
    <w:rsid w:val="00E65D10"/>
    <w:rsid w:val="00E65D1B"/>
    <w:rsid w:val="00E67F87"/>
    <w:rsid w:val="00E70205"/>
    <w:rsid w:val="00E70C36"/>
    <w:rsid w:val="00E712B2"/>
    <w:rsid w:val="00E71479"/>
    <w:rsid w:val="00E7151A"/>
    <w:rsid w:val="00E71EAD"/>
    <w:rsid w:val="00E723C0"/>
    <w:rsid w:val="00E72C6A"/>
    <w:rsid w:val="00E7335A"/>
    <w:rsid w:val="00E743C6"/>
    <w:rsid w:val="00E7686C"/>
    <w:rsid w:val="00E76EB2"/>
    <w:rsid w:val="00E771A8"/>
    <w:rsid w:val="00E7734C"/>
    <w:rsid w:val="00E774C7"/>
    <w:rsid w:val="00E77D29"/>
    <w:rsid w:val="00E77D7E"/>
    <w:rsid w:val="00E77E7E"/>
    <w:rsid w:val="00E8058F"/>
    <w:rsid w:val="00E80705"/>
    <w:rsid w:val="00E81A67"/>
    <w:rsid w:val="00E82465"/>
    <w:rsid w:val="00E8273F"/>
    <w:rsid w:val="00E827D8"/>
    <w:rsid w:val="00E82A35"/>
    <w:rsid w:val="00E8313E"/>
    <w:rsid w:val="00E8359B"/>
    <w:rsid w:val="00E847B8"/>
    <w:rsid w:val="00E84882"/>
    <w:rsid w:val="00E85812"/>
    <w:rsid w:val="00E8651B"/>
    <w:rsid w:val="00E876CC"/>
    <w:rsid w:val="00E90816"/>
    <w:rsid w:val="00E90F0A"/>
    <w:rsid w:val="00E914CC"/>
    <w:rsid w:val="00E91607"/>
    <w:rsid w:val="00E91823"/>
    <w:rsid w:val="00E93898"/>
    <w:rsid w:val="00E93D2F"/>
    <w:rsid w:val="00E93DB8"/>
    <w:rsid w:val="00E93DD4"/>
    <w:rsid w:val="00E93DDF"/>
    <w:rsid w:val="00E941AD"/>
    <w:rsid w:val="00E9426D"/>
    <w:rsid w:val="00E9577A"/>
    <w:rsid w:val="00E95869"/>
    <w:rsid w:val="00E9601D"/>
    <w:rsid w:val="00E966DA"/>
    <w:rsid w:val="00E968F8"/>
    <w:rsid w:val="00E9706E"/>
    <w:rsid w:val="00E9730D"/>
    <w:rsid w:val="00E9740E"/>
    <w:rsid w:val="00E97C79"/>
    <w:rsid w:val="00E97E18"/>
    <w:rsid w:val="00E97ED0"/>
    <w:rsid w:val="00EA1E91"/>
    <w:rsid w:val="00EA2034"/>
    <w:rsid w:val="00EA2E93"/>
    <w:rsid w:val="00EA3661"/>
    <w:rsid w:val="00EA3A15"/>
    <w:rsid w:val="00EA4341"/>
    <w:rsid w:val="00EA43C1"/>
    <w:rsid w:val="00EA4874"/>
    <w:rsid w:val="00EA5304"/>
    <w:rsid w:val="00EA5836"/>
    <w:rsid w:val="00EA591A"/>
    <w:rsid w:val="00EA6037"/>
    <w:rsid w:val="00EA7060"/>
    <w:rsid w:val="00EA77AB"/>
    <w:rsid w:val="00EA7B39"/>
    <w:rsid w:val="00EB026B"/>
    <w:rsid w:val="00EB0979"/>
    <w:rsid w:val="00EB10E6"/>
    <w:rsid w:val="00EB147A"/>
    <w:rsid w:val="00EB1B4A"/>
    <w:rsid w:val="00EB1BE9"/>
    <w:rsid w:val="00EB392C"/>
    <w:rsid w:val="00EB3DD1"/>
    <w:rsid w:val="00EB4393"/>
    <w:rsid w:val="00EB4A74"/>
    <w:rsid w:val="00EB4B83"/>
    <w:rsid w:val="00EB4D74"/>
    <w:rsid w:val="00EB5067"/>
    <w:rsid w:val="00EB59B3"/>
    <w:rsid w:val="00EB5F1C"/>
    <w:rsid w:val="00EB616F"/>
    <w:rsid w:val="00EB62BE"/>
    <w:rsid w:val="00EB62F5"/>
    <w:rsid w:val="00EB7E76"/>
    <w:rsid w:val="00EC0683"/>
    <w:rsid w:val="00EC08AB"/>
    <w:rsid w:val="00EC2ED3"/>
    <w:rsid w:val="00EC3983"/>
    <w:rsid w:val="00EC3E01"/>
    <w:rsid w:val="00EC45B8"/>
    <w:rsid w:val="00EC4D1E"/>
    <w:rsid w:val="00EC50FD"/>
    <w:rsid w:val="00EC5E98"/>
    <w:rsid w:val="00EC61D1"/>
    <w:rsid w:val="00EC6482"/>
    <w:rsid w:val="00EC6881"/>
    <w:rsid w:val="00EC74C4"/>
    <w:rsid w:val="00EC7786"/>
    <w:rsid w:val="00EC781B"/>
    <w:rsid w:val="00EC7E6F"/>
    <w:rsid w:val="00EC7EFE"/>
    <w:rsid w:val="00ED05BD"/>
    <w:rsid w:val="00ED0658"/>
    <w:rsid w:val="00ED0BE5"/>
    <w:rsid w:val="00ED183A"/>
    <w:rsid w:val="00ED197F"/>
    <w:rsid w:val="00ED1DDA"/>
    <w:rsid w:val="00ED3879"/>
    <w:rsid w:val="00ED389C"/>
    <w:rsid w:val="00ED38E5"/>
    <w:rsid w:val="00ED555B"/>
    <w:rsid w:val="00ED606B"/>
    <w:rsid w:val="00ED72A6"/>
    <w:rsid w:val="00ED7769"/>
    <w:rsid w:val="00ED78D6"/>
    <w:rsid w:val="00EE1035"/>
    <w:rsid w:val="00EE1CFA"/>
    <w:rsid w:val="00EE1D1E"/>
    <w:rsid w:val="00EE2CFE"/>
    <w:rsid w:val="00EE306F"/>
    <w:rsid w:val="00EE31D5"/>
    <w:rsid w:val="00EE493D"/>
    <w:rsid w:val="00EE5AA0"/>
    <w:rsid w:val="00EE627A"/>
    <w:rsid w:val="00EE6969"/>
    <w:rsid w:val="00EE6BAA"/>
    <w:rsid w:val="00EE7162"/>
    <w:rsid w:val="00EE7B82"/>
    <w:rsid w:val="00EE7C26"/>
    <w:rsid w:val="00EF06E5"/>
    <w:rsid w:val="00EF0EF3"/>
    <w:rsid w:val="00EF200C"/>
    <w:rsid w:val="00EF2128"/>
    <w:rsid w:val="00EF280D"/>
    <w:rsid w:val="00EF2E5B"/>
    <w:rsid w:val="00EF3620"/>
    <w:rsid w:val="00EF373B"/>
    <w:rsid w:val="00EF3D7D"/>
    <w:rsid w:val="00EF42CB"/>
    <w:rsid w:val="00EF510A"/>
    <w:rsid w:val="00EF527F"/>
    <w:rsid w:val="00EF56A4"/>
    <w:rsid w:val="00EF6748"/>
    <w:rsid w:val="00EF67B7"/>
    <w:rsid w:val="00F01099"/>
    <w:rsid w:val="00F010F0"/>
    <w:rsid w:val="00F01523"/>
    <w:rsid w:val="00F02B38"/>
    <w:rsid w:val="00F02C01"/>
    <w:rsid w:val="00F02CEF"/>
    <w:rsid w:val="00F02D71"/>
    <w:rsid w:val="00F02E3D"/>
    <w:rsid w:val="00F040BE"/>
    <w:rsid w:val="00F06296"/>
    <w:rsid w:val="00F064D0"/>
    <w:rsid w:val="00F0675B"/>
    <w:rsid w:val="00F06FE0"/>
    <w:rsid w:val="00F0751A"/>
    <w:rsid w:val="00F07A15"/>
    <w:rsid w:val="00F100D6"/>
    <w:rsid w:val="00F106A0"/>
    <w:rsid w:val="00F10811"/>
    <w:rsid w:val="00F1181D"/>
    <w:rsid w:val="00F125DC"/>
    <w:rsid w:val="00F127D8"/>
    <w:rsid w:val="00F132EA"/>
    <w:rsid w:val="00F13377"/>
    <w:rsid w:val="00F136E4"/>
    <w:rsid w:val="00F13767"/>
    <w:rsid w:val="00F13781"/>
    <w:rsid w:val="00F13797"/>
    <w:rsid w:val="00F13ABD"/>
    <w:rsid w:val="00F14016"/>
    <w:rsid w:val="00F14984"/>
    <w:rsid w:val="00F14C47"/>
    <w:rsid w:val="00F164E1"/>
    <w:rsid w:val="00F165D0"/>
    <w:rsid w:val="00F16752"/>
    <w:rsid w:val="00F17F49"/>
    <w:rsid w:val="00F17FEA"/>
    <w:rsid w:val="00F206F9"/>
    <w:rsid w:val="00F2111E"/>
    <w:rsid w:val="00F215CB"/>
    <w:rsid w:val="00F215D3"/>
    <w:rsid w:val="00F21DFB"/>
    <w:rsid w:val="00F21E64"/>
    <w:rsid w:val="00F22636"/>
    <w:rsid w:val="00F22910"/>
    <w:rsid w:val="00F23ECE"/>
    <w:rsid w:val="00F24272"/>
    <w:rsid w:val="00F24E45"/>
    <w:rsid w:val="00F253CA"/>
    <w:rsid w:val="00F25D27"/>
    <w:rsid w:val="00F266D7"/>
    <w:rsid w:val="00F27127"/>
    <w:rsid w:val="00F27A6F"/>
    <w:rsid w:val="00F3044D"/>
    <w:rsid w:val="00F32019"/>
    <w:rsid w:val="00F323F3"/>
    <w:rsid w:val="00F326B5"/>
    <w:rsid w:val="00F33897"/>
    <w:rsid w:val="00F33EFB"/>
    <w:rsid w:val="00F34037"/>
    <w:rsid w:val="00F34EE1"/>
    <w:rsid w:val="00F368C2"/>
    <w:rsid w:val="00F36A00"/>
    <w:rsid w:val="00F36CE0"/>
    <w:rsid w:val="00F36ED8"/>
    <w:rsid w:val="00F3712C"/>
    <w:rsid w:val="00F371AD"/>
    <w:rsid w:val="00F377AE"/>
    <w:rsid w:val="00F4018D"/>
    <w:rsid w:val="00F40D4E"/>
    <w:rsid w:val="00F40FAA"/>
    <w:rsid w:val="00F41119"/>
    <w:rsid w:val="00F4122A"/>
    <w:rsid w:val="00F4123A"/>
    <w:rsid w:val="00F42761"/>
    <w:rsid w:val="00F42954"/>
    <w:rsid w:val="00F42B9A"/>
    <w:rsid w:val="00F42F24"/>
    <w:rsid w:val="00F43A27"/>
    <w:rsid w:val="00F43B3D"/>
    <w:rsid w:val="00F4423A"/>
    <w:rsid w:val="00F44643"/>
    <w:rsid w:val="00F44AC7"/>
    <w:rsid w:val="00F45DFC"/>
    <w:rsid w:val="00F4690D"/>
    <w:rsid w:val="00F46AB7"/>
    <w:rsid w:val="00F47147"/>
    <w:rsid w:val="00F476DC"/>
    <w:rsid w:val="00F50057"/>
    <w:rsid w:val="00F51FAF"/>
    <w:rsid w:val="00F52442"/>
    <w:rsid w:val="00F52848"/>
    <w:rsid w:val="00F52D4F"/>
    <w:rsid w:val="00F53E8A"/>
    <w:rsid w:val="00F54147"/>
    <w:rsid w:val="00F548D2"/>
    <w:rsid w:val="00F56687"/>
    <w:rsid w:val="00F56A3D"/>
    <w:rsid w:val="00F56CD7"/>
    <w:rsid w:val="00F5707B"/>
    <w:rsid w:val="00F5719B"/>
    <w:rsid w:val="00F5762B"/>
    <w:rsid w:val="00F579BA"/>
    <w:rsid w:val="00F57CC7"/>
    <w:rsid w:val="00F57F84"/>
    <w:rsid w:val="00F6038D"/>
    <w:rsid w:val="00F608A3"/>
    <w:rsid w:val="00F608F0"/>
    <w:rsid w:val="00F610A0"/>
    <w:rsid w:val="00F614C6"/>
    <w:rsid w:val="00F6171D"/>
    <w:rsid w:val="00F61EFD"/>
    <w:rsid w:val="00F62AD3"/>
    <w:rsid w:val="00F62EA1"/>
    <w:rsid w:val="00F635BD"/>
    <w:rsid w:val="00F639F5"/>
    <w:rsid w:val="00F64C74"/>
    <w:rsid w:val="00F64CF7"/>
    <w:rsid w:val="00F65334"/>
    <w:rsid w:val="00F65955"/>
    <w:rsid w:val="00F66AE6"/>
    <w:rsid w:val="00F66C5F"/>
    <w:rsid w:val="00F6736B"/>
    <w:rsid w:val="00F67892"/>
    <w:rsid w:val="00F67A70"/>
    <w:rsid w:val="00F67DB3"/>
    <w:rsid w:val="00F67E4D"/>
    <w:rsid w:val="00F7016D"/>
    <w:rsid w:val="00F70769"/>
    <w:rsid w:val="00F70F63"/>
    <w:rsid w:val="00F71171"/>
    <w:rsid w:val="00F71D88"/>
    <w:rsid w:val="00F71EAC"/>
    <w:rsid w:val="00F72A40"/>
    <w:rsid w:val="00F72B04"/>
    <w:rsid w:val="00F72BBC"/>
    <w:rsid w:val="00F72DE4"/>
    <w:rsid w:val="00F72E9B"/>
    <w:rsid w:val="00F74B7E"/>
    <w:rsid w:val="00F74EBC"/>
    <w:rsid w:val="00F7580D"/>
    <w:rsid w:val="00F75B99"/>
    <w:rsid w:val="00F75C26"/>
    <w:rsid w:val="00F75CAC"/>
    <w:rsid w:val="00F75EF8"/>
    <w:rsid w:val="00F7664D"/>
    <w:rsid w:val="00F7731A"/>
    <w:rsid w:val="00F773F5"/>
    <w:rsid w:val="00F77F72"/>
    <w:rsid w:val="00F80921"/>
    <w:rsid w:val="00F80D53"/>
    <w:rsid w:val="00F81205"/>
    <w:rsid w:val="00F816E2"/>
    <w:rsid w:val="00F822FA"/>
    <w:rsid w:val="00F82433"/>
    <w:rsid w:val="00F82EF7"/>
    <w:rsid w:val="00F83012"/>
    <w:rsid w:val="00F83C50"/>
    <w:rsid w:val="00F83E44"/>
    <w:rsid w:val="00F842CE"/>
    <w:rsid w:val="00F845C9"/>
    <w:rsid w:val="00F8460D"/>
    <w:rsid w:val="00F84B24"/>
    <w:rsid w:val="00F853E8"/>
    <w:rsid w:val="00F853F3"/>
    <w:rsid w:val="00F8654E"/>
    <w:rsid w:val="00F86620"/>
    <w:rsid w:val="00F8666F"/>
    <w:rsid w:val="00F91941"/>
    <w:rsid w:val="00F91FE0"/>
    <w:rsid w:val="00F92684"/>
    <w:rsid w:val="00F93063"/>
    <w:rsid w:val="00F941F7"/>
    <w:rsid w:val="00F94619"/>
    <w:rsid w:val="00F94D37"/>
    <w:rsid w:val="00F94E9B"/>
    <w:rsid w:val="00F95501"/>
    <w:rsid w:val="00F96569"/>
    <w:rsid w:val="00FA09D3"/>
    <w:rsid w:val="00FA0C2D"/>
    <w:rsid w:val="00FA1F9A"/>
    <w:rsid w:val="00FA2037"/>
    <w:rsid w:val="00FA23EA"/>
    <w:rsid w:val="00FA2B70"/>
    <w:rsid w:val="00FA2D3E"/>
    <w:rsid w:val="00FA3652"/>
    <w:rsid w:val="00FA3C9A"/>
    <w:rsid w:val="00FA484C"/>
    <w:rsid w:val="00FA5FA4"/>
    <w:rsid w:val="00FA6337"/>
    <w:rsid w:val="00FA73A6"/>
    <w:rsid w:val="00FA79BD"/>
    <w:rsid w:val="00FB06C2"/>
    <w:rsid w:val="00FB160A"/>
    <w:rsid w:val="00FB19C8"/>
    <w:rsid w:val="00FB22EB"/>
    <w:rsid w:val="00FB235C"/>
    <w:rsid w:val="00FB3104"/>
    <w:rsid w:val="00FB330E"/>
    <w:rsid w:val="00FB35CB"/>
    <w:rsid w:val="00FB37E6"/>
    <w:rsid w:val="00FB3D9B"/>
    <w:rsid w:val="00FB44FE"/>
    <w:rsid w:val="00FB52F0"/>
    <w:rsid w:val="00FB5D10"/>
    <w:rsid w:val="00FB6E97"/>
    <w:rsid w:val="00FB6F18"/>
    <w:rsid w:val="00FC1EF4"/>
    <w:rsid w:val="00FC1F17"/>
    <w:rsid w:val="00FC20A6"/>
    <w:rsid w:val="00FC2489"/>
    <w:rsid w:val="00FC287D"/>
    <w:rsid w:val="00FC2971"/>
    <w:rsid w:val="00FC387A"/>
    <w:rsid w:val="00FC3A7A"/>
    <w:rsid w:val="00FC4070"/>
    <w:rsid w:val="00FC43EF"/>
    <w:rsid w:val="00FC4932"/>
    <w:rsid w:val="00FC4A32"/>
    <w:rsid w:val="00FC4AF6"/>
    <w:rsid w:val="00FC5478"/>
    <w:rsid w:val="00FC56DB"/>
    <w:rsid w:val="00FC5775"/>
    <w:rsid w:val="00FC6875"/>
    <w:rsid w:val="00FD17A8"/>
    <w:rsid w:val="00FD1ABF"/>
    <w:rsid w:val="00FD2AFF"/>
    <w:rsid w:val="00FD2B04"/>
    <w:rsid w:val="00FD2E49"/>
    <w:rsid w:val="00FD31BE"/>
    <w:rsid w:val="00FD3688"/>
    <w:rsid w:val="00FD3AE9"/>
    <w:rsid w:val="00FD4ADC"/>
    <w:rsid w:val="00FD4F4A"/>
    <w:rsid w:val="00FD6248"/>
    <w:rsid w:val="00FD656A"/>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539"/>
    <w:rsid w:val="00FE48A4"/>
    <w:rsid w:val="00FE5741"/>
    <w:rsid w:val="00FE57FE"/>
    <w:rsid w:val="00FE6032"/>
    <w:rsid w:val="00FE6814"/>
    <w:rsid w:val="00FE73C6"/>
    <w:rsid w:val="00FF024A"/>
    <w:rsid w:val="00FF09FE"/>
    <w:rsid w:val="00FF200A"/>
    <w:rsid w:val="00FF2CA9"/>
    <w:rsid w:val="00FF3E79"/>
    <w:rsid w:val="00FF3EFB"/>
    <w:rsid w:val="00FF3F41"/>
    <w:rsid w:val="00FF46F7"/>
    <w:rsid w:val="00FF4BE9"/>
    <w:rsid w:val="00FF5322"/>
    <w:rsid w:val="00FF64BC"/>
    <w:rsid w:val="00FF6868"/>
    <w:rsid w:val="00FF699A"/>
    <w:rsid w:val="3483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DA3C"/>
  <w15:docId w15:val="{1469E8AC-82F3-4195-896E-86AB604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aliases w:val="~SubHeading"/>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aliases w:val="~MinorHeading"/>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ing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aliases w:val="~MinorHeading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 w:type="paragraph" w:customStyle="1" w:styleId="NumHeading">
    <w:name w:val="~NumHeading"/>
    <w:basedOn w:val="Heading1"/>
    <w:next w:val="Heading2"/>
    <w:link w:val="NumHeadingChar"/>
    <w:qFormat/>
    <w:rsid w:val="00E458D3"/>
    <w:pPr>
      <w:keepNext w:val="0"/>
      <w:keepLines w:val="0"/>
      <w:pageBreakBefore/>
      <w:shd w:val="clear" w:color="auto" w:fill="auto"/>
      <w:tabs>
        <w:tab w:val="clear" w:pos="567"/>
      </w:tabs>
      <w:spacing w:line="264" w:lineRule="auto"/>
    </w:pPr>
    <w:rPr>
      <w:rFonts w:ascii="Trebuchet MS" w:eastAsiaTheme="majorEastAsia" w:hAnsi="Trebuchet MS" w:cstheme="majorBidi"/>
      <w:color w:val="4F81BD" w:themeColor="accent1"/>
      <w:kern w:val="16"/>
      <w:sz w:val="56"/>
      <w:lang w:val="en-GB" w:eastAsia="en-GB"/>
    </w:rPr>
  </w:style>
  <w:style w:type="character" w:customStyle="1" w:styleId="NumHeadingChar">
    <w:name w:val="~NumHeading Char"/>
    <w:basedOn w:val="DefaultParagraphFont"/>
    <w:link w:val="NumHeading"/>
    <w:rsid w:val="00E458D3"/>
    <w:rPr>
      <w:rFonts w:ascii="Trebuchet MS" w:eastAsiaTheme="majorEastAsia" w:hAnsi="Trebuchet MS" w:cstheme="majorBidi"/>
      <w:b/>
      <w:bCs/>
      <w:caps/>
      <w:color w:val="4F81BD" w:themeColor="accent1"/>
      <w:kern w:val="16"/>
      <w:sz w:val="56"/>
      <w:szCs w:val="28"/>
      <w:lang w:eastAsia="en-GB"/>
    </w:rPr>
  </w:style>
  <w:style w:type="character" w:styleId="PlaceholderText">
    <w:name w:val="Placeholder Text"/>
    <w:basedOn w:val="DefaultParagraphFont"/>
    <w:uiPriority w:val="99"/>
    <w:semiHidden/>
    <w:rsid w:val="00E56F94"/>
    <w:rPr>
      <w:color w:val="808080"/>
    </w:rPr>
  </w:style>
  <w:style w:type="character" w:customStyle="1" w:styleId="markjylehajld">
    <w:name w:val="markjylehajld"/>
    <w:basedOn w:val="DefaultParagraphFont"/>
    <w:rsid w:val="004A7F4A"/>
  </w:style>
  <w:style w:type="paragraph" w:customStyle="1" w:styleId="Headin1">
    <w:name w:val="Headin 1"/>
    <w:basedOn w:val="Heading3"/>
    <w:link w:val="Headin1Char"/>
    <w:qFormat/>
    <w:rsid w:val="003D4232"/>
    <w:rPr>
      <w:rFonts w:asciiTheme="majorHAnsi" w:eastAsiaTheme="majorEastAsia" w:hAnsiTheme="majorHAnsi" w:cstheme="majorBidi"/>
      <w:color w:val="17365D" w:themeColor="text2" w:themeShade="BF"/>
      <w:sz w:val="40"/>
      <w:szCs w:val="36"/>
    </w:rPr>
  </w:style>
  <w:style w:type="character" w:customStyle="1" w:styleId="Headin1Char">
    <w:name w:val="Headin 1 Char"/>
    <w:basedOn w:val="Heading3Char"/>
    <w:link w:val="Headin1"/>
    <w:locked/>
    <w:rsid w:val="003D4232"/>
    <w:rPr>
      <w:rFonts w:asciiTheme="majorHAnsi" w:eastAsiaTheme="majorEastAsia" w:hAnsiTheme="majorHAnsi" w:cstheme="majorBidi"/>
      <w:b/>
      <w:color w:val="17365D" w:themeColor="text2" w:themeShade="BF"/>
      <w:sz w:val="40"/>
      <w:szCs w:val="36"/>
    </w:rPr>
  </w:style>
  <w:style w:type="character" w:styleId="Mention">
    <w:name w:val="Mention"/>
    <w:basedOn w:val="DefaultParagraphFont"/>
    <w:uiPriority w:val="99"/>
    <w:unhideWhenUsed/>
    <w:rsid w:val="007051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67584186">
      <w:bodyDiv w:val="1"/>
      <w:marLeft w:val="0"/>
      <w:marRight w:val="0"/>
      <w:marTop w:val="0"/>
      <w:marBottom w:val="0"/>
      <w:divBdr>
        <w:top w:val="none" w:sz="0" w:space="0" w:color="auto"/>
        <w:left w:val="none" w:sz="0" w:space="0" w:color="auto"/>
        <w:bottom w:val="none" w:sz="0" w:space="0" w:color="auto"/>
        <w:right w:val="none" w:sz="0" w:space="0" w:color="auto"/>
      </w:divBdr>
    </w:div>
    <w:div w:id="72700267">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7236277">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55653532">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3996006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56747831">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52122963">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151705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1513983">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6657277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63464846">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58432870">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keiti.org/reporting-guidance" TargetMode="External"/><Relationship Id="rId2" Type="http://schemas.openxmlformats.org/officeDocument/2006/relationships/customXml" Target="../customXml/item2.xml"/><Relationship Id="rId16" Type="http://schemas.openxmlformats.org/officeDocument/2006/relationships/hyperlink" Target="https://eiti.org/sites/default/files/2023-06/2023%20EITI%20Standar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iti.org/guidance-notes/transportation-revenues" TargetMode="External"/><Relationship Id="rId7" Type="http://schemas.openxmlformats.org/officeDocument/2006/relationships/hyperlink" Target="http://download.companieshouse.gov.uk/en_pscdata.html" TargetMode="External"/><Relationship Id="rId2" Type="http://schemas.openxmlformats.org/officeDocument/2006/relationships/hyperlink" Target="https://eiti.org/guidance-notes/infrastructure-provisions-and-barter-arrangements" TargetMode="External"/><Relationship Id="rId1" Type="http://schemas.openxmlformats.org/officeDocument/2006/relationships/hyperlink" Target="https://eiti.org/guidance-notes/reporting-guidelines-companies-buying-oil-gas-and-minerals-governments" TargetMode="External"/><Relationship Id="rId6" Type="http://schemas.openxmlformats.org/officeDocument/2006/relationships/hyperlink" Target="http://www.legislation.gov.uk/ukpga/2015/26/contents/enacted" TargetMode="External"/><Relationship Id="rId5" Type="http://schemas.openxmlformats.org/officeDocument/2006/relationships/hyperlink" Target="https://www.gov.uk/government/consultations/eu-accounting-directive-smaller-companies-reporting" TargetMode="External"/><Relationship Id="rId4" Type="http://schemas.openxmlformats.org/officeDocument/2006/relationships/hyperlink" Target="http://www.legislation.gov.uk/uksi/2014/3209/contents/ma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4172C-F3C4-4A59-BE14-5D96C1791FC8}">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8b835c3-d8af-4195-9f46-a0c7f37ab64b" xsi:nil="true"/>
    <TaxCatchAll xmlns="deee4ff9-25d8-4092-a47c-041c6cde6848" xsi:nil="true"/>
    <lcf76f155ced4ddcb4097134ff3c332f xmlns="d8b835c3-d8af-4195-9f46-a0c7f37ab64b">
      <Terms xmlns="http://schemas.microsoft.com/office/infopath/2007/PartnerControls"/>
    </lcf76f155ced4ddcb4097134ff3c332f>
    <Photograph_x002f_Source xmlns="d8b835c3-d8af-4195-9f46-a0c7f37ab64b" xsi:nil="true"/>
    <Imagelocation xmlns="d8b835c3-d8af-4195-9f46-a0c7f37ab64b" xsi:nil="true"/>
    <Imagetag xmlns="d8b835c3-d8af-4195-9f46-a0c7f37ab64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22" ma:contentTypeDescription="Create a new document." ma:contentTypeScope="" ma:versionID="ab48a85dcc27a4ee46a8306f2ff3b5d0">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60b15dc64b1fe5a60880b430df7792fd"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Imagetag" minOccurs="0"/>
                <xsd:element ref="ns3:Photograph_x002f_Source" minOccurs="0"/>
                <xsd:element ref="ns3:Imag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9cecb5-4e20-42a7-8bf3-d7bb27ffec0e}" ma:internalName="TaxCatchAll" ma:showField="CatchAllData" ma:web="deee4ff9-25d8-4092-a47c-041c6cde6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ternalName="MediaServiceLocation" ma:readOnly="true">
      <xsd:simpleType>
        <xsd:restriction base="dms:Text"/>
      </xsd:simpleType>
    </xsd:element>
    <xsd:element name="Imagetag" ma:index="20" nillable="true" ma:displayName="Image tag" ma:format="Dropdown" ma:internalName="Imagetag">
      <xsd:complexType>
        <xsd:complexContent>
          <xsd:extension base="dms:MultiChoice">
            <xsd:sequence>
              <xsd:element name="Value" maxOccurs="unbounded" minOccurs="0" nillable="true">
                <xsd:simpleType>
                  <xsd:restriction base="dms:Choice">
                    <xsd:enumeration value="Environment"/>
                    <xsd:enumeration value="Social"/>
                    <xsd:enumeration value="Urban"/>
                    <xsd:enumeration value="Rural"/>
                  </xsd:restriction>
                </xsd:simpleType>
              </xsd:element>
            </xsd:sequence>
          </xsd:extension>
        </xsd:complexContent>
      </xsd:complexType>
    </xsd:element>
    <xsd:element name="Photograph_x002f_Source" ma:index="21" nillable="true" ma:displayName="Photograph/Source" ma:format="Dropdown" ma:internalName="Photograph_x002f_Source">
      <xsd:simpleType>
        <xsd:restriction base="dms:Text">
          <xsd:maxLength value="255"/>
        </xsd:restriction>
      </xsd:simpleType>
    </xsd:element>
    <xsd:element name="Imagelocation" ma:index="22" nillable="true" ma:displayName="Image location" ma:format="Dropdown" ma:internalName="Imagelocation">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EB656-76D6-4B7B-BEA5-19E412DA8D48}">
  <ds:schemaRefs>
    <ds:schemaRef ds:uri="http://schemas.microsoft.com/sharepoint/v3/contenttype/forms"/>
  </ds:schemaRefs>
</ds:datastoreItem>
</file>

<file path=customXml/itemProps2.xml><?xml version="1.0" encoding="utf-8"?>
<ds:datastoreItem xmlns:ds="http://schemas.openxmlformats.org/officeDocument/2006/customXml" ds:itemID="{0010E7DA-0FA9-471D-AEE4-5C5A38BA407C}">
  <ds:schemaRefs>
    <ds:schemaRef ds:uri="http://schemas.microsoft.com/office/2006/metadata/properties"/>
    <ds:schemaRef ds:uri="http://schemas.microsoft.com/office/infopath/2007/PartnerControls"/>
    <ds:schemaRef ds:uri="d8b835c3-d8af-4195-9f46-a0c7f37ab64b"/>
    <ds:schemaRef ds:uri="deee4ff9-25d8-4092-a47c-041c6cde6848"/>
  </ds:schemaRefs>
</ds:datastoreItem>
</file>

<file path=customXml/itemProps3.xml><?xml version="1.0" encoding="utf-8"?>
<ds:datastoreItem xmlns:ds="http://schemas.openxmlformats.org/officeDocument/2006/customXml" ds:itemID="{7978F512-67A8-4E0B-8642-9EA6FA467EEC}">
  <ds:schemaRefs>
    <ds:schemaRef ds:uri="http://schemas.openxmlformats.org/officeDocument/2006/bibliography"/>
  </ds:schemaRefs>
</ds:datastoreItem>
</file>

<file path=customXml/itemProps4.xml><?xml version="1.0" encoding="utf-8"?>
<ds:datastoreItem xmlns:ds="http://schemas.openxmlformats.org/officeDocument/2006/customXml" ds:itemID="{3BD1F8FB-E23C-44E8-8C45-9D777555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UK EITI Approach and Methodology for 2022 Payments Report</vt:lpstr>
    </vt:vector>
  </TitlesOfParts>
  <Company>BIS</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Approach and Methodology for 2022 Payments Report</dc:title>
  <dc:creator>UK EITI MSG</dc:creator>
  <cp:lastModifiedBy>Nash, Michael (Energy Security)</cp:lastModifiedBy>
  <cp:revision>2</cp:revision>
  <cp:lastPrinted>2024-09-17T14:53:00Z</cp:lastPrinted>
  <dcterms:created xsi:type="dcterms:W3CDTF">2025-04-25T14:58:00Z</dcterms:created>
  <dcterms:modified xsi:type="dcterms:W3CDTF">2025-04-25T14:58:00Z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2019-09-24T08:01:57Z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0c981a5f-7b87-4eff-9598-0000a98fcd9b</vt:lpwstr>
  </property>
  <property fmtid="{D5CDD505-2E9C-101B-9397-08002B2CF9AE}" pid="8" name="MSIP_Label_ba62f585-b40f-4ab9-bafe-39150f03d124_ContentBits">
    <vt:lpwstr>0</vt:lpwstr>
  </property>
  <property fmtid="{D5CDD505-2E9C-101B-9397-08002B2CF9AE}" pid="9" name="ContentTypeId">
    <vt:lpwstr>0x010100DD873232EBE4CB4BBBB01CF679333667</vt:lpwstr>
  </property>
  <property fmtid="{D5CDD505-2E9C-101B-9397-08002B2CF9AE}" pid="10" name="Business Unit">
    <vt:lpwstr>91;#Company Law, Transparency and Tax|f73a51f8-bfcd-4e68-a033-6f422088fddd</vt:lpwstr>
  </property>
  <property fmtid="{D5CDD505-2E9C-101B-9397-08002B2CF9AE}" pid="11" name="_dlc_DocIdItemGuid">
    <vt:lpwstr>0035aa21-78a8-496c-b3b7-4e2e5d176522</vt:lpwstr>
  </property>
  <property fmtid="{D5CDD505-2E9C-101B-9397-08002B2CF9AE}" pid="12" name="MSIP_Label_f9af038e-07b4-4369-a678-c835687cb272_Enabled">
    <vt:lpwstr>true</vt:lpwstr>
  </property>
  <property fmtid="{D5CDD505-2E9C-101B-9397-08002B2CF9AE}" pid="13" name="MSIP_Label_f9af038e-07b4-4369-a678-c835687cb272_SetDate">
    <vt:lpwstr>2020-11-16T16:10:28Z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d9670ace-9a29-428a-8ac1-790466ed57ee</vt:lpwstr>
  </property>
  <property fmtid="{D5CDD505-2E9C-101B-9397-08002B2CF9AE}" pid="18" name="MSIP_Label_f9af038e-07b4-4369-a678-c835687cb272_ContentBits">
    <vt:lpwstr>2</vt:lpwstr>
  </property>
  <property fmtid="{D5CDD505-2E9C-101B-9397-08002B2CF9AE}" pid="19" name="MediaServiceImageTags">
    <vt:lpwstr/>
  </property>
</Properties>
</file>