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6DC0" w14:textId="77777777" w:rsidR="00254D4A" w:rsidRPr="00254D4A" w:rsidRDefault="00254D4A" w:rsidP="00254D4A">
      <w:pPr>
        <w:spacing w:after="161" w:line="288" w:lineRule="atLeast"/>
        <w:outlineLvl w:val="0"/>
        <w:rPr>
          <w:rFonts w:ascii="Arial" w:eastAsia="Times New Roman" w:hAnsi="Arial" w:cs="Arial"/>
          <w:color w:val="165B89"/>
          <w:kern w:val="36"/>
          <w:sz w:val="51"/>
          <w:szCs w:val="51"/>
          <w:lang w:eastAsia="en-GB"/>
        </w:rPr>
      </w:pPr>
      <w:r w:rsidRPr="00254D4A">
        <w:rPr>
          <w:rFonts w:ascii="Arial" w:eastAsia="Times New Roman" w:hAnsi="Arial" w:cs="Arial"/>
          <w:color w:val="165B89"/>
          <w:kern w:val="36"/>
          <w:sz w:val="51"/>
          <w:szCs w:val="51"/>
          <w:lang w:eastAsia="en-GB"/>
        </w:rPr>
        <w:t>Revenue allocations</w:t>
      </w:r>
    </w:p>
    <w:p w14:paraId="7AD22960" w14:textId="77777777" w:rsidR="00254D4A" w:rsidRPr="00254D4A" w:rsidRDefault="00254D4A" w:rsidP="00254D4A">
      <w:pPr>
        <w:spacing w:after="240" w:line="360" w:lineRule="atLeast"/>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Full details of UK Government income and expenditure (outturn figures, estimates and forecasts) are published by the </w:t>
      </w:r>
      <w:hyperlink r:id="rId7" w:history="1">
        <w:r w:rsidRPr="00254D4A">
          <w:rPr>
            <w:rFonts w:ascii="Arial" w:eastAsia="Times New Roman" w:hAnsi="Arial" w:cs="Arial"/>
            <w:color w:val="000000"/>
            <w:sz w:val="24"/>
            <w:szCs w:val="24"/>
            <w:u w:val="single"/>
            <w:lang w:eastAsia="en-GB"/>
          </w:rPr>
          <w:t>Office for Budget Responsibility (OBR)</w:t>
        </w:r>
      </w:hyperlink>
      <w:r w:rsidRPr="00254D4A">
        <w:rPr>
          <w:rFonts w:ascii="Arial" w:eastAsia="Times New Roman" w:hAnsi="Arial" w:cs="Arial"/>
          <w:color w:val="000000"/>
          <w:sz w:val="24"/>
          <w:szCs w:val="24"/>
          <w:lang w:eastAsia="en-GB"/>
        </w:rPr>
        <w:t>. Government accounts are audited by the </w:t>
      </w:r>
      <w:hyperlink r:id="rId8" w:history="1">
        <w:r w:rsidRPr="00254D4A">
          <w:rPr>
            <w:rFonts w:ascii="Arial" w:eastAsia="Times New Roman" w:hAnsi="Arial" w:cs="Arial"/>
            <w:color w:val="000000"/>
            <w:sz w:val="24"/>
            <w:szCs w:val="24"/>
            <w:u w:val="single"/>
            <w:lang w:eastAsia="en-GB"/>
          </w:rPr>
          <w:t>National Audit Office (NAO)</w:t>
        </w:r>
      </w:hyperlink>
      <w:r w:rsidRPr="00254D4A">
        <w:rPr>
          <w:rFonts w:ascii="Arial" w:eastAsia="Times New Roman" w:hAnsi="Arial" w:cs="Arial"/>
          <w:color w:val="000000"/>
          <w:sz w:val="24"/>
          <w:szCs w:val="24"/>
          <w:lang w:eastAsia="en-GB"/>
        </w:rPr>
        <w:t> and scrutinised by the </w:t>
      </w:r>
      <w:hyperlink r:id="rId9" w:history="1">
        <w:r w:rsidRPr="00254D4A">
          <w:rPr>
            <w:rFonts w:ascii="Arial" w:eastAsia="Times New Roman" w:hAnsi="Arial" w:cs="Arial"/>
            <w:color w:val="000000"/>
            <w:sz w:val="24"/>
            <w:szCs w:val="24"/>
            <w:u w:val="single"/>
            <w:lang w:eastAsia="en-GB"/>
          </w:rPr>
          <w:t>Public Accounts Committee</w:t>
        </w:r>
      </w:hyperlink>
      <w:r w:rsidRPr="00254D4A">
        <w:rPr>
          <w:rFonts w:ascii="Arial" w:eastAsia="Times New Roman" w:hAnsi="Arial" w:cs="Arial"/>
          <w:color w:val="000000"/>
          <w:sz w:val="24"/>
          <w:szCs w:val="24"/>
          <w:lang w:eastAsia="en-GB"/>
        </w:rPr>
        <w:t>.</w:t>
      </w:r>
    </w:p>
    <w:p w14:paraId="6B8A44C7" w14:textId="77777777" w:rsidR="00254D4A" w:rsidRPr="00254D4A" w:rsidRDefault="00254D4A" w:rsidP="00254D4A">
      <w:pPr>
        <w:spacing w:before="240" w:after="240" w:line="360" w:lineRule="atLeast"/>
        <w:rPr>
          <w:rFonts w:ascii="Arial" w:eastAsia="Times New Roman" w:hAnsi="Arial" w:cs="Arial"/>
          <w:color w:val="000000"/>
          <w:sz w:val="24"/>
          <w:szCs w:val="24"/>
          <w:lang w:eastAsia="en-GB"/>
        </w:rPr>
      </w:pPr>
      <w:r w:rsidRPr="00254D4A">
        <w:rPr>
          <w:rFonts w:ascii="Arial" w:eastAsia="Times New Roman" w:hAnsi="Arial" w:cs="Arial"/>
          <w:noProof/>
          <w:color w:val="000000"/>
          <w:sz w:val="24"/>
          <w:szCs w:val="24"/>
          <w:lang w:eastAsia="en-GB"/>
        </w:rPr>
        <w:drawing>
          <wp:inline distT="0" distB="0" distL="0" distR="0" wp14:anchorId="066BD819" wp14:editId="724DDC05">
            <wp:extent cx="6115050" cy="4465320"/>
            <wp:effectExtent l="0" t="0" r="0" b="0"/>
            <wp:docPr id="1" name="Picture 1" descr="A picture containing window, person,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person, indoor, pers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4465320"/>
                    </a:xfrm>
                    <a:prstGeom prst="rect">
                      <a:avLst/>
                    </a:prstGeom>
                    <a:noFill/>
                    <a:ln>
                      <a:noFill/>
                    </a:ln>
                  </pic:spPr>
                </pic:pic>
              </a:graphicData>
            </a:graphic>
          </wp:inline>
        </w:drawing>
      </w:r>
    </w:p>
    <w:p w14:paraId="327D7EB4" w14:textId="4F432C48" w:rsidR="00254D4A" w:rsidRPr="00254D4A" w:rsidRDefault="00254D4A" w:rsidP="00254D4A">
      <w:pPr>
        <w:spacing w:after="240" w:line="360" w:lineRule="atLeast"/>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With very few exceptions, central government receipts are not hypothecated to specific items or types of expenditure. The principal central government extractive revenues currently earmarked for specific UK programmes or geographic regions involve the allocation of a population-based share of income from seaward petroleum licences to the Northern Ireland Government, as required by </w:t>
      </w:r>
      <w:hyperlink r:id="rId11" w:history="1">
        <w:r w:rsidRPr="00254D4A">
          <w:rPr>
            <w:rFonts w:ascii="Arial" w:eastAsia="Times New Roman" w:hAnsi="Arial" w:cs="Arial"/>
            <w:color w:val="000000"/>
            <w:sz w:val="24"/>
            <w:szCs w:val="24"/>
            <w:u w:val="single"/>
            <w:lang w:eastAsia="en-GB"/>
          </w:rPr>
          <w:t>section 2 of the Miscellaneous Financial Provisions Act 1968</w:t>
        </w:r>
      </w:hyperlink>
      <w:r w:rsidRPr="00254D4A">
        <w:rPr>
          <w:rFonts w:ascii="Arial" w:eastAsia="Times New Roman" w:hAnsi="Arial" w:cs="Arial"/>
          <w:color w:val="000000"/>
          <w:sz w:val="24"/>
          <w:szCs w:val="24"/>
          <w:lang w:eastAsia="en-GB"/>
        </w:rPr>
        <w:t xml:space="preserve">. The amount to be transferred in respect of </w:t>
      </w:r>
      <w:r w:rsidR="0085491A">
        <w:rPr>
          <w:rFonts w:ascii="Arial" w:eastAsia="Times New Roman" w:hAnsi="Arial" w:cs="Arial"/>
          <w:color w:val="000000"/>
          <w:sz w:val="24"/>
          <w:szCs w:val="24"/>
          <w:lang w:eastAsia="en-GB"/>
        </w:rPr>
        <w:t xml:space="preserve">2021/22 </w:t>
      </w:r>
      <w:r w:rsidRPr="00254D4A">
        <w:rPr>
          <w:rFonts w:ascii="Arial" w:eastAsia="Times New Roman" w:hAnsi="Arial" w:cs="Arial"/>
          <w:color w:val="000000"/>
          <w:sz w:val="24"/>
          <w:szCs w:val="24"/>
          <w:lang w:eastAsia="en-GB"/>
        </w:rPr>
        <w:t xml:space="preserve">was </w:t>
      </w:r>
      <w:r w:rsidR="0085491A">
        <w:rPr>
          <w:rFonts w:ascii="Arial" w:eastAsia="Times New Roman" w:hAnsi="Arial" w:cs="Arial"/>
          <w:color w:val="000000"/>
          <w:sz w:val="24"/>
          <w:szCs w:val="24"/>
          <w:lang w:eastAsia="en-GB"/>
        </w:rPr>
        <w:t>£1.</w:t>
      </w:r>
      <w:r w:rsidR="005E2B84">
        <w:rPr>
          <w:rFonts w:ascii="Arial" w:eastAsia="Times New Roman" w:hAnsi="Arial" w:cs="Arial"/>
          <w:color w:val="000000"/>
          <w:sz w:val="24"/>
          <w:szCs w:val="24"/>
          <w:lang w:eastAsia="en-GB"/>
        </w:rPr>
        <w:t>547</w:t>
      </w:r>
      <w:r w:rsidR="0085491A">
        <w:rPr>
          <w:rFonts w:ascii="Arial" w:eastAsia="Times New Roman" w:hAnsi="Arial" w:cs="Arial"/>
          <w:color w:val="000000"/>
          <w:sz w:val="24"/>
          <w:szCs w:val="24"/>
          <w:lang w:eastAsia="en-GB"/>
        </w:rPr>
        <w:t xml:space="preserve"> </w:t>
      </w:r>
      <w:r w:rsidRPr="00254D4A">
        <w:rPr>
          <w:rFonts w:ascii="Arial" w:eastAsia="Times New Roman" w:hAnsi="Arial" w:cs="Arial"/>
          <w:color w:val="000000"/>
          <w:sz w:val="24"/>
          <w:szCs w:val="24"/>
          <w:lang w:eastAsia="en-GB"/>
        </w:rPr>
        <w:t>million (</w:t>
      </w:r>
      <w:r w:rsidR="0085491A">
        <w:rPr>
          <w:rFonts w:ascii="Arial" w:eastAsia="Times New Roman" w:hAnsi="Arial" w:cs="Arial"/>
          <w:color w:val="000000"/>
          <w:sz w:val="24"/>
          <w:szCs w:val="24"/>
          <w:lang w:eastAsia="en-GB"/>
        </w:rPr>
        <w:t>£1.7</w:t>
      </w:r>
      <w:r w:rsidR="00177714">
        <w:rPr>
          <w:rFonts w:ascii="Arial" w:eastAsia="Times New Roman" w:hAnsi="Arial" w:cs="Arial"/>
          <w:color w:val="000000"/>
          <w:sz w:val="24"/>
          <w:szCs w:val="24"/>
          <w:lang w:eastAsia="en-GB"/>
        </w:rPr>
        <w:t>06</w:t>
      </w:r>
      <w:r w:rsidR="0085491A">
        <w:rPr>
          <w:rFonts w:ascii="Arial" w:eastAsia="Times New Roman" w:hAnsi="Arial" w:cs="Arial"/>
          <w:color w:val="000000"/>
          <w:sz w:val="24"/>
          <w:szCs w:val="24"/>
          <w:lang w:eastAsia="en-GB"/>
        </w:rPr>
        <w:t xml:space="preserve"> </w:t>
      </w:r>
      <w:r w:rsidRPr="00254D4A">
        <w:rPr>
          <w:rFonts w:ascii="Arial" w:eastAsia="Times New Roman" w:hAnsi="Arial" w:cs="Arial"/>
          <w:color w:val="000000"/>
          <w:sz w:val="24"/>
          <w:szCs w:val="24"/>
          <w:lang w:eastAsia="en-GB"/>
        </w:rPr>
        <w:t>million in respect of</w:t>
      </w:r>
      <w:r w:rsidR="0085491A">
        <w:rPr>
          <w:rFonts w:ascii="Arial" w:eastAsia="Times New Roman" w:hAnsi="Arial" w:cs="Arial"/>
          <w:color w:val="000000"/>
          <w:sz w:val="24"/>
          <w:szCs w:val="24"/>
          <w:lang w:eastAsia="en-GB"/>
        </w:rPr>
        <w:t xml:space="preserve"> 2020/21</w:t>
      </w:r>
      <w:r w:rsidRPr="00254D4A">
        <w:rPr>
          <w:rFonts w:ascii="Arial" w:eastAsia="Times New Roman" w:hAnsi="Arial" w:cs="Arial"/>
          <w:color w:val="000000"/>
          <w:sz w:val="24"/>
          <w:szCs w:val="24"/>
          <w:lang w:eastAsia="en-GB"/>
        </w:rPr>
        <w:t>) [</w:t>
      </w:r>
      <w:hyperlink r:id="rId12" w:anchor="reference-1" w:history="1">
        <w:r w:rsidRPr="00254D4A">
          <w:rPr>
            <w:rFonts w:ascii="Arial" w:eastAsia="Times New Roman" w:hAnsi="Arial" w:cs="Arial"/>
            <w:color w:val="000000"/>
            <w:sz w:val="24"/>
            <w:szCs w:val="24"/>
            <w:u w:val="single"/>
            <w:lang w:eastAsia="en-GB"/>
          </w:rPr>
          <w:t>1</w:t>
        </w:r>
      </w:hyperlink>
      <w:r w:rsidRPr="00254D4A">
        <w:rPr>
          <w:rFonts w:ascii="Arial" w:eastAsia="Times New Roman" w:hAnsi="Arial" w:cs="Arial"/>
          <w:color w:val="000000"/>
          <w:sz w:val="24"/>
          <w:szCs w:val="24"/>
          <w:lang w:eastAsia="en-GB"/>
        </w:rPr>
        <w:t>].</w:t>
      </w:r>
    </w:p>
    <w:p w14:paraId="13729556" w14:textId="77777777" w:rsidR="00254D4A" w:rsidRPr="00254D4A" w:rsidRDefault="00254D4A" w:rsidP="00254D4A">
      <w:pPr>
        <w:spacing w:before="240" w:after="240" w:line="360" w:lineRule="atLeast"/>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All revenue ‘profit’ from Crown Estate Scotland goes to the Scottish Consolidated Fund and it is the responsibility of Scottish Ministers to decide how this is used. Crown Estate Scotland ensures that the assets are developed and enjoyed to deliver long-term value for communities and for the nation.</w:t>
      </w:r>
    </w:p>
    <w:p w14:paraId="2DD7C4D5" w14:textId="5F06B7F9" w:rsidR="00254D4A" w:rsidRPr="00254D4A" w:rsidRDefault="00254D4A" w:rsidP="00254D4A">
      <w:pPr>
        <w:spacing w:before="240" w:after="240" w:line="360" w:lineRule="atLeast"/>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lastRenderedPageBreak/>
        <w:t xml:space="preserve">Onshore petroleum licensing is now devolved in Great Britain as well as to Northern Ireland, although the Oil and Gas Authority (OGA) continues to collect licence fees due on licences in Scotland and Wales as an agent for the respective administrations. </w:t>
      </w:r>
      <w:r w:rsidR="0040336E">
        <w:rPr>
          <w:rFonts w:ascii="Arial" w:eastAsia="Times New Roman" w:hAnsi="Arial" w:cs="Arial"/>
          <w:color w:val="000000"/>
          <w:sz w:val="24"/>
          <w:szCs w:val="24"/>
          <w:lang w:eastAsia="en-GB"/>
        </w:rPr>
        <w:t>In March 2022, the OGA was rebranded as the North Sea Transition Authority (NSTA)</w:t>
      </w:r>
      <w:r w:rsidR="00BA4493">
        <w:rPr>
          <w:rFonts w:ascii="Arial" w:eastAsia="Times New Roman" w:hAnsi="Arial" w:cs="Arial"/>
          <w:color w:val="000000"/>
          <w:sz w:val="24"/>
          <w:szCs w:val="24"/>
          <w:lang w:eastAsia="en-GB"/>
        </w:rPr>
        <w:t xml:space="preserve"> but legally it remains the OGA and </w:t>
      </w:r>
      <w:r w:rsidR="005E2B84">
        <w:rPr>
          <w:rFonts w:ascii="Arial" w:eastAsia="Times New Roman" w:hAnsi="Arial" w:cs="Arial"/>
          <w:color w:val="000000"/>
          <w:sz w:val="24"/>
          <w:szCs w:val="24"/>
          <w:lang w:eastAsia="en-GB"/>
        </w:rPr>
        <w:t xml:space="preserve">continues to be </w:t>
      </w:r>
      <w:r w:rsidR="00BA4493">
        <w:rPr>
          <w:rFonts w:ascii="Arial" w:eastAsia="Times New Roman" w:hAnsi="Arial" w:cs="Arial"/>
          <w:color w:val="000000"/>
          <w:sz w:val="24"/>
          <w:szCs w:val="24"/>
          <w:lang w:eastAsia="en-GB"/>
        </w:rPr>
        <w:t>referred to by that acronym below</w:t>
      </w:r>
      <w:r w:rsidR="0040336E">
        <w:rPr>
          <w:rFonts w:ascii="Arial" w:eastAsia="Times New Roman" w:hAnsi="Arial" w:cs="Arial"/>
          <w:color w:val="000000"/>
          <w:sz w:val="24"/>
          <w:szCs w:val="24"/>
          <w:lang w:eastAsia="en-GB"/>
        </w:rPr>
        <w:t xml:space="preserve">. </w:t>
      </w:r>
      <w:r w:rsidRPr="00254D4A">
        <w:rPr>
          <w:rFonts w:ascii="Arial" w:eastAsia="Times New Roman" w:hAnsi="Arial" w:cs="Arial"/>
          <w:color w:val="000000"/>
          <w:sz w:val="24"/>
          <w:szCs w:val="24"/>
          <w:lang w:eastAsia="en-GB"/>
        </w:rPr>
        <w:t xml:space="preserve">Any amounts received </w:t>
      </w:r>
      <w:r w:rsidR="006C2B02">
        <w:rPr>
          <w:rFonts w:ascii="Arial" w:eastAsia="Times New Roman" w:hAnsi="Arial" w:cs="Arial"/>
          <w:color w:val="000000"/>
          <w:sz w:val="24"/>
          <w:szCs w:val="24"/>
          <w:lang w:eastAsia="en-GB"/>
        </w:rPr>
        <w:t xml:space="preserve">or refunded </w:t>
      </w:r>
      <w:r w:rsidRPr="00254D4A">
        <w:rPr>
          <w:rFonts w:ascii="Arial" w:eastAsia="Times New Roman" w:hAnsi="Arial" w:cs="Arial"/>
          <w:color w:val="000000"/>
          <w:sz w:val="24"/>
          <w:szCs w:val="24"/>
          <w:lang w:eastAsia="en-GB"/>
        </w:rPr>
        <w:t xml:space="preserve">in </w:t>
      </w:r>
      <w:r w:rsidR="001D49C0">
        <w:rPr>
          <w:rFonts w:ascii="Arial" w:eastAsia="Times New Roman" w:hAnsi="Arial" w:cs="Arial"/>
          <w:color w:val="000000"/>
          <w:sz w:val="24"/>
          <w:szCs w:val="24"/>
          <w:lang w:eastAsia="en-GB"/>
        </w:rPr>
        <w:t xml:space="preserve">2021 </w:t>
      </w:r>
      <w:r w:rsidRPr="00254D4A">
        <w:rPr>
          <w:rFonts w:ascii="Arial" w:eastAsia="Times New Roman" w:hAnsi="Arial" w:cs="Arial"/>
          <w:color w:val="000000"/>
          <w:sz w:val="24"/>
          <w:szCs w:val="24"/>
          <w:lang w:eastAsia="en-GB"/>
        </w:rPr>
        <w:t xml:space="preserve">have been reported as received </w:t>
      </w:r>
      <w:r w:rsidR="006C2B02">
        <w:rPr>
          <w:rFonts w:ascii="Arial" w:eastAsia="Times New Roman" w:hAnsi="Arial" w:cs="Arial"/>
          <w:color w:val="000000"/>
          <w:sz w:val="24"/>
          <w:szCs w:val="24"/>
          <w:lang w:eastAsia="en-GB"/>
        </w:rPr>
        <w:t xml:space="preserve">or repaid </w:t>
      </w:r>
      <w:r w:rsidRPr="00254D4A">
        <w:rPr>
          <w:rFonts w:ascii="Arial" w:eastAsia="Times New Roman" w:hAnsi="Arial" w:cs="Arial"/>
          <w:color w:val="000000"/>
          <w:sz w:val="24"/>
          <w:szCs w:val="24"/>
          <w:lang w:eastAsia="en-GB"/>
        </w:rPr>
        <w:t>by the OGA.</w:t>
      </w:r>
    </w:p>
    <w:p w14:paraId="49A6E8E2" w14:textId="45E47419" w:rsidR="00254D4A" w:rsidRPr="00254D4A" w:rsidRDefault="00254D4A" w:rsidP="00254D4A">
      <w:pPr>
        <w:spacing w:before="240" w:after="240" w:line="360" w:lineRule="atLeast"/>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In addition, the OGA Levy part-funds the operation of the OGA [</w:t>
      </w:r>
      <w:hyperlink r:id="rId13" w:anchor="reference-2" w:history="1">
        <w:r w:rsidRPr="00254D4A">
          <w:rPr>
            <w:rFonts w:ascii="Arial" w:eastAsia="Times New Roman" w:hAnsi="Arial" w:cs="Arial"/>
            <w:color w:val="000000"/>
            <w:sz w:val="24"/>
            <w:szCs w:val="24"/>
            <w:u w:val="single"/>
            <w:lang w:eastAsia="en-GB"/>
          </w:rPr>
          <w:t>2</w:t>
        </w:r>
      </w:hyperlink>
      <w:r w:rsidRPr="00254D4A">
        <w:rPr>
          <w:rFonts w:ascii="Arial" w:eastAsia="Times New Roman" w:hAnsi="Arial" w:cs="Arial"/>
          <w:color w:val="000000"/>
          <w:sz w:val="24"/>
          <w:szCs w:val="24"/>
          <w:lang w:eastAsia="en-GB"/>
        </w:rPr>
        <w:t>]. The rates of the Levy are set by statutory instrument so have to be approved by Parliament. Any excess of income over expenditure is repaid to levy-payers which can result in net refunds for some levy-payers in a calendar year. The OGA is a vested company with operational independence from government. However, the Secretary of State (SoS) for Business, Energy and Industrial Strategy (BEIS) is the company’s sole shareholder and is ultimately responsible to Parliament for the OGA; the OGA Board of Directors is accountable to the SoS. The Permanent Secretary of BEIS is the Principal Accounting Officer for the OGA and is responsible to Parliament for any grant funding of the OGA; the OGA’s Chief Executive is responsible to the Permanent Secretary. The OGA’s Annual Report and Accounts are approved by the Board of Directors and the SoS.</w:t>
      </w:r>
    </w:p>
    <w:p w14:paraId="1C51F9BC" w14:textId="308EAFAC" w:rsidR="00254D4A" w:rsidRPr="00254D4A" w:rsidRDefault="00254D4A" w:rsidP="00254D4A">
      <w:pPr>
        <w:spacing w:after="0" w:line="240" w:lineRule="auto"/>
        <w:rPr>
          <w:rFonts w:ascii="Arial" w:eastAsia="Times New Roman" w:hAnsi="Arial" w:cs="Arial"/>
          <w:color w:val="000000"/>
          <w:sz w:val="24"/>
          <w:szCs w:val="24"/>
          <w:lang w:eastAsia="en-GB"/>
        </w:rPr>
      </w:pPr>
    </w:p>
    <w:p w14:paraId="0FE65D78" w14:textId="77777777" w:rsidR="00254D4A" w:rsidRPr="00254D4A" w:rsidRDefault="00254D4A" w:rsidP="00254D4A">
      <w:pPr>
        <w:spacing w:after="0" w:line="288" w:lineRule="atLeast"/>
        <w:rPr>
          <w:rFonts w:ascii="Arial" w:eastAsia="Times New Roman" w:hAnsi="Arial" w:cs="Arial"/>
          <w:b/>
          <w:bCs/>
          <w:color w:val="CF142B"/>
          <w:sz w:val="30"/>
          <w:szCs w:val="30"/>
          <w:lang w:eastAsia="en-GB"/>
        </w:rPr>
      </w:pPr>
      <w:r w:rsidRPr="00254D4A">
        <w:rPr>
          <w:rFonts w:ascii="Arial" w:eastAsia="Times New Roman" w:hAnsi="Arial" w:cs="Arial"/>
          <w:b/>
          <w:bCs/>
          <w:color w:val="CF142B"/>
          <w:sz w:val="30"/>
          <w:szCs w:val="30"/>
          <w:lang w:eastAsia="en-GB"/>
        </w:rPr>
        <w:t>Notes and References</w:t>
      </w:r>
    </w:p>
    <w:p w14:paraId="139C729A" w14:textId="02E30994" w:rsidR="00254D4A" w:rsidRPr="00254D4A" w:rsidRDefault="00275A68" w:rsidP="00254D4A">
      <w:pPr>
        <w:numPr>
          <w:ilvl w:val="0"/>
          <w:numId w:val="2"/>
        </w:numPr>
        <w:spacing w:before="100" w:beforeAutospacing="1" w:after="100" w:afterAutospacing="1" w:line="360" w:lineRule="atLeast"/>
        <w:ind w:left="49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NSTA, </w:t>
      </w:r>
      <w:hyperlink r:id="rId14" w:history="1">
        <w:r w:rsidRPr="007D2514">
          <w:rPr>
            <w:rStyle w:val="Hyperlink"/>
            <w:rFonts w:ascii="Arial" w:eastAsia="Times New Roman" w:hAnsi="Arial" w:cs="Arial"/>
            <w:sz w:val="24"/>
            <w:szCs w:val="24"/>
            <w:lang w:eastAsia="en-GB"/>
          </w:rPr>
          <w:t>Oil and Gas Authority Annual Report and Accounts 2021-22</w:t>
        </w:r>
      </w:hyperlink>
      <w:r>
        <w:rPr>
          <w:rFonts w:ascii="Arial" w:eastAsia="Times New Roman" w:hAnsi="Arial" w:cs="Arial"/>
          <w:color w:val="000000"/>
          <w:sz w:val="24"/>
          <w:szCs w:val="24"/>
          <w:lang w:eastAsia="en-GB"/>
        </w:rPr>
        <w:t xml:space="preserve"> (July 2022)</w:t>
      </w:r>
    </w:p>
    <w:p w14:paraId="73E545A6" w14:textId="7C4E8B52" w:rsidR="00254D4A" w:rsidRPr="00254D4A" w:rsidRDefault="00254D4A" w:rsidP="00254D4A">
      <w:pPr>
        <w:numPr>
          <w:ilvl w:val="0"/>
          <w:numId w:val="2"/>
        </w:numPr>
        <w:spacing w:before="100" w:beforeAutospacing="1" w:after="100" w:afterAutospacing="1" w:line="360" w:lineRule="atLeast"/>
        <w:ind w:left="495"/>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DECC, </w:t>
      </w:r>
      <w:hyperlink r:id="rId15" w:history="1">
        <w:r w:rsidRPr="00254D4A">
          <w:rPr>
            <w:rFonts w:ascii="Arial" w:eastAsia="Times New Roman" w:hAnsi="Arial" w:cs="Arial"/>
            <w:color w:val="000000"/>
            <w:sz w:val="24"/>
            <w:szCs w:val="24"/>
            <w:u w:val="single"/>
            <w:lang w:eastAsia="en-GB"/>
          </w:rPr>
          <w:t>Funding the Oil and Gas Authority</w:t>
        </w:r>
      </w:hyperlink>
      <w:r w:rsidR="00177714">
        <w:rPr>
          <w:rFonts w:ascii="Arial" w:eastAsia="Times New Roman" w:hAnsi="Arial" w:cs="Arial"/>
          <w:color w:val="000000"/>
          <w:sz w:val="24"/>
          <w:szCs w:val="24"/>
          <w:u w:val="single"/>
          <w:lang w:eastAsia="en-GB"/>
        </w:rPr>
        <w:t>: Government Response (September 2015)</w:t>
      </w:r>
      <w:r w:rsidRPr="00254D4A">
        <w:rPr>
          <w:rFonts w:ascii="Arial" w:eastAsia="Times New Roman" w:hAnsi="Arial" w:cs="Arial"/>
          <w:color w:val="000000"/>
          <w:sz w:val="24"/>
          <w:szCs w:val="24"/>
          <w:lang w:eastAsia="en-GB"/>
        </w:rPr>
        <w:t>;</w:t>
      </w:r>
      <w:r w:rsidR="007D2514">
        <w:rPr>
          <w:rFonts w:ascii="Arial" w:eastAsia="Times New Roman" w:hAnsi="Arial" w:cs="Arial"/>
          <w:color w:val="000000"/>
          <w:sz w:val="24"/>
          <w:szCs w:val="24"/>
          <w:lang w:eastAsia="en-GB"/>
        </w:rPr>
        <w:t xml:space="preserve"> NSTA, </w:t>
      </w:r>
      <w:hyperlink r:id="rId16" w:history="1">
        <w:r w:rsidR="007D2514" w:rsidRPr="007D2514">
          <w:rPr>
            <w:rStyle w:val="Hyperlink"/>
            <w:rFonts w:ascii="Arial" w:eastAsia="Times New Roman" w:hAnsi="Arial" w:cs="Arial"/>
            <w:sz w:val="24"/>
            <w:szCs w:val="24"/>
            <w:lang w:eastAsia="en-GB"/>
          </w:rPr>
          <w:t>Oil and Gas Authority Annual Report and Accounts 2021-22</w:t>
        </w:r>
      </w:hyperlink>
      <w:r w:rsidR="007D2514">
        <w:rPr>
          <w:rFonts w:ascii="Arial" w:eastAsia="Times New Roman" w:hAnsi="Arial" w:cs="Arial"/>
          <w:color w:val="000000"/>
          <w:sz w:val="24"/>
          <w:szCs w:val="24"/>
          <w:lang w:eastAsia="en-GB"/>
        </w:rPr>
        <w:t xml:space="preserve"> (July 2022)</w:t>
      </w:r>
    </w:p>
    <w:p w14:paraId="541CC526" w14:textId="77777777" w:rsidR="00254D4A" w:rsidRPr="00254D4A" w:rsidRDefault="00254D4A" w:rsidP="00254D4A">
      <w:pPr>
        <w:spacing w:after="0" w:line="288" w:lineRule="atLeast"/>
        <w:rPr>
          <w:rFonts w:ascii="Arial" w:eastAsia="Times New Roman" w:hAnsi="Arial" w:cs="Arial"/>
          <w:b/>
          <w:bCs/>
          <w:color w:val="CF142B"/>
          <w:sz w:val="30"/>
          <w:szCs w:val="30"/>
          <w:lang w:eastAsia="en-GB"/>
        </w:rPr>
      </w:pPr>
      <w:r w:rsidRPr="00254D4A">
        <w:rPr>
          <w:rFonts w:ascii="Arial" w:eastAsia="Times New Roman" w:hAnsi="Arial" w:cs="Arial"/>
          <w:b/>
          <w:bCs/>
          <w:color w:val="CF142B"/>
          <w:sz w:val="30"/>
          <w:szCs w:val="30"/>
          <w:lang w:eastAsia="en-GB"/>
        </w:rPr>
        <w:t>Glossary of abbreviations</w:t>
      </w:r>
    </w:p>
    <w:tbl>
      <w:tblPr>
        <w:tblW w:w="0" w:type="auto"/>
        <w:tblCellSpacing w:w="3" w:type="dxa"/>
        <w:tblCellMar>
          <w:top w:w="30" w:type="dxa"/>
          <w:left w:w="30" w:type="dxa"/>
          <w:bottom w:w="30" w:type="dxa"/>
          <w:right w:w="30" w:type="dxa"/>
        </w:tblCellMar>
        <w:tblLook w:val="04A0" w:firstRow="1" w:lastRow="0" w:firstColumn="1" w:lastColumn="0" w:noHBand="0" w:noVBand="1"/>
      </w:tblPr>
      <w:tblGrid>
        <w:gridCol w:w="1776"/>
        <w:gridCol w:w="6072"/>
      </w:tblGrid>
      <w:tr w:rsidR="00254D4A" w:rsidRPr="00254D4A" w14:paraId="581896CD" w14:textId="77777777" w:rsidTr="00254D4A">
        <w:trPr>
          <w:tblCellSpacing w:w="3" w:type="dxa"/>
        </w:trPr>
        <w:tc>
          <w:tcPr>
            <w:tcW w:w="0" w:type="auto"/>
            <w:shd w:val="clear" w:color="auto" w:fill="132856"/>
            <w:tcMar>
              <w:top w:w="180" w:type="dxa"/>
              <w:left w:w="150" w:type="dxa"/>
              <w:bottom w:w="180" w:type="dxa"/>
              <w:right w:w="150" w:type="dxa"/>
            </w:tcMar>
            <w:vAlign w:val="center"/>
            <w:hideMark/>
          </w:tcPr>
          <w:p w14:paraId="6EC42974" w14:textId="77777777" w:rsidR="00254D4A" w:rsidRPr="00254D4A" w:rsidRDefault="00254D4A" w:rsidP="00254D4A">
            <w:pPr>
              <w:spacing w:after="0" w:line="240" w:lineRule="auto"/>
              <w:jc w:val="center"/>
              <w:rPr>
                <w:rFonts w:ascii="Arial" w:eastAsia="Times New Roman" w:hAnsi="Arial" w:cs="Arial"/>
                <w:b/>
                <w:bCs/>
                <w:color w:val="FFFFFF"/>
                <w:sz w:val="24"/>
                <w:szCs w:val="24"/>
                <w:lang w:eastAsia="en-GB"/>
              </w:rPr>
            </w:pPr>
            <w:r w:rsidRPr="00254D4A">
              <w:rPr>
                <w:rFonts w:ascii="Arial" w:eastAsia="Times New Roman" w:hAnsi="Arial" w:cs="Arial"/>
                <w:b/>
                <w:bCs/>
                <w:color w:val="FFFFFF"/>
                <w:sz w:val="24"/>
                <w:szCs w:val="24"/>
                <w:lang w:eastAsia="en-GB"/>
              </w:rPr>
              <w:t>Abbreviation</w:t>
            </w:r>
          </w:p>
        </w:tc>
        <w:tc>
          <w:tcPr>
            <w:tcW w:w="0" w:type="auto"/>
            <w:tcBorders>
              <w:right w:val="nil"/>
            </w:tcBorders>
            <w:shd w:val="clear" w:color="auto" w:fill="132856"/>
            <w:tcMar>
              <w:top w:w="180" w:type="dxa"/>
              <w:left w:w="150" w:type="dxa"/>
              <w:bottom w:w="180" w:type="dxa"/>
              <w:right w:w="150" w:type="dxa"/>
            </w:tcMar>
            <w:vAlign w:val="center"/>
            <w:hideMark/>
          </w:tcPr>
          <w:p w14:paraId="7677417F" w14:textId="77777777" w:rsidR="00254D4A" w:rsidRPr="00254D4A" w:rsidRDefault="00254D4A" w:rsidP="00254D4A">
            <w:pPr>
              <w:spacing w:after="0" w:line="240" w:lineRule="auto"/>
              <w:jc w:val="center"/>
              <w:rPr>
                <w:rFonts w:ascii="Arial" w:eastAsia="Times New Roman" w:hAnsi="Arial" w:cs="Arial"/>
                <w:b/>
                <w:bCs/>
                <w:color w:val="FFFFFF"/>
                <w:sz w:val="24"/>
                <w:szCs w:val="24"/>
                <w:lang w:eastAsia="en-GB"/>
              </w:rPr>
            </w:pPr>
            <w:r w:rsidRPr="00254D4A">
              <w:rPr>
                <w:rFonts w:ascii="Arial" w:eastAsia="Times New Roman" w:hAnsi="Arial" w:cs="Arial"/>
                <w:b/>
                <w:bCs/>
                <w:color w:val="FFFFFF"/>
                <w:sz w:val="24"/>
                <w:szCs w:val="24"/>
                <w:lang w:eastAsia="en-GB"/>
              </w:rPr>
              <w:t>Explanation</w:t>
            </w:r>
          </w:p>
        </w:tc>
      </w:tr>
      <w:tr w:rsidR="00254D4A" w:rsidRPr="00254D4A" w14:paraId="18FB10DB" w14:textId="77777777" w:rsidTr="00254D4A">
        <w:trPr>
          <w:tblCellSpacing w:w="3" w:type="dxa"/>
        </w:trPr>
        <w:tc>
          <w:tcPr>
            <w:tcW w:w="0" w:type="auto"/>
            <w:shd w:val="clear" w:color="auto" w:fill="FBFBFB"/>
            <w:tcMar>
              <w:top w:w="180" w:type="dxa"/>
              <w:left w:w="150" w:type="dxa"/>
              <w:bottom w:w="180" w:type="dxa"/>
              <w:right w:w="150" w:type="dxa"/>
            </w:tcMar>
            <w:vAlign w:val="center"/>
            <w:hideMark/>
          </w:tcPr>
          <w:p w14:paraId="425E2571"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BEIS</w:t>
            </w:r>
          </w:p>
        </w:tc>
        <w:tc>
          <w:tcPr>
            <w:tcW w:w="0" w:type="auto"/>
            <w:tcBorders>
              <w:right w:val="nil"/>
            </w:tcBorders>
            <w:shd w:val="clear" w:color="auto" w:fill="FBFBFB"/>
            <w:tcMar>
              <w:top w:w="180" w:type="dxa"/>
              <w:left w:w="150" w:type="dxa"/>
              <w:bottom w:w="180" w:type="dxa"/>
              <w:right w:w="150" w:type="dxa"/>
            </w:tcMar>
            <w:vAlign w:val="center"/>
            <w:hideMark/>
          </w:tcPr>
          <w:p w14:paraId="30CF3A44"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Department for Business, Energy &amp; Industrial Strategy</w:t>
            </w:r>
          </w:p>
        </w:tc>
      </w:tr>
      <w:tr w:rsidR="00254D4A" w:rsidRPr="00254D4A" w14:paraId="097182C3" w14:textId="77777777" w:rsidTr="00254D4A">
        <w:trPr>
          <w:tblCellSpacing w:w="3" w:type="dxa"/>
        </w:trPr>
        <w:tc>
          <w:tcPr>
            <w:tcW w:w="0" w:type="auto"/>
            <w:shd w:val="clear" w:color="auto" w:fill="FFFFFF"/>
            <w:tcMar>
              <w:top w:w="180" w:type="dxa"/>
              <w:left w:w="150" w:type="dxa"/>
              <w:bottom w:w="180" w:type="dxa"/>
              <w:right w:w="150" w:type="dxa"/>
            </w:tcMar>
            <w:vAlign w:val="center"/>
            <w:hideMark/>
          </w:tcPr>
          <w:p w14:paraId="72C26657"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DECC</w:t>
            </w:r>
          </w:p>
        </w:tc>
        <w:tc>
          <w:tcPr>
            <w:tcW w:w="0" w:type="auto"/>
            <w:tcBorders>
              <w:right w:val="nil"/>
            </w:tcBorders>
            <w:shd w:val="clear" w:color="auto" w:fill="FFFFFF"/>
            <w:tcMar>
              <w:top w:w="180" w:type="dxa"/>
              <w:left w:w="150" w:type="dxa"/>
              <w:bottom w:w="180" w:type="dxa"/>
              <w:right w:w="150" w:type="dxa"/>
            </w:tcMar>
            <w:vAlign w:val="center"/>
            <w:hideMark/>
          </w:tcPr>
          <w:p w14:paraId="26DD0E12"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Department of Energy &amp; Climate Change</w:t>
            </w:r>
          </w:p>
        </w:tc>
      </w:tr>
      <w:tr w:rsidR="00254D4A" w:rsidRPr="00254D4A" w14:paraId="3E67F9ED" w14:textId="77777777" w:rsidTr="00254D4A">
        <w:trPr>
          <w:tblCellSpacing w:w="3" w:type="dxa"/>
        </w:trPr>
        <w:tc>
          <w:tcPr>
            <w:tcW w:w="0" w:type="auto"/>
            <w:shd w:val="clear" w:color="auto" w:fill="FBFBFB"/>
            <w:tcMar>
              <w:top w:w="180" w:type="dxa"/>
              <w:left w:w="150" w:type="dxa"/>
              <w:bottom w:w="180" w:type="dxa"/>
              <w:right w:w="150" w:type="dxa"/>
            </w:tcMar>
            <w:vAlign w:val="center"/>
            <w:hideMark/>
          </w:tcPr>
          <w:p w14:paraId="62B22B7C"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HM</w:t>
            </w:r>
          </w:p>
        </w:tc>
        <w:tc>
          <w:tcPr>
            <w:tcW w:w="0" w:type="auto"/>
            <w:tcBorders>
              <w:right w:val="nil"/>
            </w:tcBorders>
            <w:shd w:val="clear" w:color="auto" w:fill="FBFBFB"/>
            <w:tcMar>
              <w:top w:w="180" w:type="dxa"/>
              <w:left w:w="150" w:type="dxa"/>
              <w:bottom w:w="180" w:type="dxa"/>
              <w:right w:w="150" w:type="dxa"/>
            </w:tcMar>
            <w:vAlign w:val="center"/>
            <w:hideMark/>
          </w:tcPr>
          <w:p w14:paraId="683B1A2C"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Her Majesty’s</w:t>
            </w:r>
          </w:p>
        </w:tc>
      </w:tr>
      <w:tr w:rsidR="00254D4A" w:rsidRPr="00254D4A" w14:paraId="300AF28A" w14:textId="77777777" w:rsidTr="00254D4A">
        <w:trPr>
          <w:tblCellSpacing w:w="3" w:type="dxa"/>
        </w:trPr>
        <w:tc>
          <w:tcPr>
            <w:tcW w:w="0" w:type="auto"/>
            <w:shd w:val="clear" w:color="auto" w:fill="FFFFFF"/>
            <w:tcMar>
              <w:top w:w="180" w:type="dxa"/>
              <w:left w:w="150" w:type="dxa"/>
              <w:bottom w:w="180" w:type="dxa"/>
              <w:right w:w="150" w:type="dxa"/>
            </w:tcMar>
            <w:vAlign w:val="center"/>
            <w:hideMark/>
          </w:tcPr>
          <w:p w14:paraId="35EBE12D"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NAO</w:t>
            </w:r>
          </w:p>
        </w:tc>
        <w:tc>
          <w:tcPr>
            <w:tcW w:w="0" w:type="auto"/>
            <w:tcBorders>
              <w:right w:val="nil"/>
            </w:tcBorders>
            <w:shd w:val="clear" w:color="auto" w:fill="FFFFFF"/>
            <w:tcMar>
              <w:top w:w="180" w:type="dxa"/>
              <w:left w:w="150" w:type="dxa"/>
              <w:bottom w:w="180" w:type="dxa"/>
              <w:right w:w="150" w:type="dxa"/>
            </w:tcMar>
            <w:vAlign w:val="center"/>
            <w:hideMark/>
          </w:tcPr>
          <w:p w14:paraId="352A3A4A"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National Audit Office</w:t>
            </w:r>
          </w:p>
        </w:tc>
      </w:tr>
      <w:tr w:rsidR="005C1D6D" w:rsidRPr="00254D4A" w14:paraId="348B825B" w14:textId="77777777" w:rsidTr="000A4200">
        <w:trPr>
          <w:tblCellSpacing w:w="3" w:type="dxa"/>
        </w:trPr>
        <w:tc>
          <w:tcPr>
            <w:tcW w:w="0" w:type="auto"/>
            <w:shd w:val="clear" w:color="auto" w:fill="FBFBFB"/>
            <w:tcMar>
              <w:top w:w="180" w:type="dxa"/>
              <w:left w:w="150" w:type="dxa"/>
              <w:bottom w:w="180" w:type="dxa"/>
              <w:right w:w="150" w:type="dxa"/>
            </w:tcMar>
            <w:vAlign w:val="center"/>
            <w:hideMark/>
          </w:tcPr>
          <w:p w14:paraId="1E9AD748" w14:textId="27D26AAF" w:rsidR="005C1D6D" w:rsidRPr="00254D4A" w:rsidRDefault="005C1D6D" w:rsidP="000A4200">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NSTA</w:t>
            </w:r>
          </w:p>
        </w:tc>
        <w:tc>
          <w:tcPr>
            <w:tcW w:w="0" w:type="auto"/>
            <w:tcBorders>
              <w:right w:val="nil"/>
            </w:tcBorders>
            <w:shd w:val="clear" w:color="auto" w:fill="FBFBFB"/>
            <w:tcMar>
              <w:top w:w="180" w:type="dxa"/>
              <w:left w:w="150" w:type="dxa"/>
              <w:bottom w:w="180" w:type="dxa"/>
              <w:right w:w="150" w:type="dxa"/>
            </w:tcMar>
            <w:vAlign w:val="center"/>
            <w:hideMark/>
          </w:tcPr>
          <w:p w14:paraId="3541B362" w14:textId="084FB16B" w:rsidR="005C1D6D" w:rsidRPr="00254D4A" w:rsidRDefault="005C1D6D" w:rsidP="000A4200">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North Sea Transition Authority</w:t>
            </w:r>
          </w:p>
        </w:tc>
      </w:tr>
      <w:tr w:rsidR="00254D4A" w:rsidRPr="00254D4A" w14:paraId="029C256C" w14:textId="77777777" w:rsidTr="00254D4A">
        <w:trPr>
          <w:tblCellSpacing w:w="3" w:type="dxa"/>
        </w:trPr>
        <w:tc>
          <w:tcPr>
            <w:tcW w:w="0" w:type="auto"/>
            <w:shd w:val="clear" w:color="auto" w:fill="FBFBFB"/>
            <w:tcMar>
              <w:top w:w="180" w:type="dxa"/>
              <w:left w:w="150" w:type="dxa"/>
              <w:bottom w:w="180" w:type="dxa"/>
              <w:right w:w="150" w:type="dxa"/>
            </w:tcMar>
            <w:vAlign w:val="center"/>
            <w:hideMark/>
          </w:tcPr>
          <w:p w14:paraId="2F0760D1"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OBR</w:t>
            </w:r>
          </w:p>
        </w:tc>
        <w:tc>
          <w:tcPr>
            <w:tcW w:w="0" w:type="auto"/>
            <w:tcBorders>
              <w:right w:val="nil"/>
            </w:tcBorders>
            <w:shd w:val="clear" w:color="auto" w:fill="FBFBFB"/>
            <w:tcMar>
              <w:top w:w="180" w:type="dxa"/>
              <w:left w:w="150" w:type="dxa"/>
              <w:bottom w:w="180" w:type="dxa"/>
              <w:right w:w="150" w:type="dxa"/>
            </w:tcMar>
            <w:vAlign w:val="center"/>
            <w:hideMark/>
          </w:tcPr>
          <w:p w14:paraId="4919ECBF"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Office for Budget Responsibility</w:t>
            </w:r>
          </w:p>
        </w:tc>
      </w:tr>
      <w:tr w:rsidR="00254D4A" w:rsidRPr="00254D4A" w14:paraId="4BB791F4" w14:textId="77777777" w:rsidTr="00254D4A">
        <w:trPr>
          <w:tblCellSpacing w:w="3" w:type="dxa"/>
        </w:trPr>
        <w:tc>
          <w:tcPr>
            <w:tcW w:w="0" w:type="auto"/>
            <w:shd w:val="clear" w:color="auto" w:fill="FFFFFF"/>
            <w:tcMar>
              <w:top w:w="180" w:type="dxa"/>
              <w:left w:w="150" w:type="dxa"/>
              <w:bottom w:w="180" w:type="dxa"/>
              <w:right w:w="150" w:type="dxa"/>
            </w:tcMar>
            <w:vAlign w:val="center"/>
            <w:hideMark/>
          </w:tcPr>
          <w:p w14:paraId="3B543F08"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OGA</w:t>
            </w:r>
          </w:p>
        </w:tc>
        <w:tc>
          <w:tcPr>
            <w:tcW w:w="0" w:type="auto"/>
            <w:tcBorders>
              <w:right w:val="nil"/>
            </w:tcBorders>
            <w:shd w:val="clear" w:color="auto" w:fill="FFFFFF"/>
            <w:tcMar>
              <w:top w:w="180" w:type="dxa"/>
              <w:left w:w="150" w:type="dxa"/>
              <w:bottom w:w="180" w:type="dxa"/>
              <w:right w:w="150" w:type="dxa"/>
            </w:tcMar>
            <w:vAlign w:val="center"/>
            <w:hideMark/>
          </w:tcPr>
          <w:p w14:paraId="2A02E27D"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Oil and Gas Authority</w:t>
            </w:r>
          </w:p>
        </w:tc>
      </w:tr>
      <w:tr w:rsidR="00254D4A" w:rsidRPr="00254D4A" w14:paraId="39DF2892" w14:textId="77777777" w:rsidTr="00254D4A">
        <w:trPr>
          <w:tblCellSpacing w:w="3" w:type="dxa"/>
        </w:trPr>
        <w:tc>
          <w:tcPr>
            <w:tcW w:w="0" w:type="auto"/>
            <w:shd w:val="clear" w:color="auto" w:fill="FBFBFB"/>
            <w:tcMar>
              <w:top w:w="180" w:type="dxa"/>
              <w:left w:w="150" w:type="dxa"/>
              <w:bottom w:w="180" w:type="dxa"/>
              <w:right w:w="150" w:type="dxa"/>
            </w:tcMar>
            <w:vAlign w:val="center"/>
            <w:hideMark/>
          </w:tcPr>
          <w:p w14:paraId="5C670E7D"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SoS</w:t>
            </w:r>
          </w:p>
        </w:tc>
        <w:tc>
          <w:tcPr>
            <w:tcW w:w="0" w:type="auto"/>
            <w:tcBorders>
              <w:right w:val="nil"/>
            </w:tcBorders>
            <w:shd w:val="clear" w:color="auto" w:fill="FBFBFB"/>
            <w:tcMar>
              <w:top w:w="180" w:type="dxa"/>
              <w:left w:w="150" w:type="dxa"/>
              <w:bottom w:w="180" w:type="dxa"/>
              <w:right w:w="150" w:type="dxa"/>
            </w:tcMar>
            <w:vAlign w:val="center"/>
            <w:hideMark/>
          </w:tcPr>
          <w:p w14:paraId="78A3AADF"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Secretary of State</w:t>
            </w:r>
          </w:p>
        </w:tc>
      </w:tr>
      <w:tr w:rsidR="00254D4A" w:rsidRPr="00254D4A" w14:paraId="4CFC12FE" w14:textId="77777777" w:rsidTr="00254D4A">
        <w:trPr>
          <w:tblCellSpacing w:w="3" w:type="dxa"/>
        </w:trPr>
        <w:tc>
          <w:tcPr>
            <w:tcW w:w="0" w:type="auto"/>
            <w:shd w:val="clear" w:color="auto" w:fill="FFFFFF"/>
            <w:tcMar>
              <w:top w:w="180" w:type="dxa"/>
              <w:left w:w="150" w:type="dxa"/>
              <w:bottom w:w="180" w:type="dxa"/>
              <w:right w:w="150" w:type="dxa"/>
            </w:tcMar>
            <w:vAlign w:val="center"/>
            <w:hideMark/>
          </w:tcPr>
          <w:p w14:paraId="412430BF"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UK</w:t>
            </w:r>
          </w:p>
        </w:tc>
        <w:tc>
          <w:tcPr>
            <w:tcW w:w="0" w:type="auto"/>
            <w:tcBorders>
              <w:right w:val="nil"/>
            </w:tcBorders>
            <w:shd w:val="clear" w:color="auto" w:fill="FFFFFF"/>
            <w:tcMar>
              <w:top w:w="180" w:type="dxa"/>
              <w:left w:w="150" w:type="dxa"/>
              <w:bottom w:w="180" w:type="dxa"/>
              <w:right w:w="150" w:type="dxa"/>
            </w:tcMar>
            <w:vAlign w:val="center"/>
            <w:hideMark/>
          </w:tcPr>
          <w:p w14:paraId="246EE2B6" w14:textId="77777777" w:rsidR="00254D4A" w:rsidRPr="00254D4A" w:rsidRDefault="00254D4A" w:rsidP="00254D4A">
            <w:pPr>
              <w:spacing w:after="0" w:line="240" w:lineRule="auto"/>
              <w:rPr>
                <w:rFonts w:ascii="Arial" w:eastAsia="Times New Roman" w:hAnsi="Arial" w:cs="Arial"/>
                <w:color w:val="000000"/>
                <w:sz w:val="24"/>
                <w:szCs w:val="24"/>
                <w:lang w:eastAsia="en-GB"/>
              </w:rPr>
            </w:pPr>
            <w:r w:rsidRPr="00254D4A">
              <w:rPr>
                <w:rFonts w:ascii="Arial" w:eastAsia="Times New Roman" w:hAnsi="Arial" w:cs="Arial"/>
                <w:color w:val="000000"/>
                <w:sz w:val="24"/>
                <w:szCs w:val="24"/>
                <w:lang w:eastAsia="en-GB"/>
              </w:rPr>
              <w:t>United Kingdom</w:t>
            </w:r>
          </w:p>
        </w:tc>
      </w:tr>
    </w:tbl>
    <w:p w14:paraId="18A8F31A" w14:textId="77777777" w:rsidR="00574B3D" w:rsidRDefault="00427C03" w:rsidP="00254D4A">
      <w:pPr>
        <w:spacing w:after="0" w:line="318" w:lineRule="atLeast"/>
        <w:outlineLvl w:val="1"/>
      </w:pPr>
    </w:p>
    <w:sectPr w:rsidR="00574B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D4DB" w14:textId="77777777" w:rsidR="005D77D6" w:rsidRDefault="005D77D6" w:rsidP="00254D4A">
      <w:pPr>
        <w:spacing w:after="0" w:line="240" w:lineRule="auto"/>
      </w:pPr>
      <w:r>
        <w:separator/>
      </w:r>
    </w:p>
  </w:endnote>
  <w:endnote w:type="continuationSeparator" w:id="0">
    <w:p w14:paraId="4215D817" w14:textId="77777777" w:rsidR="005D77D6" w:rsidRDefault="005D77D6" w:rsidP="0025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ADED" w14:textId="77777777" w:rsidR="005D77D6" w:rsidRDefault="005D77D6" w:rsidP="00254D4A">
      <w:pPr>
        <w:spacing w:after="0" w:line="240" w:lineRule="auto"/>
      </w:pPr>
      <w:r>
        <w:separator/>
      </w:r>
    </w:p>
  </w:footnote>
  <w:footnote w:type="continuationSeparator" w:id="0">
    <w:p w14:paraId="7DA462B8" w14:textId="77777777" w:rsidR="005D77D6" w:rsidRDefault="005D77D6" w:rsidP="00254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F2942"/>
    <w:multiLevelType w:val="multilevel"/>
    <w:tmpl w:val="E350150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52195"/>
    <w:multiLevelType w:val="multilevel"/>
    <w:tmpl w:val="0AF244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565917506">
    <w:abstractNumId w:val="0"/>
  </w:num>
  <w:num w:numId="2" w16cid:durableId="26118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4A"/>
    <w:rsid w:val="00165487"/>
    <w:rsid w:val="00177714"/>
    <w:rsid w:val="001B33CB"/>
    <w:rsid w:val="001D49C0"/>
    <w:rsid w:val="00254D4A"/>
    <w:rsid w:val="00275A68"/>
    <w:rsid w:val="0040336E"/>
    <w:rsid w:val="00427C03"/>
    <w:rsid w:val="005C1D6D"/>
    <w:rsid w:val="005D77D6"/>
    <w:rsid w:val="005E2B84"/>
    <w:rsid w:val="006C2B02"/>
    <w:rsid w:val="007D2514"/>
    <w:rsid w:val="0085491A"/>
    <w:rsid w:val="009421D3"/>
    <w:rsid w:val="009A278F"/>
    <w:rsid w:val="00AE0F5C"/>
    <w:rsid w:val="00B835EC"/>
    <w:rsid w:val="00BA4493"/>
    <w:rsid w:val="00BA46AA"/>
    <w:rsid w:val="00BA6EE6"/>
    <w:rsid w:val="00D27FEC"/>
    <w:rsid w:val="00DB08F9"/>
    <w:rsid w:val="00DE5867"/>
    <w:rsid w:val="00E43535"/>
    <w:rsid w:val="00EA2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F00B0"/>
  <w15:chartTrackingRefBased/>
  <w15:docId w15:val="{8E6BDE0A-8A57-4508-845E-C40F437C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D49C0"/>
    <w:pPr>
      <w:spacing w:after="0" w:line="240" w:lineRule="auto"/>
    </w:pPr>
  </w:style>
  <w:style w:type="character" w:styleId="CommentReference">
    <w:name w:val="annotation reference"/>
    <w:basedOn w:val="DefaultParagraphFont"/>
    <w:uiPriority w:val="99"/>
    <w:semiHidden/>
    <w:unhideWhenUsed/>
    <w:rsid w:val="00EA2CB1"/>
    <w:rPr>
      <w:sz w:val="16"/>
      <w:szCs w:val="16"/>
    </w:rPr>
  </w:style>
  <w:style w:type="paragraph" w:styleId="CommentText">
    <w:name w:val="annotation text"/>
    <w:basedOn w:val="Normal"/>
    <w:link w:val="CommentTextChar"/>
    <w:uiPriority w:val="99"/>
    <w:semiHidden/>
    <w:unhideWhenUsed/>
    <w:rsid w:val="00EA2CB1"/>
    <w:pPr>
      <w:spacing w:line="240" w:lineRule="auto"/>
    </w:pPr>
    <w:rPr>
      <w:sz w:val="20"/>
      <w:szCs w:val="20"/>
    </w:rPr>
  </w:style>
  <w:style w:type="character" w:customStyle="1" w:styleId="CommentTextChar">
    <w:name w:val="Comment Text Char"/>
    <w:basedOn w:val="DefaultParagraphFont"/>
    <w:link w:val="CommentText"/>
    <w:uiPriority w:val="99"/>
    <w:semiHidden/>
    <w:rsid w:val="00EA2CB1"/>
    <w:rPr>
      <w:sz w:val="20"/>
      <w:szCs w:val="20"/>
    </w:rPr>
  </w:style>
  <w:style w:type="paragraph" w:styleId="CommentSubject">
    <w:name w:val="annotation subject"/>
    <w:basedOn w:val="CommentText"/>
    <w:next w:val="CommentText"/>
    <w:link w:val="CommentSubjectChar"/>
    <w:uiPriority w:val="99"/>
    <w:semiHidden/>
    <w:unhideWhenUsed/>
    <w:rsid w:val="00EA2CB1"/>
    <w:rPr>
      <w:b/>
      <w:bCs/>
    </w:rPr>
  </w:style>
  <w:style w:type="character" w:customStyle="1" w:styleId="CommentSubjectChar">
    <w:name w:val="Comment Subject Char"/>
    <w:basedOn w:val="CommentTextChar"/>
    <w:link w:val="CommentSubject"/>
    <w:uiPriority w:val="99"/>
    <w:semiHidden/>
    <w:rsid w:val="00EA2CB1"/>
    <w:rPr>
      <w:b/>
      <w:bCs/>
      <w:sz w:val="20"/>
      <w:szCs w:val="20"/>
    </w:rPr>
  </w:style>
  <w:style w:type="character" w:styleId="Hyperlink">
    <w:name w:val="Hyperlink"/>
    <w:basedOn w:val="DefaultParagraphFont"/>
    <w:uiPriority w:val="99"/>
    <w:unhideWhenUsed/>
    <w:rsid w:val="007D2514"/>
    <w:rPr>
      <w:color w:val="0563C1" w:themeColor="hyperlink"/>
      <w:u w:val="single"/>
    </w:rPr>
  </w:style>
  <w:style w:type="character" w:styleId="UnresolvedMention">
    <w:name w:val="Unresolved Mention"/>
    <w:basedOn w:val="DefaultParagraphFont"/>
    <w:uiPriority w:val="99"/>
    <w:semiHidden/>
    <w:unhideWhenUsed/>
    <w:rsid w:val="007D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67624">
      <w:bodyDiv w:val="1"/>
      <w:marLeft w:val="0"/>
      <w:marRight w:val="0"/>
      <w:marTop w:val="0"/>
      <w:marBottom w:val="0"/>
      <w:divBdr>
        <w:top w:val="none" w:sz="0" w:space="0" w:color="auto"/>
        <w:left w:val="none" w:sz="0" w:space="0" w:color="auto"/>
        <w:bottom w:val="none" w:sz="0" w:space="0" w:color="auto"/>
        <w:right w:val="none" w:sz="0" w:space="0" w:color="auto"/>
      </w:divBdr>
      <w:divsChild>
        <w:div w:id="123230851">
          <w:marLeft w:val="0"/>
          <w:marRight w:val="0"/>
          <w:marTop w:val="0"/>
          <w:marBottom w:val="0"/>
          <w:divBdr>
            <w:top w:val="none" w:sz="0" w:space="0" w:color="auto"/>
            <w:left w:val="none" w:sz="0" w:space="0" w:color="auto"/>
            <w:bottom w:val="none" w:sz="0" w:space="0" w:color="auto"/>
            <w:right w:val="none" w:sz="0" w:space="0" w:color="auto"/>
          </w:divBdr>
          <w:divsChild>
            <w:div w:id="1152524921">
              <w:marLeft w:val="-225"/>
              <w:marRight w:val="-225"/>
              <w:marTop w:val="0"/>
              <w:marBottom w:val="0"/>
              <w:divBdr>
                <w:top w:val="none" w:sz="0" w:space="0" w:color="auto"/>
                <w:left w:val="none" w:sz="0" w:space="0" w:color="auto"/>
                <w:bottom w:val="none" w:sz="0" w:space="0" w:color="auto"/>
                <w:right w:val="none" w:sz="0" w:space="0" w:color="auto"/>
              </w:divBdr>
              <w:divsChild>
                <w:div w:id="2089644778">
                  <w:marLeft w:val="0"/>
                  <w:marRight w:val="0"/>
                  <w:marTop w:val="0"/>
                  <w:marBottom w:val="0"/>
                  <w:divBdr>
                    <w:top w:val="none" w:sz="0" w:space="0" w:color="auto"/>
                    <w:left w:val="none" w:sz="0" w:space="0" w:color="auto"/>
                    <w:bottom w:val="none" w:sz="0" w:space="0" w:color="auto"/>
                    <w:right w:val="none" w:sz="0" w:space="0" w:color="auto"/>
                  </w:divBdr>
                  <w:divsChild>
                    <w:div w:id="1599408495">
                      <w:marLeft w:val="0"/>
                      <w:marRight w:val="0"/>
                      <w:marTop w:val="0"/>
                      <w:marBottom w:val="0"/>
                      <w:divBdr>
                        <w:top w:val="none" w:sz="0" w:space="0" w:color="auto"/>
                        <w:left w:val="none" w:sz="0" w:space="0" w:color="auto"/>
                        <w:bottom w:val="none" w:sz="0" w:space="0" w:color="auto"/>
                        <w:right w:val="none" w:sz="0" w:space="0" w:color="auto"/>
                      </w:divBdr>
                    </w:div>
                    <w:div w:id="1808159309">
                      <w:marLeft w:val="0"/>
                      <w:marRight w:val="0"/>
                      <w:marTop w:val="0"/>
                      <w:marBottom w:val="0"/>
                      <w:divBdr>
                        <w:top w:val="none" w:sz="0" w:space="0" w:color="auto"/>
                        <w:left w:val="none" w:sz="0" w:space="0" w:color="auto"/>
                        <w:bottom w:val="none" w:sz="0" w:space="0" w:color="auto"/>
                        <w:right w:val="none" w:sz="0" w:space="0" w:color="auto"/>
                      </w:divBdr>
                    </w:div>
                  </w:divsChild>
                </w:div>
                <w:div w:id="249314190">
                  <w:marLeft w:val="0"/>
                  <w:marRight w:val="0"/>
                  <w:marTop w:val="0"/>
                  <w:marBottom w:val="0"/>
                  <w:divBdr>
                    <w:top w:val="none" w:sz="0" w:space="0" w:color="auto"/>
                    <w:left w:val="none" w:sz="0" w:space="0" w:color="auto"/>
                    <w:bottom w:val="none" w:sz="0" w:space="0" w:color="auto"/>
                    <w:right w:val="none" w:sz="0" w:space="0" w:color="auto"/>
                  </w:divBdr>
                  <w:divsChild>
                    <w:div w:id="846402058">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891766331">
          <w:marLeft w:val="0"/>
          <w:marRight w:val="0"/>
          <w:marTop w:val="0"/>
          <w:marBottom w:val="0"/>
          <w:divBdr>
            <w:top w:val="none" w:sz="0" w:space="0" w:color="auto"/>
            <w:left w:val="none" w:sz="0" w:space="0" w:color="auto"/>
            <w:bottom w:val="none" w:sz="0" w:space="0" w:color="auto"/>
            <w:right w:val="none" w:sz="0" w:space="0" w:color="auto"/>
          </w:divBdr>
          <w:divsChild>
            <w:div w:id="1508060398">
              <w:marLeft w:val="-225"/>
              <w:marRight w:val="-225"/>
              <w:marTop w:val="0"/>
              <w:marBottom w:val="0"/>
              <w:divBdr>
                <w:top w:val="none" w:sz="0" w:space="0" w:color="auto"/>
                <w:left w:val="none" w:sz="0" w:space="0" w:color="auto"/>
                <w:bottom w:val="none" w:sz="0" w:space="0" w:color="auto"/>
                <w:right w:val="none" w:sz="0" w:space="0" w:color="auto"/>
              </w:divBdr>
              <w:divsChild>
                <w:div w:id="1988237589">
                  <w:marLeft w:val="0"/>
                  <w:marRight w:val="0"/>
                  <w:marTop w:val="0"/>
                  <w:marBottom w:val="0"/>
                  <w:divBdr>
                    <w:top w:val="none" w:sz="0" w:space="0" w:color="auto"/>
                    <w:left w:val="none" w:sz="0" w:space="0" w:color="auto"/>
                    <w:bottom w:val="none" w:sz="0" w:space="0" w:color="auto"/>
                    <w:right w:val="none" w:sz="0" w:space="0" w:color="auto"/>
                  </w:divBdr>
                  <w:divsChild>
                    <w:div w:id="1793094153">
                      <w:marLeft w:val="0"/>
                      <w:marRight w:val="0"/>
                      <w:marTop w:val="75"/>
                      <w:marBottom w:val="0"/>
                      <w:divBdr>
                        <w:top w:val="none" w:sz="0" w:space="0" w:color="auto"/>
                        <w:left w:val="none" w:sz="0" w:space="0" w:color="auto"/>
                        <w:bottom w:val="none" w:sz="0" w:space="0" w:color="auto"/>
                        <w:right w:val="none" w:sz="0" w:space="0" w:color="auto"/>
                      </w:divBdr>
                    </w:div>
                    <w:div w:id="1533685853">
                      <w:marLeft w:val="0"/>
                      <w:marRight w:val="0"/>
                      <w:marTop w:val="0"/>
                      <w:marBottom w:val="0"/>
                      <w:divBdr>
                        <w:top w:val="none" w:sz="0" w:space="24" w:color="auto"/>
                        <w:left w:val="none" w:sz="0" w:space="0" w:color="auto"/>
                        <w:bottom w:val="single" w:sz="36" w:space="30" w:color="CF142B"/>
                        <w:right w:val="none" w:sz="0" w:space="0" w:color="auto"/>
                      </w:divBdr>
                    </w:div>
                  </w:divsChild>
                </w:div>
              </w:divsChild>
            </w:div>
          </w:divsChild>
        </w:div>
        <w:div w:id="1991786385">
          <w:marLeft w:val="0"/>
          <w:marRight w:val="0"/>
          <w:marTop w:val="0"/>
          <w:marBottom w:val="0"/>
          <w:divBdr>
            <w:top w:val="none" w:sz="0" w:space="0" w:color="auto"/>
            <w:left w:val="none" w:sz="0" w:space="0" w:color="auto"/>
            <w:bottom w:val="none" w:sz="0" w:space="0" w:color="auto"/>
            <w:right w:val="none" w:sz="0" w:space="0" w:color="auto"/>
          </w:divBdr>
          <w:divsChild>
            <w:div w:id="231232377">
              <w:marLeft w:val="-225"/>
              <w:marRight w:val="-225"/>
              <w:marTop w:val="0"/>
              <w:marBottom w:val="0"/>
              <w:divBdr>
                <w:top w:val="none" w:sz="0" w:space="0" w:color="auto"/>
                <w:left w:val="none" w:sz="0" w:space="0" w:color="auto"/>
                <w:bottom w:val="none" w:sz="0" w:space="0" w:color="auto"/>
                <w:right w:val="none" w:sz="0" w:space="0" w:color="auto"/>
              </w:divBdr>
              <w:divsChild>
                <w:div w:id="360476517">
                  <w:marLeft w:val="0"/>
                  <w:marRight w:val="0"/>
                  <w:marTop w:val="0"/>
                  <w:marBottom w:val="0"/>
                  <w:divBdr>
                    <w:top w:val="none" w:sz="0" w:space="0" w:color="auto"/>
                    <w:left w:val="none" w:sz="0" w:space="0" w:color="auto"/>
                    <w:bottom w:val="none" w:sz="0" w:space="0" w:color="auto"/>
                    <w:right w:val="none" w:sz="0" w:space="0" w:color="auto"/>
                  </w:divBdr>
                  <w:divsChild>
                    <w:div w:id="1684093785">
                      <w:marLeft w:val="0"/>
                      <w:marRight w:val="0"/>
                      <w:marTop w:val="75"/>
                      <w:marBottom w:val="0"/>
                      <w:divBdr>
                        <w:top w:val="none" w:sz="0" w:space="0" w:color="auto"/>
                        <w:left w:val="none" w:sz="0" w:space="0" w:color="auto"/>
                        <w:bottom w:val="none" w:sz="0" w:space="0" w:color="auto"/>
                        <w:right w:val="none" w:sz="0" w:space="0" w:color="auto"/>
                      </w:divBdr>
                    </w:div>
                    <w:div w:id="1338726804">
                      <w:marLeft w:val="0"/>
                      <w:marRight w:val="0"/>
                      <w:marTop w:val="0"/>
                      <w:marBottom w:val="0"/>
                      <w:divBdr>
                        <w:top w:val="none" w:sz="0" w:space="24" w:color="auto"/>
                        <w:left w:val="none" w:sz="0" w:space="0" w:color="auto"/>
                        <w:bottom w:val="single" w:sz="36" w:space="30" w:color="CF142B"/>
                        <w:right w:val="none" w:sz="0" w:space="0" w:color="auto"/>
                      </w:divBdr>
                    </w:div>
                  </w:divsChild>
                </w:div>
              </w:divsChild>
            </w:div>
          </w:divsChild>
        </w:div>
        <w:div w:id="1601765852">
          <w:marLeft w:val="0"/>
          <w:marRight w:val="0"/>
          <w:marTop w:val="0"/>
          <w:marBottom w:val="0"/>
          <w:divBdr>
            <w:top w:val="none" w:sz="0" w:space="0" w:color="auto"/>
            <w:left w:val="none" w:sz="0" w:space="0" w:color="auto"/>
            <w:bottom w:val="none" w:sz="0" w:space="0" w:color="auto"/>
            <w:right w:val="none" w:sz="0" w:space="0" w:color="auto"/>
          </w:divBdr>
          <w:divsChild>
            <w:div w:id="334958625">
              <w:marLeft w:val="0"/>
              <w:marRight w:val="0"/>
              <w:marTop w:val="0"/>
              <w:marBottom w:val="0"/>
              <w:divBdr>
                <w:top w:val="none" w:sz="0" w:space="0" w:color="auto"/>
                <w:left w:val="none" w:sz="0" w:space="0" w:color="auto"/>
                <w:bottom w:val="none" w:sz="0" w:space="0" w:color="auto"/>
                <w:right w:val="none" w:sz="0" w:space="0" w:color="auto"/>
              </w:divBdr>
              <w:divsChild>
                <w:div w:id="1397705250">
                  <w:marLeft w:val="-225"/>
                  <w:marRight w:val="-225"/>
                  <w:marTop w:val="0"/>
                  <w:marBottom w:val="0"/>
                  <w:divBdr>
                    <w:top w:val="none" w:sz="0" w:space="0" w:color="auto"/>
                    <w:left w:val="none" w:sz="0" w:space="0" w:color="auto"/>
                    <w:bottom w:val="none" w:sz="0" w:space="0" w:color="auto"/>
                    <w:right w:val="none" w:sz="0" w:space="0" w:color="auto"/>
                  </w:divBdr>
                  <w:divsChild>
                    <w:div w:id="12062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o.org.uk/" TargetMode="External"/><Relationship Id="rId13" Type="http://schemas.openxmlformats.org/officeDocument/2006/relationships/hyperlink" Target="https://www.ukeiti.org/revenue-alloca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br.uk/" TargetMode="External"/><Relationship Id="rId12" Type="http://schemas.openxmlformats.org/officeDocument/2006/relationships/hyperlink" Target="https://www.ukeiti.org/revenue-alloca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stauthority.co.uk/media/8255/nsta-ara_final_accessible_202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1968/75/section/2" TargetMode="External"/><Relationship Id="rId5" Type="http://schemas.openxmlformats.org/officeDocument/2006/relationships/footnotes" Target="footnotes.xml"/><Relationship Id="rId15" Type="http://schemas.openxmlformats.org/officeDocument/2006/relationships/hyperlink" Target="https://www.gov.uk/government/consultations/funding-the-oil-and-gas-authority-consultation-on-levy-design"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committees.parliament.uk/committee/127/public-accounts-committee" TargetMode="External"/><Relationship Id="rId14" Type="http://schemas.openxmlformats.org/officeDocument/2006/relationships/hyperlink" Target="https://www.nstauthority.co.uk/media/8255/nsta-ara_final_accessible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(Business Frameworks)</dc:creator>
  <cp:keywords/>
  <dc:description/>
  <cp:lastModifiedBy>Nash, Michael (Business Frameworks)</cp:lastModifiedBy>
  <cp:revision>3</cp:revision>
  <dcterms:created xsi:type="dcterms:W3CDTF">2022-07-18T06:16:00Z</dcterms:created>
  <dcterms:modified xsi:type="dcterms:W3CDTF">2022-07-18T06:17:00Z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2022-06-13T07:11:36Z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c92b1012-e515-4660-9ee5-0cab2e12f5ff</vt:lpwstr>
  </property>
  <property fmtid="{D5CDD505-2E9C-101B-9397-08002B2CF9AE}" pid="8" name="MSIP_Label_ba62f585-b40f-4ab9-bafe-39150f03d124_ContentBits">
    <vt:lpwstr>0</vt:lpwstr>
  </property>
</Properties>
</file>