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C870B" w14:textId="2E52E5D4" w:rsidR="00056339" w:rsidRPr="005625E1" w:rsidRDefault="00056339" w:rsidP="00F12713">
      <w:pPr>
        <w:spacing w:after="0" w:line="240" w:lineRule="auto"/>
        <w:jc w:val="center"/>
        <w:rPr>
          <w:rFonts w:cstheme="minorHAnsi"/>
          <w:b/>
        </w:rPr>
      </w:pPr>
      <w:bookmarkStart w:id="0" w:name="_GoBack"/>
      <w:bookmarkEnd w:id="0"/>
      <w:r w:rsidRPr="005625E1">
        <w:rPr>
          <w:rFonts w:cstheme="minorHAnsi"/>
          <w:b/>
        </w:rPr>
        <w:t xml:space="preserve">Validation of </w:t>
      </w:r>
      <w:r w:rsidR="00DE3C0A">
        <w:rPr>
          <w:rFonts w:cstheme="minorHAnsi"/>
          <w:b/>
        </w:rPr>
        <w:t>the UK</w:t>
      </w:r>
    </w:p>
    <w:p w14:paraId="30323B62" w14:textId="38B61EF8" w:rsidR="00056339" w:rsidRPr="005625E1" w:rsidRDefault="00116C05" w:rsidP="00F12713">
      <w:pPr>
        <w:tabs>
          <w:tab w:val="left" w:pos="1890"/>
        </w:tabs>
        <w:spacing w:after="0" w:line="240" w:lineRule="auto"/>
        <w:jc w:val="center"/>
        <w:rPr>
          <w:rFonts w:cstheme="minorHAnsi"/>
        </w:rPr>
      </w:pPr>
      <w:r>
        <w:rPr>
          <w:rFonts w:cstheme="minorHAnsi"/>
        </w:rPr>
        <w:t xml:space="preserve">Draft </w:t>
      </w:r>
      <w:r w:rsidR="00056339" w:rsidRPr="005625E1">
        <w:rPr>
          <w:rFonts w:cstheme="minorHAnsi"/>
        </w:rPr>
        <w:t xml:space="preserve">Validation </w:t>
      </w:r>
      <w:r w:rsidR="0001315D" w:rsidRPr="005625E1">
        <w:rPr>
          <w:rFonts w:cstheme="minorHAnsi"/>
        </w:rPr>
        <w:t>Report</w:t>
      </w:r>
    </w:p>
    <w:p w14:paraId="7CE3F3AD" w14:textId="50BA4035" w:rsidR="00056339" w:rsidRPr="005625E1" w:rsidRDefault="00DE3C0A" w:rsidP="00F12713">
      <w:pPr>
        <w:spacing w:after="0" w:line="240" w:lineRule="auto"/>
        <w:jc w:val="center"/>
        <w:rPr>
          <w:rFonts w:cstheme="minorHAnsi"/>
        </w:rPr>
      </w:pPr>
      <w:r>
        <w:rPr>
          <w:rFonts w:cstheme="minorHAnsi"/>
        </w:rPr>
        <w:t>Cowater</w:t>
      </w:r>
      <w:r w:rsidR="009F58C9">
        <w:rPr>
          <w:rFonts w:cstheme="minorHAnsi"/>
        </w:rPr>
        <w:t>Sogema</w:t>
      </w:r>
      <w:r w:rsidR="00A57147">
        <w:rPr>
          <w:rFonts w:cstheme="minorHAnsi"/>
        </w:rPr>
        <w:t xml:space="preserve"> </w:t>
      </w:r>
      <w:r w:rsidR="00555FC2" w:rsidRPr="005625E1">
        <w:rPr>
          <w:rFonts w:cstheme="minorHAnsi"/>
        </w:rPr>
        <w:t>Independent Validator</w:t>
      </w:r>
    </w:p>
    <w:p w14:paraId="2A2617BA" w14:textId="3DE4D617" w:rsidR="00E17BF2" w:rsidRPr="005625E1" w:rsidRDefault="00DE3C0A" w:rsidP="00E17BF2">
      <w:pPr>
        <w:spacing w:after="0" w:line="240" w:lineRule="auto"/>
        <w:jc w:val="center"/>
        <w:rPr>
          <w:rFonts w:cstheme="minorHAnsi"/>
        </w:rPr>
      </w:pPr>
      <w:r>
        <w:rPr>
          <w:rFonts w:cstheme="minorHAnsi"/>
        </w:rPr>
        <w:t>1</w:t>
      </w:r>
      <w:r w:rsidR="00C12571">
        <w:rPr>
          <w:rFonts w:cstheme="minorHAnsi"/>
        </w:rPr>
        <w:t>6</w:t>
      </w:r>
      <w:r w:rsidRPr="00DE3C0A">
        <w:rPr>
          <w:rFonts w:cstheme="minorHAnsi"/>
          <w:vertAlign w:val="superscript"/>
        </w:rPr>
        <w:t>th</w:t>
      </w:r>
      <w:r>
        <w:rPr>
          <w:rFonts w:cstheme="minorHAnsi"/>
        </w:rPr>
        <w:t xml:space="preserve"> May 2019</w:t>
      </w:r>
      <w:r w:rsidR="00E17BF2">
        <w:rPr>
          <w:rFonts w:cstheme="minorHAnsi"/>
        </w:rPr>
        <w:t>. Updated 6 June 2019</w:t>
      </w:r>
      <w:r w:rsidR="00E17BF2">
        <w:rPr>
          <w:rStyle w:val="FootnoteReference"/>
        </w:rPr>
        <w:footnoteReference w:id="1"/>
      </w:r>
    </w:p>
    <w:p w14:paraId="5DA4E47B" w14:textId="77777777" w:rsidR="00FD740D" w:rsidRDefault="00FD740D" w:rsidP="00FD740D">
      <w:pPr>
        <w:spacing w:after="0" w:line="240" w:lineRule="auto"/>
        <w:rPr>
          <w:rFonts w:cstheme="minorHAnsi"/>
        </w:rPr>
      </w:pPr>
    </w:p>
    <w:p w14:paraId="2292AB67" w14:textId="7928313C" w:rsidR="00645AC4" w:rsidRDefault="00116C05" w:rsidP="00F12713">
      <w:pPr>
        <w:spacing w:after="0" w:line="240" w:lineRule="auto"/>
        <w:rPr>
          <w:rFonts w:cstheme="minorHAnsi"/>
          <w:b/>
          <w:color w:val="365F91" w:themeColor="accent1" w:themeShade="BF"/>
        </w:rPr>
      </w:pPr>
      <w:r w:rsidRPr="005625E1">
        <w:rPr>
          <w:rFonts w:cstheme="minorHAnsi"/>
          <w:b/>
          <w:color w:val="365F91" w:themeColor="accent1" w:themeShade="BF"/>
        </w:rPr>
        <w:t>1.</w:t>
      </w:r>
      <w:r w:rsidRPr="005625E1">
        <w:rPr>
          <w:rFonts w:cstheme="minorHAnsi"/>
          <w:b/>
          <w:color w:val="365F91" w:themeColor="accent1" w:themeShade="BF"/>
        </w:rPr>
        <w:tab/>
      </w:r>
      <w:r>
        <w:rPr>
          <w:rFonts w:cstheme="minorHAnsi"/>
          <w:b/>
          <w:color w:val="365F91" w:themeColor="accent1" w:themeShade="BF"/>
        </w:rPr>
        <w:t>EXECUTIVE SUMMARY</w:t>
      </w:r>
    </w:p>
    <w:p w14:paraId="15F5CF7F" w14:textId="77777777" w:rsidR="001179AF" w:rsidRDefault="001179AF" w:rsidP="00F12713">
      <w:pPr>
        <w:spacing w:after="0" w:line="240" w:lineRule="auto"/>
        <w:rPr>
          <w:rFonts w:cstheme="minorHAnsi"/>
          <w:b/>
          <w:color w:val="365F91" w:themeColor="accent1" w:themeShade="BF"/>
        </w:rPr>
      </w:pPr>
    </w:p>
    <w:p w14:paraId="2DF8D0B0" w14:textId="3AD51973" w:rsidR="00CA13B8" w:rsidRPr="005C3EC8" w:rsidRDefault="00CA13B8" w:rsidP="00CD5D24">
      <w:pPr>
        <w:jc w:val="both"/>
        <w:rPr>
          <w:rFonts w:ascii="Calibri" w:hAnsi="Calibri"/>
        </w:rPr>
      </w:pPr>
      <w:r w:rsidRPr="005C3EC8">
        <w:t xml:space="preserve">The United Kingdom (UK) became an EITI implementing country in October 2014 after submitting a candidature application in August 2014. A multi-stakeholder group (MSG) was formed and has overseen the publication of </w:t>
      </w:r>
      <w:r w:rsidRPr="005C3EC8">
        <w:rPr>
          <w:rFonts w:ascii="Calibri" w:hAnsi="Calibri"/>
        </w:rPr>
        <w:t>four EITI reports covering the years 2014 - 2017. On 25 October 2016, the Board agreed that the UK’s Validation under the 2016 EITI Standard would commence on 1 July 2018</w:t>
      </w:r>
      <w:r w:rsidRPr="005C3EC8">
        <w:rPr>
          <w:rStyle w:val="FootnoteReference"/>
          <w:rFonts w:ascii="Calibri" w:hAnsi="Calibri"/>
        </w:rPr>
        <w:footnoteReference w:id="2"/>
      </w:r>
      <w:r w:rsidRPr="005C3EC8">
        <w:rPr>
          <w:rFonts w:ascii="Calibri" w:hAnsi="Calibri"/>
        </w:rPr>
        <w:t xml:space="preserve">. </w:t>
      </w:r>
    </w:p>
    <w:p w14:paraId="3D6ACAAD" w14:textId="1660D21C" w:rsidR="00CA13B8" w:rsidRPr="004414C8" w:rsidRDefault="00CA13B8" w:rsidP="00CD5D24">
      <w:pPr>
        <w:jc w:val="both"/>
        <w:rPr>
          <w:rFonts w:ascii="Calibri" w:hAnsi="Calibri"/>
          <w:highlight w:val="yellow"/>
        </w:rPr>
      </w:pPr>
      <w:r w:rsidRPr="005C3EC8">
        <w:rPr>
          <w:rFonts w:ascii="Calibri" w:hAnsi="Calibri"/>
        </w:rPr>
        <w:t>This report presents the findings and initial assessment of the International Secretariat’s data gathering and stakeholder consultations. The International Secretariat has followed the Validation Procedures and applied the Validation Guide in assessing the UK’s progress with the 2016 EITI Sta</w:t>
      </w:r>
      <w:r w:rsidR="004414C8">
        <w:rPr>
          <w:rFonts w:ascii="Calibri" w:hAnsi="Calibri"/>
        </w:rPr>
        <w:t xml:space="preserve">ndard. While the assessment has </w:t>
      </w:r>
      <w:r w:rsidRPr="005C3EC8">
        <w:rPr>
          <w:rFonts w:ascii="Calibri" w:hAnsi="Calibri"/>
        </w:rPr>
        <w:t xml:space="preserve">not yet been reviewed by the MSG, the </w:t>
      </w:r>
      <w:r w:rsidR="004414C8">
        <w:rPr>
          <w:rFonts w:ascii="Calibri" w:hAnsi="Calibri"/>
        </w:rPr>
        <w:t>Validator’s</w:t>
      </w:r>
      <w:r w:rsidRPr="005C3EC8">
        <w:rPr>
          <w:rFonts w:ascii="Calibri" w:hAnsi="Calibri"/>
        </w:rPr>
        <w:t xml:space="preserve"> assessment is </w:t>
      </w:r>
      <w:r w:rsidR="004414C8">
        <w:rPr>
          <w:rFonts w:ascii="Calibri" w:hAnsi="Calibri"/>
        </w:rPr>
        <w:t xml:space="preserve">– in line with the International Secretariat - </w:t>
      </w:r>
      <w:r w:rsidRPr="005C3EC8">
        <w:rPr>
          <w:rFonts w:ascii="Calibri" w:hAnsi="Calibri"/>
        </w:rPr>
        <w:t xml:space="preserve">that much progress has been achieved in the </w:t>
      </w:r>
      <w:r w:rsidRPr="004414C8">
        <w:rPr>
          <w:rFonts w:ascii="Calibri" w:hAnsi="Calibri"/>
        </w:rPr>
        <w:t>process.  However,</w:t>
      </w:r>
      <w:r w:rsidR="00AB2C88">
        <w:rPr>
          <w:rFonts w:ascii="Calibri" w:hAnsi="Calibri"/>
        </w:rPr>
        <w:t xml:space="preserve"> the</w:t>
      </w:r>
      <w:r w:rsidRPr="004414C8">
        <w:rPr>
          <w:rFonts w:ascii="Calibri" w:hAnsi="Calibri"/>
        </w:rPr>
        <w:t xml:space="preserve"> </w:t>
      </w:r>
      <w:r w:rsidR="004414C8" w:rsidRPr="004414C8">
        <w:rPr>
          <w:rFonts w:ascii="Calibri" w:hAnsi="Calibri"/>
        </w:rPr>
        <w:t xml:space="preserve">Validator finds that seven requirements are assessed as unmet with meaningful progress, and two requirements are assessed as unmet with inadequate progress.  </w:t>
      </w:r>
      <w:r w:rsidRPr="004414C8">
        <w:rPr>
          <w:rFonts w:ascii="Calibri" w:hAnsi="Calibri"/>
        </w:rPr>
        <w:t>The</w:t>
      </w:r>
      <w:r w:rsidRPr="00CA13B8">
        <w:rPr>
          <w:rFonts w:ascii="Calibri" w:hAnsi="Calibri"/>
        </w:rPr>
        <w:t xml:space="preserve"> corrective actions</w:t>
      </w:r>
      <w:r w:rsidRPr="005C3EC8">
        <w:rPr>
          <w:rFonts w:ascii="Calibri" w:hAnsi="Calibri"/>
        </w:rPr>
        <w:t xml:space="preserve"> identified through this assessment relate to civil society engagement and MSG oversight (</w:t>
      </w:r>
      <w:r w:rsidRPr="005C3EC8">
        <w:rPr>
          <w:rFonts w:ascii="Calibri" w:hAnsi="Calibri"/>
          <w:i/>
        </w:rPr>
        <w:t>see Requirements 1.3 and 1.4</w:t>
      </w:r>
      <w:r w:rsidRPr="005C3EC8">
        <w:rPr>
          <w:rFonts w:ascii="Calibri" w:hAnsi="Calibri"/>
        </w:rPr>
        <w:t>), license allocation and registers (</w:t>
      </w:r>
      <w:r w:rsidRPr="005C3EC8">
        <w:rPr>
          <w:rFonts w:ascii="Calibri" w:hAnsi="Calibri"/>
          <w:i/>
        </w:rPr>
        <w:t>see Requirements 2.2 and 2.3</w:t>
      </w:r>
      <w:r w:rsidRPr="005C3EC8">
        <w:rPr>
          <w:rFonts w:ascii="Calibri" w:hAnsi="Calibri"/>
        </w:rPr>
        <w:t>), production and export data (</w:t>
      </w:r>
      <w:r w:rsidRPr="005C3EC8">
        <w:rPr>
          <w:rFonts w:ascii="Calibri" w:hAnsi="Calibri"/>
          <w:i/>
        </w:rPr>
        <w:t>see Requirements 3.2 and 3.3</w:t>
      </w:r>
      <w:r w:rsidRPr="005C3EC8">
        <w:rPr>
          <w:rFonts w:ascii="Calibri" w:hAnsi="Calibri"/>
        </w:rPr>
        <w:t>), the reporting of social expenditures by companies (</w:t>
      </w:r>
      <w:r w:rsidRPr="005C3EC8">
        <w:rPr>
          <w:rFonts w:ascii="Calibri" w:hAnsi="Calibri"/>
          <w:i/>
        </w:rPr>
        <w:t>see Requirement 6.1)</w:t>
      </w:r>
      <w:r>
        <w:rPr>
          <w:rFonts w:ascii="Calibri" w:hAnsi="Calibri"/>
          <w:i/>
        </w:rPr>
        <w:t xml:space="preserve"> </w:t>
      </w:r>
      <w:r w:rsidRPr="004E2EAE">
        <w:rPr>
          <w:rFonts w:ascii="Calibri" w:hAnsi="Calibri"/>
          <w:iCs/>
        </w:rPr>
        <w:t>and</w:t>
      </w:r>
      <w:r>
        <w:rPr>
          <w:rFonts w:ascii="Calibri" w:hAnsi="Calibri"/>
          <w:iCs/>
        </w:rPr>
        <w:t xml:space="preserve"> reviewing the </w:t>
      </w:r>
      <w:r w:rsidRPr="004E2EAE">
        <w:rPr>
          <w:rFonts w:ascii="Calibri" w:hAnsi="Calibri"/>
          <w:iCs/>
        </w:rPr>
        <w:t>outcomes and impact of implementation</w:t>
      </w:r>
      <w:r>
        <w:rPr>
          <w:rFonts w:ascii="Calibri" w:hAnsi="Calibri"/>
          <w:i/>
        </w:rPr>
        <w:t xml:space="preserve"> (Requirement 7.4)</w:t>
      </w:r>
      <w:r w:rsidRPr="005C3EC8">
        <w:rPr>
          <w:rFonts w:ascii="Calibri" w:hAnsi="Calibri"/>
        </w:rPr>
        <w:t>.</w:t>
      </w:r>
    </w:p>
    <w:p w14:paraId="364EC90E" w14:textId="77777777" w:rsidR="00645AC4" w:rsidRDefault="00645AC4" w:rsidP="00F12713">
      <w:pPr>
        <w:spacing w:after="0" w:line="240" w:lineRule="auto"/>
        <w:rPr>
          <w:rFonts w:cstheme="minorHAnsi"/>
          <w:b/>
          <w:color w:val="365F91" w:themeColor="accent1" w:themeShade="BF"/>
        </w:rPr>
      </w:pPr>
    </w:p>
    <w:p w14:paraId="0783FB4D" w14:textId="77777777" w:rsidR="00645AC4" w:rsidRDefault="00645AC4" w:rsidP="00F12713">
      <w:pPr>
        <w:spacing w:after="0" w:line="240" w:lineRule="auto"/>
        <w:rPr>
          <w:rFonts w:cstheme="minorHAnsi"/>
          <w:b/>
          <w:color w:val="365F91" w:themeColor="accent1" w:themeShade="BF"/>
        </w:rPr>
      </w:pPr>
    </w:p>
    <w:p w14:paraId="07E1A5A0" w14:textId="6D4C6AF3" w:rsidR="00A20847" w:rsidRPr="005625E1" w:rsidRDefault="00645AC4" w:rsidP="00F12713">
      <w:pPr>
        <w:spacing w:after="0" w:line="240" w:lineRule="auto"/>
        <w:rPr>
          <w:rFonts w:cstheme="minorHAnsi"/>
          <w:b/>
          <w:color w:val="365F91" w:themeColor="accent1" w:themeShade="BF"/>
        </w:rPr>
      </w:pPr>
      <w:r>
        <w:rPr>
          <w:rFonts w:cstheme="minorHAnsi"/>
          <w:b/>
          <w:color w:val="365F91" w:themeColor="accent1" w:themeShade="BF"/>
        </w:rPr>
        <w:t>2.</w:t>
      </w:r>
      <w:r>
        <w:rPr>
          <w:rFonts w:cstheme="minorHAnsi"/>
          <w:b/>
          <w:color w:val="365F91" w:themeColor="accent1" w:themeShade="BF"/>
        </w:rPr>
        <w:tab/>
      </w:r>
      <w:r w:rsidR="00803CB3" w:rsidRPr="005625E1">
        <w:rPr>
          <w:rFonts w:cstheme="minorHAnsi"/>
          <w:b/>
          <w:color w:val="365F91" w:themeColor="accent1" w:themeShade="BF"/>
        </w:rPr>
        <w:t>BACKGROUND</w:t>
      </w:r>
    </w:p>
    <w:p w14:paraId="3265A452" w14:textId="77777777" w:rsidR="00344212" w:rsidRPr="005625E1" w:rsidRDefault="00344212" w:rsidP="00344212">
      <w:pPr>
        <w:spacing w:after="0" w:line="240" w:lineRule="auto"/>
        <w:rPr>
          <w:rFonts w:cstheme="minorHAnsi"/>
        </w:rPr>
      </w:pPr>
    </w:p>
    <w:p w14:paraId="4DB66A7A" w14:textId="77777777" w:rsidR="00CA13B8" w:rsidRPr="005C3EC8" w:rsidRDefault="00CA13B8" w:rsidP="00CA13B8">
      <w:pPr>
        <w:rPr>
          <w:rFonts w:ascii="Calibri" w:hAnsi="Calibri"/>
          <w:b/>
          <w:bCs/>
          <w:iCs/>
        </w:rPr>
      </w:pPr>
      <w:r w:rsidRPr="005C3EC8">
        <w:rPr>
          <w:rFonts w:ascii="Calibri" w:hAnsi="Calibri"/>
          <w:b/>
          <w:bCs/>
          <w:iCs/>
        </w:rPr>
        <w:t>Oil and Gas</w:t>
      </w:r>
    </w:p>
    <w:p w14:paraId="6A1FAF52" w14:textId="77777777" w:rsidR="00CA13B8" w:rsidRPr="005C3EC8" w:rsidRDefault="00CA13B8" w:rsidP="002C21BD">
      <w:pPr>
        <w:jc w:val="both"/>
        <w:rPr>
          <w:rFonts w:ascii="Calibri" w:hAnsi="Calibri"/>
          <w:iCs/>
        </w:rPr>
      </w:pPr>
      <w:r w:rsidRPr="005C3EC8">
        <w:rPr>
          <w:rFonts w:ascii="Calibri" w:hAnsi="Calibri"/>
          <w:iCs/>
        </w:rPr>
        <w:t xml:space="preserve">While oil and gas production from the UK sector of the North Sea peaked in 1999, the UK remains a substantial producer. Over the last four decades, 39 billion </w:t>
      </w:r>
      <w:r w:rsidRPr="005C3EC8">
        <w:t>barrel of oil equivalent (</w:t>
      </w:r>
      <w:r w:rsidRPr="005C3EC8">
        <w:rPr>
          <w:rFonts w:ascii="Calibri" w:hAnsi="Calibri"/>
          <w:iCs/>
        </w:rPr>
        <w:t>boe) have been extracted on the UK Continental Shelf (UKCS)</w:t>
      </w:r>
      <w:r w:rsidRPr="005C3EC8">
        <w:rPr>
          <w:rStyle w:val="FootnoteReference"/>
          <w:rFonts w:ascii="Calibri" w:hAnsi="Calibri"/>
          <w:iCs/>
        </w:rPr>
        <w:footnoteReference w:id="3"/>
      </w:r>
      <w:r w:rsidRPr="005C3EC8">
        <w:rPr>
          <w:rFonts w:ascii="Calibri" w:hAnsi="Calibri"/>
          <w:iCs/>
        </w:rPr>
        <w:t>. The industry employs 283 000 people</w:t>
      </w:r>
      <w:r w:rsidRPr="005C3EC8">
        <w:rPr>
          <w:rStyle w:val="FootnoteReference"/>
          <w:rFonts w:ascii="Calibri" w:hAnsi="Calibri"/>
          <w:iCs/>
        </w:rPr>
        <w:footnoteReference w:id="4"/>
      </w:r>
      <w:r w:rsidRPr="005C3EC8">
        <w:rPr>
          <w:rFonts w:ascii="Calibri" w:hAnsi="Calibri"/>
          <w:iCs/>
        </w:rPr>
        <w:t xml:space="preserve">, and the services industry (centred in Aberdeen) is a leader in developing technology for hydrocarbon extraction offshore. Historically most gas came from Morecambe Bay and the Southern North Sea off East Anglia. Oil production comes mainly from the North Sea close to the median line with Norway in two main clusters – around the Forties </w:t>
      </w:r>
      <w:r w:rsidRPr="005C3EC8">
        <w:rPr>
          <w:rFonts w:ascii="Calibri" w:hAnsi="Calibri"/>
          <w:iCs/>
        </w:rPr>
        <w:lastRenderedPageBreak/>
        <w:t>oilfield east of Aberdeen and the Brent oilfield east of Shetland. There have been recent discoveries west of Shetland</w:t>
      </w:r>
      <w:r w:rsidRPr="005C3EC8">
        <w:rPr>
          <w:rStyle w:val="FootnoteReference"/>
          <w:rFonts w:ascii="Calibri" w:hAnsi="Calibri"/>
          <w:iCs/>
        </w:rPr>
        <w:footnoteReference w:id="5"/>
      </w:r>
      <w:r w:rsidRPr="005C3EC8">
        <w:rPr>
          <w:rFonts w:ascii="Calibri" w:hAnsi="Calibri"/>
          <w:iCs/>
        </w:rPr>
        <w:t>.</w:t>
      </w:r>
    </w:p>
    <w:p w14:paraId="5C95D74C" w14:textId="77777777" w:rsidR="00CA13B8" w:rsidRPr="005C3EC8" w:rsidRDefault="00CA13B8" w:rsidP="002C21BD">
      <w:pPr>
        <w:jc w:val="both"/>
        <w:rPr>
          <w:rFonts w:ascii="Calibri" w:hAnsi="Calibri"/>
          <w:iCs/>
        </w:rPr>
      </w:pPr>
      <w:r w:rsidRPr="005C3EC8">
        <w:rPr>
          <w:rFonts w:ascii="Calibri" w:hAnsi="Calibri"/>
          <w:iCs/>
        </w:rPr>
        <w:t>In 2017, capital investment in the UK offshore oil and gas industry was £5.6 billion</w:t>
      </w:r>
      <w:r w:rsidRPr="005C3EC8">
        <w:rPr>
          <w:rStyle w:val="FootnoteReference"/>
          <w:rFonts w:ascii="Calibri" w:hAnsi="Calibri"/>
          <w:iCs/>
        </w:rPr>
        <w:footnoteReference w:id="6"/>
      </w:r>
      <w:r w:rsidRPr="005C3EC8">
        <w:rPr>
          <w:rFonts w:ascii="Calibri" w:hAnsi="Calibri"/>
          <w:iCs/>
        </w:rPr>
        <w:t>. Oil and gas production in the UK increased by more than 4% in 2018, averaging 1.7 million boe per day (see Figure 1). The UK Oil and Gas Authority predicts that oil and gas production over the period 2016–2050 of 3.9 billion boe. In 2017, UK production accounted for 60% of total UK oil and gas demand</w:t>
      </w:r>
      <w:r w:rsidRPr="005C3EC8">
        <w:rPr>
          <w:rStyle w:val="FootnoteReference"/>
          <w:rFonts w:ascii="Calibri" w:hAnsi="Calibri"/>
          <w:iCs/>
        </w:rPr>
        <w:footnoteReference w:id="7"/>
      </w:r>
      <w:r w:rsidRPr="005C3EC8">
        <w:rPr>
          <w:rFonts w:ascii="Calibri" w:hAnsi="Calibri"/>
          <w:iCs/>
        </w:rPr>
        <w:t>.</w:t>
      </w:r>
    </w:p>
    <w:p w14:paraId="7B7157C5" w14:textId="77777777" w:rsidR="00CA13B8" w:rsidRPr="00462E2F" w:rsidRDefault="00CA13B8" w:rsidP="00462E2F">
      <w:pPr>
        <w:pStyle w:val="Caption"/>
        <w:rPr>
          <w:rFonts w:eastAsia="Calibri"/>
        </w:rPr>
      </w:pPr>
      <w:r w:rsidRPr="00462E2F">
        <w:t>Figure 2</w:t>
      </w:r>
      <w:r w:rsidRPr="00462E2F">
        <w:rPr>
          <w:rFonts w:eastAsia="Calibri"/>
        </w:rPr>
        <w:t xml:space="preserve">– Actual &amp; projected UK continental shelf oil and gas production </w:t>
      </w:r>
      <w:r w:rsidRPr="00462E2F">
        <w:rPr>
          <w:rStyle w:val="FootnoteReference"/>
          <w:rFonts w:cstheme="minorHAnsi"/>
          <w:iCs/>
        </w:rPr>
        <w:footnoteReference w:id="8"/>
      </w:r>
    </w:p>
    <w:p w14:paraId="4641269D" w14:textId="77777777" w:rsidR="00CA13B8" w:rsidRPr="005C3EC8" w:rsidRDefault="00CA13B8" w:rsidP="00CA13B8">
      <w:pPr>
        <w:keepLines/>
        <w:rPr>
          <w:rFonts w:ascii="Calibri" w:hAnsi="Calibri"/>
          <w:iCs/>
        </w:rPr>
      </w:pPr>
      <w:r w:rsidRPr="005C3EC8">
        <w:rPr>
          <w:rFonts w:ascii="Calibri" w:hAnsi="Calibri"/>
          <w:iCs/>
          <w:noProof/>
          <w:lang w:val="en-US"/>
        </w:rPr>
        <w:drawing>
          <wp:inline distT="0" distB="0" distL="0" distR="0" wp14:anchorId="0E2220D8" wp14:editId="4E52C2A8">
            <wp:extent cx="5133975" cy="277380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9039" cy="2776542"/>
                    </a:xfrm>
                    <a:prstGeom prst="rect">
                      <a:avLst/>
                    </a:prstGeom>
                    <a:noFill/>
                    <a:ln>
                      <a:noFill/>
                    </a:ln>
                  </pic:spPr>
                </pic:pic>
              </a:graphicData>
            </a:graphic>
          </wp:inline>
        </w:drawing>
      </w:r>
    </w:p>
    <w:p w14:paraId="4C732D3A" w14:textId="77777777" w:rsidR="00CA13B8" w:rsidRPr="005C3EC8" w:rsidRDefault="00CA13B8" w:rsidP="002C605D">
      <w:pPr>
        <w:jc w:val="both"/>
        <w:rPr>
          <w:rFonts w:ascii="Calibri" w:hAnsi="Calibri"/>
          <w:iCs/>
        </w:rPr>
      </w:pPr>
      <w:r w:rsidRPr="005C3EC8">
        <w:rPr>
          <w:rFonts w:ascii="Calibri" w:hAnsi="Calibri"/>
          <w:iCs/>
        </w:rPr>
        <w:t xml:space="preserve">The tax regime which applies to exploration for, and production of, oil and gas in the UK and on the United Kingdom Continental Shelf (UKCS) currently comprises three elements: </w:t>
      </w:r>
    </w:p>
    <w:p w14:paraId="799ADBE4" w14:textId="77777777" w:rsidR="00CA13B8" w:rsidRPr="005C3EC8" w:rsidRDefault="00CA13B8" w:rsidP="002C605D">
      <w:pPr>
        <w:ind w:left="720"/>
        <w:jc w:val="both"/>
        <w:rPr>
          <w:rFonts w:ascii="Calibri" w:hAnsi="Calibri"/>
          <w:iCs/>
        </w:rPr>
      </w:pPr>
      <w:r w:rsidRPr="005C3EC8">
        <w:rPr>
          <w:rFonts w:ascii="Calibri" w:hAnsi="Calibri"/>
          <w:iCs/>
        </w:rPr>
        <w:t xml:space="preserve">1. ‘Ring Fence’ Corporation Tax (RFCT). This is calculated in the same way as the standard corporation tax applicable to all companies but with the addition of a ‘ring fence’ and the availability of 100% first year allowance for virtually all capital expenditure. The ring fence prevents taxable profits from oil and gas extraction in the UK and UKCS being reduced by losses from other activities or by excessive interest payments. The current rate of tax on ring fence profits, which is set separately from the rate of mainstream corporation tax, is 30%. </w:t>
      </w:r>
    </w:p>
    <w:p w14:paraId="44F2A127" w14:textId="77777777" w:rsidR="00CA13B8" w:rsidRPr="005C3EC8" w:rsidRDefault="00CA13B8" w:rsidP="002C605D">
      <w:pPr>
        <w:ind w:left="720"/>
        <w:jc w:val="both"/>
        <w:rPr>
          <w:rFonts w:ascii="Calibri" w:hAnsi="Calibri"/>
          <w:iCs/>
        </w:rPr>
      </w:pPr>
      <w:r w:rsidRPr="005C3EC8">
        <w:rPr>
          <w:rFonts w:ascii="Calibri" w:hAnsi="Calibri"/>
          <w:iCs/>
        </w:rPr>
        <w:lastRenderedPageBreak/>
        <w:t>2. Supplementary Charge. This is an additional charge, currently at a rate of 32% (increased from 20% from 24</w:t>
      </w:r>
      <w:r w:rsidRPr="005C3EC8">
        <w:rPr>
          <w:rFonts w:ascii="Calibri" w:hAnsi="Calibri"/>
          <w:iCs/>
          <w:vertAlign w:val="superscript"/>
        </w:rPr>
        <w:t xml:space="preserve">th </w:t>
      </w:r>
      <w:r w:rsidRPr="005C3EC8">
        <w:rPr>
          <w:rFonts w:ascii="Calibri" w:hAnsi="Calibri"/>
          <w:iCs/>
        </w:rPr>
        <w:t xml:space="preserve">March 2011), on a company’s ring fence profits (but with no deduction for finance costs). </w:t>
      </w:r>
    </w:p>
    <w:p w14:paraId="2B1D4197" w14:textId="77777777" w:rsidR="00CA13B8" w:rsidRPr="005C3EC8" w:rsidRDefault="00CA13B8" w:rsidP="002C605D">
      <w:pPr>
        <w:ind w:left="720"/>
        <w:jc w:val="both"/>
        <w:rPr>
          <w:rFonts w:ascii="Calibri" w:hAnsi="Calibri"/>
          <w:iCs/>
        </w:rPr>
      </w:pPr>
      <w:r w:rsidRPr="005C3EC8">
        <w:rPr>
          <w:rFonts w:ascii="Calibri" w:hAnsi="Calibri"/>
          <w:iCs/>
        </w:rPr>
        <w:t xml:space="preserve">3. Petroleum Revenue Tax (PRT). This is a field-based tax charged on profits arising from oil and gas production from individual oil and gas fields which were given development consent before 16 March 1993. The current rate of PRT is 50%. PRT is deductible as an expense in computing profits chargeable to ring fence corporation tax and supplementary charge. </w:t>
      </w:r>
    </w:p>
    <w:p w14:paraId="1C6A1154" w14:textId="77777777" w:rsidR="00CA13B8" w:rsidRPr="005C3EC8" w:rsidRDefault="00CA13B8" w:rsidP="00CA13B8">
      <w:pPr>
        <w:rPr>
          <w:rFonts w:ascii="Calibri" w:hAnsi="Calibri"/>
          <w:b/>
          <w:bCs/>
          <w:iCs/>
        </w:rPr>
      </w:pPr>
      <w:bookmarkStart w:id="1" w:name="_Toc397889465"/>
      <w:r w:rsidRPr="005C3EC8">
        <w:rPr>
          <w:rFonts w:ascii="Calibri" w:hAnsi="Calibri"/>
          <w:b/>
          <w:bCs/>
          <w:iCs/>
        </w:rPr>
        <w:t>Mining</w:t>
      </w:r>
      <w:bookmarkEnd w:id="1"/>
    </w:p>
    <w:p w14:paraId="2C278455" w14:textId="77777777" w:rsidR="00CA13B8" w:rsidRPr="005C3EC8" w:rsidRDefault="00CA13B8" w:rsidP="00CA13B8">
      <w:pPr>
        <w:rPr>
          <w:rFonts w:ascii="Calibri" w:hAnsi="Calibri"/>
          <w:iCs/>
        </w:rPr>
      </w:pPr>
      <w:r w:rsidRPr="005C3EC8">
        <w:rPr>
          <w:rFonts w:ascii="Calibri" w:hAnsi="Calibri"/>
          <w:iCs/>
        </w:rPr>
        <w:t xml:space="preserve">The United Kingdom has a long history of mining dating back to Bronze Age. Later, lead and copper attracted the Romans to Britain.  The widespread availability of coal and iron was a significant factor in Europe’s Industrial Revolution of the late 18th and early 19th centuries. Although coal and iron ore are no longer mined in significant quantities in the United Kingdom, they were once mined in large quantities throughout the United Kingdom and used for steel and energy production. </w:t>
      </w:r>
    </w:p>
    <w:p w14:paraId="030C68EE" w14:textId="77777777" w:rsidR="00CA13B8" w:rsidRPr="005C3EC8" w:rsidRDefault="00CA13B8" w:rsidP="00CA13B8">
      <w:pPr>
        <w:rPr>
          <w:rFonts w:ascii="Calibri" w:hAnsi="Calibri"/>
          <w:iCs/>
        </w:rPr>
      </w:pPr>
      <w:r w:rsidRPr="005C3EC8">
        <w:rPr>
          <w:rFonts w:ascii="Calibri" w:hAnsi="Calibri"/>
          <w:iCs/>
        </w:rPr>
        <w:t>Nowadays, mining in the United Kingdom produces a wide variety of fossil fuels, metals, and industrial minerals. In 2006, there were over 2,200 active mines, quarries, and offshore drilling sites on the continental land mass of the United Kingdom</w:t>
      </w:r>
      <w:r w:rsidRPr="005C3EC8">
        <w:rPr>
          <w:rFonts w:ascii="Calibri" w:hAnsi="Calibri"/>
          <w:iCs/>
          <w:vertAlign w:val="superscript"/>
        </w:rPr>
        <w:footnoteReference w:id="9"/>
      </w:r>
      <w:r w:rsidRPr="005C3EC8">
        <w:rPr>
          <w:rFonts w:ascii="Calibri" w:hAnsi="Calibri"/>
          <w:iCs/>
        </w:rPr>
        <w:t>.  Total proved coal reserves in the United Kingdom are estimated at 220mn tonnes</w:t>
      </w:r>
      <w:r w:rsidRPr="005C3EC8">
        <w:rPr>
          <w:rFonts w:ascii="Calibri" w:hAnsi="Calibri"/>
          <w:iCs/>
          <w:vertAlign w:val="superscript"/>
        </w:rPr>
        <w:footnoteReference w:id="10"/>
      </w:r>
      <w:r w:rsidRPr="005C3EC8">
        <w:rPr>
          <w:rFonts w:ascii="Calibri" w:hAnsi="Calibri"/>
          <w:iCs/>
        </w:rPr>
        <w:t>. About 17mn tonnes was produced in 2012. though about 63mn tonnes was consumed (including imports)</w:t>
      </w:r>
      <w:r w:rsidRPr="005C3EC8">
        <w:rPr>
          <w:rFonts w:ascii="Calibri" w:hAnsi="Calibri"/>
          <w:iCs/>
          <w:vertAlign w:val="superscript"/>
        </w:rPr>
        <w:footnoteReference w:id="11"/>
      </w:r>
      <w:r w:rsidRPr="005C3EC8">
        <w:rPr>
          <w:rFonts w:ascii="Calibri" w:hAnsi="Calibri"/>
          <w:iCs/>
        </w:rPr>
        <w:t xml:space="preserve">.  There is also significant production of potash, gypsum, salt, tin, gold, china clay, and tungsten.  In addition, almost 200mn tonnes of aggregates are used for construction – crushed rock, sand and gravel, and recycled. </w:t>
      </w:r>
    </w:p>
    <w:p w14:paraId="620C5795" w14:textId="7EF47935" w:rsidR="00392B71" w:rsidRPr="00DA62DC" w:rsidRDefault="00EB73CC" w:rsidP="00DA62DC">
      <w:pPr>
        <w:jc w:val="both"/>
        <w:rPr>
          <w:rFonts w:ascii="Calibri" w:hAnsi="Calibri"/>
          <w:iCs/>
        </w:rPr>
      </w:pPr>
      <w:r w:rsidRPr="00DA62DC">
        <w:rPr>
          <w:rFonts w:ascii="Calibri" w:hAnsi="Calibri"/>
          <w:iCs/>
        </w:rPr>
        <w:t>In line with</w:t>
      </w:r>
      <w:r w:rsidR="004D7FC9" w:rsidRPr="00DA62DC">
        <w:rPr>
          <w:rFonts w:ascii="Calibri" w:hAnsi="Calibri"/>
          <w:iCs/>
        </w:rPr>
        <w:t xml:space="preserve"> the Validation Guide, the International Secretariat carried out the first phase of validation</w:t>
      </w:r>
      <w:r w:rsidR="00E746A6" w:rsidRPr="00DA62DC">
        <w:rPr>
          <w:rFonts w:ascii="Calibri" w:hAnsi="Calibri"/>
          <w:iCs/>
        </w:rPr>
        <w:t>—</w:t>
      </w:r>
      <w:r w:rsidR="004D7FC9" w:rsidRPr="00DA62DC">
        <w:rPr>
          <w:rFonts w:ascii="Calibri" w:hAnsi="Calibri"/>
          <w:iCs/>
        </w:rPr>
        <w:t xml:space="preserve">initial data collection, stakeholder consultations, and preparation of their initial evaluation of progress against the EITI requirements </w:t>
      </w:r>
      <w:r w:rsidR="00A57147" w:rsidRPr="00DA62DC">
        <w:rPr>
          <w:rFonts w:ascii="Calibri" w:hAnsi="Calibri"/>
          <w:iCs/>
        </w:rPr>
        <w:t xml:space="preserve">(the “Initial Assessment”). </w:t>
      </w:r>
      <w:r w:rsidR="004414C8" w:rsidRPr="00DA62DC">
        <w:rPr>
          <w:rFonts w:ascii="Calibri" w:hAnsi="Calibri"/>
          <w:iCs/>
        </w:rPr>
        <w:t>Cowater</w:t>
      </w:r>
      <w:r w:rsidR="00696BAB" w:rsidRPr="00DA62DC">
        <w:rPr>
          <w:rFonts w:ascii="Calibri" w:hAnsi="Calibri"/>
          <w:iCs/>
        </w:rPr>
        <w:t>Sogema</w:t>
      </w:r>
      <w:r w:rsidR="004D7FC9" w:rsidRPr="00DA62DC">
        <w:rPr>
          <w:rFonts w:ascii="Calibri" w:hAnsi="Calibri"/>
          <w:iCs/>
        </w:rPr>
        <w:t xml:space="preserve"> was appointed as the independent Validator to evaluate whether the Secretariat’s work </w:t>
      </w:r>
      <w:r w:rsidR="003C7904" w:rsidRPr="00DA62DC">
        <w:rPr>
          <w:rFonts w:ascii="Calibri" w:hAnsi="Calibri"/>
          <w:iCs/>
        </w:rPr>
        <w:t xml:space="preserve">was </w:t>
      </w:r>
      <w:r w:rsidR="004D7FC9" w:rsidRPr="00DA62DC">
        <w:rPr>
          <w:rFonts w:ascii="Calibri" w:hAnsi="Calibri"/>
          <w:iCs/>
        </w:rPr>
        <w:t>carried out in accordance</w:t>
      </w:r>
      <w:r w:rsidR="00696BAB" w:rsidRPr="00DA62DC">
        <w:rPr>
          <w:rFonts w:ascii="Calibri" w:hAnsi="Calibri"/>
          <w:iCs/>
        </w:rPr>
        <w:t xml:space="preserve"> with the Validation Guide. CowaterSogema’s</w:t>
      </w:r>
      <w:r w:rsidR="004D7FC9" w:rsidRPr="00DA62DC">
        <w:rPr>
          <w:rFonts w:ascii="Calibri" w:hAnsi="Calibri"/>
          <w:iCs/>
        </w:rPr>
        <w:t xml:space="preserve"> </w:t>
      </w:r>
      <w:r w:rsidR="00783488" w:rsidRPr="00DA62DC">
        <w:rPr>
          <w:rFonts w:ascii="Calibri" w:hAnsi="Calibri"/>
          <w:iCs/>
        </w:rPr>
        <w:t xml:space="preserve">principal responsibilities as Validator are to </w:t>
      </w:r>
      <w:r w:rsidR="004D7FC9" w:rsidRPr="00DA62DC">
        <w:rPr>
          <w:rFonts w:ascii="Calibri" w:hAnsi="Calibri"/>
          <w:iCs/>
        </w:rPr>
        <w:t>review and amend the Initial Assessment, as needed, and</w:t>
      </w:r>
      <w:r w:rsidR="007D33F8" w:rsidRPr="00DA62DC">
        <w:rPr>
          <w:rFonts w:ascii="Calibri" w:hAnsi="Calibri"/>
          <w:iCs/>
        </w:rPr>
        <w:t xml:space="preserve"> to</w:t>
      </w:r>
      <w:r w:rsidR="004D7FC9" w:rsidRPr="00DA62DC">
        <w:rPr>
          <w:rFonts w:ascii="Calibri" w:hAnsi="Calibri"/>
          <w:iCs/>
        </w:rPr>
        <w:t xml:space="preserve"> summarize its independent review in </w:t>
      </w:r>
      <w:r w:rsidR="00783488" w:rsidRPr="00DA62DC">
        <w:rPr>
          <w:rFonts w:ascii="Calibri" w:hAnsi="Calibri"/>
          <w:iCs/>
        </w:rPr>
        <w:t xml:space="preserve">this </w:t>
      </w:r>
      <w:r w:rsidR="004D7FC9" w:rsidRPr="00DA62DC">
        <w:rPr>
          <w:rFonts w:ascii="Calibri" w:hAnsi="Calibri"/>
          <w:iCs/>
        </w:rPr>
        <w:t>Validation Report for submission to the Board</w:t>
      </w:r>
      <w:r w:rsidR="007D33F8" w:rsidRPr="00DA62DC">
        <w:rPr>
          <w:rFonts w:ascii="Calibri" w:hAnsi="Calibri"/>
          <w:iCs/>
        </w:rPr>
        <w:t xml:space="preserve"> through the Validation Committee</w:t>
      </w:r>
      <w:r w:rsidR="004D7FC9" w:rsidRPr="00DA62DC">
        <w:rPr>
          <w:rFonts w:ascii="Calibri" w:hAnsi="Calibri"/>
          <w:iCs/>
        </w:rPr>
        <w:t xml:space="preserve">. </w:t>
      </w:r>
    </w:p>
    <w:p w14:paraId="2DF12C34" w14:textId="77777777" w:rsidR="00171CE0" w:rsidRPr="005625E1" w:rsidRDefault="00171CE0" w:rsidP="00F12713">
      <w:pPr>
        <w:pStyle w:val="ListParagraph"/>
        <w:numPr>
          <w:ilvl w:val="0"/>
          <w:numId w:val="2"/>
        </w:numPr>
        <w:spacing w:after="0" w:line="240" w:lineRule="auto"/>
        <w:rPr>
          <w:rFonts w:cstheme="minorHAnsi"/>
          <w:b/>
          <w:color w:val="365F91" w:themeColor="accent1" w:themeShade="BF"/>
        </w:rPr>
      </w:pPr>
      <w:r w:rsidRPr="005625E1">
        <w:rPr>
          <w:rFonts w:cstheme="minorHAnsi"/>
          <w:b/>
          <w:color w:val="365F91" w:themeColor="accent1" w:themeShade="BF"/>
        </w:rPr>
        <w:t>Work Performed by the Independent Validator</w:t>
      </w:r>
    </w:p>
    <w:p w14:paraId="1839987E" w14:textId="77777777" w:rsidR="00803CB3" w:rsidRPr="005625E1" w:rsidRDefault="00803CB3" w:rsidP="00F12713">
      <w:pPr>
        <w:pStyle w:val="ListParagraph"/>
        <w:widowControl w:val="0"/>
        <w:suppressAutoHyphens/>
        <w:spacing w:after="0" w:line="240" w:lineRule="auto"/>
        <w:rPr>
          <w:rFonts w:cstheme="minorHAnsi"/>
        </w:rPr>
      </w:pPr>
    </w:p>
    <w:p w14:paraId="1C24EF9E" w14:textId="69F3DAC1" w:rsidR="00E53F90" w:rsidRPr="005625E1" w:rsidRDefault="00F64F77" w:rsidP="006000C6">
      <w:pPr>
        <w:widowControl w:val="0"/>
        <w:suppressAutoHyphens/>
        <w:spacing w:after="0"/>
        <w:jc w:val="both"/>
        <w:rPr>
          <w:rFonts w:eastAsia="Times New Roman" w:cstheme="minorHAnsi"/>
          <w:bCs/>
          <w:color w:val="FF0000"/>
          <w:highlight w:val="yellow"/>
          <w:lang w:eastAsia="fr-FR"/>
        </w:rPr>
      </w:pPr>
      <w:r w:rsidRPr="005625E1">
        <w:rPr>
          <w:rFonts w:cstheme="minorHAnsi"/>
        </w:rPr>
        <w:t>The Secretariat</w:t>
      </w:r>
      <w:r w:rsidR="004D7FC9" w:rsidRPr="005625E1">
        <w:rPr>
          <w:rFonts w:cstheme="minorHAnsi"/>
        </w:rPr>
        <w:t xml:space="preserve">’s Initial Assessment was transmitted to </w:t>
      </w:r>
      <w:r w:rsidR="00696BAB">
        <w:rPr>
          <w:rFonts w:cstheme="minorHAnsi"/>
        </w:rPr>
        <w:t xml:space="preserve">CowaterSogema </w:t>
      </w:r>
      <w:r w:rsidR="004D7FC9" w:rsidRPr="005625E1">
        <w:rPr>
          <w:rFonts w:cstheme="minorHAnsi"/>
        </w:rPr>
        <w:t>on</w:t>
      </w:r>
      <w:r w:rsidR="00CA13B8">
        <w:rPr>
          <w:rFonts w:cstheme="minorHAnsi"/>
        </w:rPr>
        <w:t xml:space="preserve"> 1</w:t>
      </w:r>
      <w:r w:rsidR="00CA13B8" w:rsidRPr="00CA13B8">
        <w:rPr>
          <w:rFonts w:cstheme="minorHAnsi"/>
          <w:vertAlign w:val="superscript"/>
        </w:rPr>
        <w:t>st</w:t>
      </w:r>
      <w:r w:rsidR="00CA13B8">
        <w:rPr>
          <w:rFonts w:cstheme="minorHAnsi"/>
        </w:rPr>
        <w:t xml:space="preserve"> May, 2019</w:t>
      </w:r>
      <w:r w:rsidR="004D7FC9" w:rsidRPr="005625E1">
        <w:rPr>
          <w:rFonts w:cstheme="minorHAnsi"/>
        </w:rPr>
        <w:t xml:space="preserve">. </w:t>
      </w:r>
      <w:r w:rsidRPr="005625E1">
        <w:rPr>
          <w:rFonts w:cstheme="minorHAnsi"/>
        </w:rPr>
        <w:t xml:space="preserve"> </w:t>
      </w:r>
      <w:r w:rsidR="004D7FC9" w:rsidRPr="005625E1">
        <w:rPr>
          <w:rFonts w:cstheme="minorHAnsi"/>
        </w:rPr>
        <w:t xml:space="preserve">Our </w:t>
      </w:r>
      <w:r w:rsidR="00803CB3" w:rsidRPr="005625E1">
        <w:rPr>
          <w:rFonts w:eastAsia="Times New Roman" w:cstheme="minorHAnsi"/>
          <w:bCs/>
          <w:lang w:eastAsia="fr-FR"/>
        </w:rPr>
        <w:t xml:space="preserve">Validation Team </w:t>
      </w:r>
      <w:r w:rsidR="004D7FC9" w:rsidRPr="005625E1">
        <w:rPr>
          <w:rFonts w:eastAsia="Times New Roman" w:cstheme="minorHAnsi"/>
          <w:bCs/>
          <w:lang w:eastAsia="fr-FR"/>
        </w:rPr>
        <w:t xml:space="preserve">undertook this phase of the Validation process </w:t>
      </w:r>
      <w:r w:rsidR="00803CB3" w:rsidRPr="005625E1">
        <w:rPr>
          <w:rFonts w:eastAsia="Times New Roman" w:cstheme="minorHAnsi"/>
          <w:bCs/>
          <w:lang w:eastAsia="fr-FR"/>
        </w:rPr>
        <w:t xml:space="preserve">through: (1) In-depth review and marking up of the EITI Assessment by </w:t>
      </w:r>
      <w:r w:rsidR="00AB786F" w:rsidRPr="005625E1">
        <w:rPr>
          <w:rFonts w:eastAsia="Times New Roman" w:cstheme="minorHAnsi"/>
          <w:bCs/>
          <w:lang w:eastAsia="fr-FR"/>
        </w:rPr>
        <w:t xml:space="preserve">each </w:t>
      </w:r>
      <w:r w:rsidR="00803CB3" w:rsidRPr="005625E1">
        <w:rPr>
          <w:rFonts w:eastAsia="Times New Roman" w:cstheme="minorHAnsi"/>
          <w:bCs/>
          <w:lang w:eastAsia="fr-FR"/>
        </w:rPr>
        <w:t>team</w:t>
      </w:r>
      <w:r w:rsidR="00AB786F" w:rsidRPr="005625E1">
        <w:rPr>
          <w:rFonts w:eastAsia="Times New Roman" w:cstheme="minorHAnsi"/>
          <w:bCs/>
          <w:lang w:eastAsia="fr-FR"/>
        </w:rPr>
        <w:t xml:space="preserve"> member</w:t>
      </w:r>
      <w:r w:rsidR="00803CB3" w:rsidRPr="005625E1">
        <w:rPr>
          <w:rFonts w:eastAsia="Times New Roman" w:cstheme="minorHAnsi"/>
          <w:bCs/>
          <w:lang w:eastAsia="fr-FR"/>
        </w:rPr>
        <w:t>; (</w:t>
      </w:r>
      <w:r w:rsidR="004A0786" w:rsidRPr="005625E1">
        <w:rPr>
          <w:rFonts w:eastAsia="Times New Roman" w:cstheme="minorHAnsi"/>
          <w:bCs/>
          <w:lang w:eastAsia="fr-FR"/>
        </w:rPr>
        <w:t>2</w:t>
      </w:r>
      <w:r w:rsidR="00803CB3" w:rsidRPr="005625E1">
        <w:rPr>
          <w:rFonts w:eastAsia="Times New Roman" w:cstheme="minorHAnsi"/>
          <w:bCs/>
          <w:lang w:eastAsia="fr-FR"/>
        </w:rPr>
        <w:t xml:space="preserve">) Detailed review and comments by </w:t>
      </w:r>
      <w:r w:rsidR="003C7904" w:rsidRPr="005625E1">
        <w:rPr>
          <w:rFonts w:eastAsia="Times New Roman" w:cstheme="minorHAnsi"/>
          <w:bCs/>
          <w:lang w:eastAsia="fr-FR"/>
        </w:rPr>
        <w:t xml:space="preserve">the </w:t>
      </w:r>
      <w:r w:rsidR="00803CB3" w:rsidRPr="005625E1">
        <w:rPr>
          <w:rFonts w:eastAsia="Times New Roman" w:cstheme="minorHAnsi"/>
          <w:bCs/>
          <w:lang w:eastAsia="fr-FR"/>
        </w:rPr>
        <w:t>Multi-Stakeholder Specialist of Requireme</w:t>
      </w:r>
      <w:r w:rsidR="00954096">
        <w:rPr>
          <w:rFonts w:eastAsia="Times New Roman" w:cstheme="minorHAnsi"/>
          <w:bCs/>
          <w:lang w:eastAsia="fr-FR"/>
        </w:rPr>
        <w:t>nts 1 and the Civil Society Protocol</w:t>
      </w:r>
      <w:r w:rsidR="00803CB3" w:rsidRPr="005625E1">
        <w:rPr>
          <w:rFonts w:eastAsia="Times New Roman" w:cstheme="minorHAnsi"/>
          <w:bCs/>
          <w:lang w:eastAsia="fr-FR"/>
        </w:rPr>
        <w:t>; (</w:t>
      </w:r>
      <w:r w:rsidR="004A0786" w:rsidRPr="005625E1">
        <w:rPr>
          <w:rFonts w:eastAsia="Times New Roman" w:cstheme="minorHAnsi"/>
          <w:bCs/>
          <w:lang w:eastAsia="fr-FR"/>
        </w:rPr>
        <w:t>3</w:t>
      </w:r>
      <w:r w:rsidR="00803CB3" w:rsidRPr="005625E1">
        <w:rPr>
          <w:rFonts w:eastAsia="Times New Roman" w:cstheme="minorHAnsi"/>
          <w:bCs/>
          <w:lang w:eastAsia="fr-FR"/>
        </w:rPr>
        <w:t xml:space="preserve">) Detailed review and comments by </w:t>
      </w:r>
      <w:r w:rsidR="003C7904" w:rsidRPr="005625E1">
        <w:rPr>
          <w:rFonts w:eastAsia="Times New Roman" w:cstheme="minorHAnsi"/>
          <w:bCs/>
          <w:lang w:eastAsia="fr-FR"/>
        </w:rPr>
        <w:t xml:space="preserve">the </w:t>
      </w:r>
      <w:r w:rsidR="00803CB3" w:rsidRPr="005625E1">
        <w:rPr>
          <w:rFonts w:eastAsia="Times New Roman" w:cstheme="minorHAnsi"/>
          <w:bCs/>
          <w:lang w:eastAsia="fr-FR"/>
        </w:rPr>
        <w:t>Financ</w:t>
      </w:r>
      <w:r w:rsidR="00954096">
        <w:rPr>
          <w:rFonts w:eastAsia="Times New Roman" w:cstheme="minorHAnsi"/>
          <w:bCs/>
          <w:lang w:eastAsia="fr-FR"/>
        </w:rPr>
        <w:t xml:space="preserve">ial Specialist of Requirements 4, 5 and </w:t>
      </w:r>
      <w:r w:rsidR="00803CB3" w:rsidRPr="005625E1">
        <w:rPr>
          <w:rFonts w:eastAsia="Times New Roman" w:cstheme="minorHAnsi"/>
          <w:bCs/>
          <w:lang w:eastAsia="fr-FR"/>
        </w:rPr>
        <w:t>6; (</w:t>
      </w:r>
      <w:r w:rsidR="00FC4788">
        <w:rPr>
          <w:rFonts w:eastAsia="Times New Roman" w:cstheme="minorHAnsi"/>
          <w:bCs/>
          <w:lang w:eastAsia="fr-FR"/>
        </w:rPr>
        <w:t xml:space="preserve">4) </w:t>
      </w:r>
      <w:r w:rsidR="00C71C1F">
        <w:rPr>
          <w:rFonts w:eastAsia="Times New Roman" w:cstheme="minorHAnsi"/>
          <w:bCs/>
          <w:lang w:eastAsia="fr-FR"/>
        </w:rPr>
        <w:t>C</w:t>
      </w:r>
      <w:r w:rsidR="001A386F" w:rsidRPr="005625E1">
        <w:rPr>
          <w:rFonts w:eastAsia="Times New Roman" w:cstheme="minorHAnsi"/>
          <w:bCs/>
          <w:lang w:eastAsia="fr-FR"/>
        </w:rPr>
        <w:t xml:space="preserve">onsolidation of reviews and </w:t>
      </w:r>
      <w:r w:rsidR="00D82592">
        <w:rPr>
          <w:rFonts w:eastAsia="Times New Roman" w:cstheme="minorHAnsi"/>
          <w:bCs/>
          <w:lang w:eastAsia="fr-FR"/>
        </w:rPr>
        <w:t>the production of this</w:t>
      </w:r>
      <w:r w:rsidR="00A57147">
        <w:rPr>
          <w:rFonts w:eastAsia="Times New Roman" w:cstheme="minorHAnsi"/>
          <w:bCs/>
          <w:lang w:eastAsia="fr-FR"/>
        </w:rPr>
        <w:t xml:space="preserve"> draft</w:t>
      </w:r>
      <w:r w:rsidR="001A386F" w:rsidRPr="005625E1">
        <w:rPr>
          <w:rFonts w:eastAsia="Times New Roman" w:cstheme="minorHAnsi"/>
          <w:bCs/>
          <w:lang w:eastAsia="fr-FR"/>
        </w:rPr>
        <w:t xml:space="preserve"> Validation Report</w:t>
      </w:r>
      <w:r w:rsidR="00325E55">
        <w:rPr>
          <w:rFonts w:eastAsia="Times New Roman" w:cstheme="minorHAnsi"/>
          <w:bCs/>
          <w:lang w:eastAsia="fr-FR"/>
        </w:rPr>
        <w:t>, sent</w:t>
      </w:r>
      <w:r w:rsidR="00AE5306">
        <w:rPr>
          <w:rFonts w:eastAsia="Times New Roman" w:cstheme="minorHAnsi"/>
          <w:bCs/>
          <w:lang w:eastAsia="fr-FR"/>
        </w:rPr>
        <w:t xml:space="preserve"> to the International Secretariat on the </w:t>
      </w:r>
      <w:r w:rsidR="00CA13B8">
        <w:rPr>
          <w:rFonts w:eastAsia="Times New Roman" w:cstheme="minorHAnsi"/>
          <w:bCs/>
          <w:lang w:eastAsia="fr-FR"/>
        </w:rPr>
        <w:t>15</w:t>
      </w:r>
      <w:r w:rsidR="00CA13B8" w:rsidRPr="00CA13B8">
        <w:rPr>
          <w:rFonts w:eastAsia="Times New Roman" w:cstheme="minorHAnsi"/>
          <w:bCs/>
          <w:vertAlign w:val="superscript"/>
          <w:lang w:eastAsia="fr-FR"/>
        </w:rPr>
        <w:t>th</w:t>
      </w:r>
      <w:r w:rsidR="00CA13B8">
        <w:rPr>
          <w:rFonts w:eastAsia="Times New Roman" w:cstheme="minorHAnsi"/>
          <w:bCs/>
          <w:lang w:eastAsia="fr-FR"/>
        </w:rPr>
        <w:t xml:space="preserve"> May, 2019</w:t>
      </w:r>
      <w:r w:rsidR="00AE5306">
        <w:rPr>
          <w:rFonts w:eastAsia="Times New Roman" w:cstheme="minorHAnsi"/>
          <w:bCs/>
          <w:lang w:eastAsia="fr-FR"/>
        </w:rPr>
        <w:t>.</w:t>
      </w:r>
    </w:p>
    <w:p w14:paraId="54B24071" w14:textId="77777777" w:rsidR="00C71C1F" w:rsidRPr="00F62BD3" w:rsidRDefault="00C71C1F" w:rsidP="00392B71">
      <w:pPr>
        <w:pStyle w:val="ListParagraph"/>
        <w:spacing w:after="0" w:line="240" w:lineRule="auto"/>
        <w:rPr>
          <w:rFonts w:cstheme="minorHAnsi"/>
          <w:b/>
        </w:rPr>
      </w:pPr>
    </w:p>
    <w:p w14:paraId="28360106" w14:textId="7A3F215D" w:rsidR="00572CE5" w:rsidRPr="005625E1" w:rsidRDefault="00572CE5" w:rsidP="00F12713">
      <w:pPr>
        <w:pStyle w:val="ListParagraph"/>
        <w:numPr>
          <w:ilvl w:val="0"/>
          <w:numId w:val="2"/>
        </w:numPr>
        <w:spacing w:after="0" w:line="240" w:lineRule="auto"/>
        <w:rPr>
          <w:rFonts w:cstheme="minorHAnsi"/>
          <w:b/>
        </w:rPr>
      </w:pPr>
      <w:r w:rsidRPr="005625E1">
        <w:rPr>
          <w:rFonts w:cstheme="minorHAnsi"/>
          <w:b/>
          <w:color w:val="365F91" w:themeColor="accent1" w:themeShade="BF"/>
        </w:rPr>
        <w:t>C</w:t>
      </w:r>
      <w:r w:rsidR="00511804" w:rsidRPr="005625E1">
        <w:rPr>
          <w:rFonts w:cstheme="minorHAnsi"/>
          <w:b/>
          <w:color w:val="365F91" w:themeColor="accent1" w:themeShade="BF"/>
        </w:rPr>
        <w:t>omments</w:t>
      </w:r>
      <w:r w:rsidRPr="005625E1">
        <w:rPr>
          <w:rFonts w:cstheme="minorHAnsi"/>
          <w:b/>
          <w:color w:val="365F91" w:themeColor="accent1" w:themeShade="BF"/>
        </w:rPr>
        <w:t xml:space="preserve"> on the Limitations of the </w:t>
      </w:r>
      <w:r w:rsidR="00DD1148" w:rsidRPr="005625E1">
        <w:rPr>
          <w:rFonts w:cstheme="minorHAnsi"/>
          <w:b/>
          <w:color w:val="365F91" w:themeColor="accent1" w:themeShade="BF"/>
        </w:rPr>
        <w:t>Validation</w:t>
      </w:r>
    </w:p>
    <w:p w14:paraId="3AD219A6" w14:textId="77777777" w:rsidR="00572CE5" w:rsidRPr="005625E1" w:rsidRDefault="00572CE5" w:rsidP="00510C4D">
      <w:pPr>
        <w:spacing w:after="0"/>
        <w:rPr>
          <w:rFonts w:cstheme="minorHAnsi"/>
        </w:rPr>
      </w:pPr>
    </w:p>
    <w:p w14:paraId="7B943A2D" w14:textId="39FC4FE6" w:rsidR="00573AAF" w:rsidRDefault="00865D33" w:rsidP="00510C4D">
      <w:pPr>
        <w:widowControl w:val="0"/>
        <w:suppressAutoHyphens/>
        <w:spacing w:after="0"/>
        <w:rPr>
          <w:rFonts w:eastAsia="Times New Roman" w:cstheme="minorHAnsi"/>
        </w:rPr>
      </w:pPr>
      <w:r w:rsidRPr="00CA13B8">
        <w:rPr>
          <w:rFonts w:eastAsia="Times New Roman" w:cstheme="minorHAnsi"/>
        </w:rPr>
        <w:t xml:space="preserve">The Validator carefully reviewed the Secretariat’s Initial Assessment and at this stage has </w:t>
      </w:r>
      <w:r w:rsidR="00CA13B8" w:rsidRPr="00CA13B8">
        <w:rPr>
          <w:rFonts w:eastAsia="Times New Roman" w:cstheme="minorHAnsi"/>
        </w:rPr>
        <w:t xml:space="preserve">no </w:t>
      </w:r>
      <w:r w:rsidRPr="00CA13B8">
        <w:rPr>
          <w:rFonts w:eastAsia="Times New Roman" w:cstheme="minorHAnsi"/>
        </w:rPr>
        <w:t>comments on</w:t>
      </w:r>
      <w:r>
        <w:rPr>
          <w:rFonts w:eastAsia="Times New Roman" w:cstheme="minorHAnsi"/>
        </w:rPr>
        <w:t xml:space="preserve"> the limitation of the validation process.</w:t>
      </w:r>
    </w:p>
    <w:p w14:paraId="0855DF57" w14:textId="77777777" w:rsidR="00B83C18" w:rsidRDefault="00B83C18" w:rsidP="00F12713">
      <w:pPr>
        <w:widowControl w:val="0"/>
        <w:suppressAutoHyphens/>
        <w:spacing w:after="0" w:line="240" w:lineRule="auto"/>
        <w:rPr>
          <w:rFonts w:eastAsia="Times New Roman" w:cstheme="minorHAnsi"/>
        </w:rPr>
      </w:pPr>
    </w:p>
    <w:p w14:paraId="1096F300" w14:textId="3E4AD76F" w:rsidR="00803CB3" w:rsidRPr="005625E1" w:rsidRDefault="00803CB3" w:rsidP="00F12713">
      <w:pPr>
        <w:pStyle w:val="ListParagraph"/>
        <w:numPr>
          <w:ilvl w:val="0"/>
          <w:numId w:val="2"/>
        </w:numPr>
        <w:spacing w:after="0" w:line="240" w:lineRule="auto"/>
        <w:rPr>
          <w:rFonts w:cstheme="minorHAnsi"/>
          <w:b/>
          <w:color w:val="365F91" w:themeColor="accent1" w:themeShade="BF"/>
        </w:rPr>
      </w:pPr>
      <w:r w:rsidRPr="005625E1">
        <w:rPr>
          <w:rFonts w:cstheme="minorHAnsi"/>
          <w:b/>
          <w:color w:val="365F91" w:themeColor="accent1" w:themeShade="BF"/>
        </w:rPr>
        <w:t xml:space="preserve">Comments on the </w:t>
      </w:r>
      <w:r w:rsidR="00A952F9" w:rsidRPr="005625E1">
        <w:rPr>
          <w:rFonts w:cstheme="minorHAnsi"/>
          <w:b/>
          <w:color w:val="365F91" w:themeColor="accent1" w:themeShade="BF"/>
        </w:rPr>
        <w:t xml:space="preserve">International Secretariat’s </w:t>
      </w:r>
      <w:r w:rsidRPr="005625E1">
        <w:rPr>
          <w:rFonts w:cstheme="minorHAnsi"/>
          <w:b/>
          <w:color w:val="365F91" w:themeColor="accent1" w:themeShade="BF"/>
        </w:rPr>
        <w:t xml:space="preserve">Initial Assessment </w:t>
      </w:r>
    </w:p>
    <w:p w14:paraId="14A8ACAE" w14:textId="77777777" w:rsidR="00F62BD3" w:rsidRDefault="00F62BD3" w:rsidP="005C1218">
      <w:pPr>
        <w:spacing w:after="0" w:line="240" w:lineRule="auto"/>
        <w:jc w:val="both"/>
        <w:rPr>
          <w:rFonts w:eastAsia="Times New Roman" w:cstheme="minorHAnsi"/>
        </w:rPr>
      </w:pPr>
    </w:p>
    <w:p w14:paraId="7E32F375" w14:textId="7F7453CD" w:rsidR="00E719C0" w:rsidRPr="00E719C0" w:rsidRDefault="00803CB3" w:rsidP="005C1218">
      <w:pPr>
        <w:widowControl w:val="0"/>
        <w:suppressAutoHyphens/>
        <w:spacing w:after="0"/>
        <w:jc w:val="both"/>
        <w:rPr>
          <w:rFonts w:eastAsia="Times New Roman" w:cstheme="minorHAnsi"/>
        </w:rPr>
      </w:pPr>
      <w:r w:rsidRPr="005625E1">
        <w:rPr>
          <w:rFonts w:eastAsia="Times New Roman" w:cstheme="minorHAnsi"/>
        </w:rPr>
        <w:t xml:space="preserve">The initial data collection, stakeholder consultations, and drafting of the </w:t>
      </w:r>
      <w:r w:rsidR="00000EAA" w:rsidRPr="005625E1">
        <w:rPr>
          <w:rFonts w:eastAsia="Times New Roman" w:cstheme="minorHAnsi"/>
        </w:rPr>
        <w:t xml:space="preserve">Initial </w:t>
      </w:r>
      <w:r w:rsidRPr="005625E1">
        <w:rPr>
          <w:rFonts w:eastAsia="Times New Roman" w:cstheme="minorHAnsi"/>
        </w:rPr>
        <w:t xml:space="preserve">Assessment were generally undertaken by the </w:t>
      </w:r>
      <w:r w:rsidR="00A952F9" w:rsidRPr="005625E1">
        <w:rPr>
          <w:rFonts w:eastAsia="Times New Roman" w:cstheme="minorHAnsi"/>
        </w:rPr>
        <w:t xml:space="preserve">International </w:t>
      </w:r>
      <w:r w:rsidRPr="005625E1">
        <w:rPr>
          <w:rFonts w:eastAsia="Times New Roman" w:cstheme="minorHAnsi"/>
        </w:rPr>
        <w:t>Secretariat</w:t>
      </w:r>
      <w:r w:rsidR="00000EAA" w:rsidRPr="005625E1">
        <w:rPr>
          <w:rFonts w:eastAsia="Times New Roman" w:cstheme="minorHAnsi"/>
        </w:rPr>
        <w:t xml:space="preserve"> </w:t>
      </w:r>
      <w:r w:rsidRPr="005625E1">
        <w:rPr>
          <w:rFonts w:eastAsia="Times New Roman" w:cstheme="minorHAnsi"/>
        </w:rPr>
        <w:t xml:space="preserve">in accordance with </w:t>
      </w:r>
      <w:r w:rsidR="00000EAA" w:rsidRPr="005625E1">
        <w:rPr>
          <w:rFonts w:eastAsia="Times New Roman" w:cstheme="minorHAnsi"/>
        </w:rPr>
        <w:t xml:space="preserve">the </w:t>
      </w:r>
      <w:r w:rsidRPr="005625E1">
        <w:rPr>
          <w:rFonts w:eastAsia="Times New Roman" w:cstheme="minorHAnsi"/>
        </w:rPr>
        <w:t xml:space="preserve">2016 Validation Guide. </w:t>
      </w:r>
      <w:r w:rsidR="00E719C0">
        <w:rPr>
          <w:rFonts w:eastAsia="Times New Roman" w:cstheme="minorHAnsi"/>
        </w:rPr>
        <w:t xml:space="preserve"> The data collection took place acros</w:t>
      </w:r>
      <w:r w:rsidR="00D649C2">
        <w:rPr>
          <w:rFonts w:eastAsia="Times New Roman" w:cstheme="minorHAnsi"/>
        </w:rPr>
        <w:t xml:space="preserve">s three phases.  Firstly, </w:t>
      </w:r>
      <w:r w:rsidR="00E719C0">
        <w:rPr>
          <w:rFonts w:eastAsia="Times New Roman" w:cstheme="minorHAnsi"/>
        </w:rPr>
        <w:t xml:space="preserve">a desk review of the </w:t>
      </w:r>
      <w:r w:rsidR="00E719C0" w:rsidRPr="00E719C0">
        <w:rPr>
          <w:rFonts w:eastAsia="Times New Roman" w:cstheme="minorHAnsi"/>
        </w:rPr>
        <w:t>available documentation relating to the country’s compliance with the EITI Standard, including but not limited to:</w:t>
      </w:r>
    </w:p>
    <w:p w14:paraId="03B2D900" w14:textId="77777777" w:rsidR="00E719C0" w:rsidRPr="00E719C0" w:rsidRDefault="00E719C0" w:rsidP="00E719C0">
      <w:pPr>
        <w:numPr>
          <w:ilvl w:val="0"/>
          <w:numId w:val="8"/>
        </w:numPr>
        <w:spacing w:after="0" w:line="240" w:lineRule="auto"/>
        <w:rPr>
          <w:rFonts w:eastAsia="Times New Roman" w:cstheme="minorHAnsi"/>
        </w:rPr>
      </w:pPr>
      <w:r w:rsidRPr="00E719C0">
        <w:rPr>
          <w:rFonts w:eastAsia="Times New Roman" w:cstheme="minorHAnsi"/>
        </w:rPr>
        <w:t>The EITI work plan and other planning documents such as budgets and communication plans;</w:t>
      </w:r>
    </w:p>
    <w:p w14:paraId="7F3B9476" w14:textId="77777777" w:rsidR="00E719C0" w:rsidRPr="00E719C0" w:rsidRDefault="00E719C0" w:rsidP="00E719C0">
      <w:pPr>
        <w:numPr>
          <w:ilvl w:val="0"/>
          <w:numId w:val="8"/>
        </w:numPr>
        <w:spacing w:after="0" w:line="240" w:lineRule="auto"/>
        <w:rPr>
          <w:rFonts w:eastAsia="Times New Roman" w:cstheme="minorHAnsi"/>
        </w:rPr>
      </w:pPr>
      <w:r w:rsidRPr="00E719C0">
        <w:rPr>
          <w:rFonts w:eastAsia="Times New Roman" w:cstheme="minorHAnsi"/>
        </w:rPr>
        <w:t>The multi-stakeholder group’s Terms of Reference, and minutes from multi-stakeholder group meetings;</w:t>
      </w:r>
    </w:p>
    <w:p w14:paraId="2BBB6D4D" w14:textId="77777777" w:rsidR="00E719C0" w:rsidRPr="00E719C0" w:rsidRDefault="00E719C0" w:rsidP="00E719C0">
      <w:pPr>
        <w:numPr>
          <w:ilvl w:val="0"/>
          <w:numId w:val="8"/>
        </w:numPr>
        <w:spacing w:after="0" w:line="240" w:lineRule="auto"/>
        <w:rPr>
          <w:rFonts w:eastAsia="Times New Roman" w:cstheme="minorHAnsi"/>
        </w:rPr>
      </w:pPr>
      <w:r w:rsidRPr="00E719C0">
        <w:rPr>
          <w:rFonts w:eastAsia="Times New Roman" w:cstheme="minorHAnsi"/>
        </w:rPr>
        <w:t>EITI Reports, and supplementary information such as summary reports and scoping studies;</w:t>
      </w:r>
    </w:p>
    <w:p w14:paraId="505CF551" w14:textId="77777777" w:rsidR="00E719C0" w:rsidRPr="00E719C0" w:rsidRDefault="00E719C0" w:rsidP="00E719C0">
      <w:pPr>
        <w:numPr>
          <w:ilvl w:val="0"/>
          <w:numId w:val="8"/>
        </w:numPr>
        <w:spacing w:after="0" w:line="240" w:lineRule="auto"/>
        <w:rPr>
          <w:rFonts w:eastAsia="Times New Roman" w:cstheme="minorHAnsi"/>
        </w:rPr>
      </w:pPr>
      <w:r w:rsidRPr="00E719C0">
        <w:rPr>
          <w:rFonts w:eastAsia="Times New Roman" w:cstheme="minorHAnsi"/>
        </w:rPr>
        <w:t>Communication materials;</w:t>
      </w:r>
    </w:p>
    <w:p w14:paraId="193C162B" w14:textId="77777777" w:rsidR="00E719C0" w:rsidRPr="00E719C0" w:rsidRDefault="00E719C0" w:rsidP="00E719C0">
      <w:pPr>
        <w:numPr>
          <w:ilvl w:val="0"/>
          <w:numId w:val="8"/>
        </w:numPr>
        <w:spacing w:after="0" w:line="240" w:lineRule="auto"/>
        <w:rPr>
          <w:rFonts w:eastAsia="Times New Roman" w:cstheme="minorHAnsi"/>
        </w:rPr>
      </w:pPr>
      <w:r w:rsidRPr="00E719C0">
        <w:rPr>
          <w:rFonts w:eastAsia="Times New Roman" w:cstheme="minorHAnsi"/>
        </w:rPr>
        <w:t>Annual progress reports; and</w:t>
      </w:r>
    </w:p>
    <w:p w14:paraId="312B3F1F" w14:textId="77777777" w:rsidR="00E719C0" w:rsidRPr="00E719C0" w:rsidRDefault="00E719C0" w:rsidP="00E719C0">
      <w:pPr>
        <w:numPr>
          <w:ilvl w:val="0"/>
          <w:numId w:val="8"/>
        </w:numPr>
        <w:spacing w:after="0" w:line="240" w:lineRule="auto"/>
        <w:rPr>
          <w:rFonts w:eastAsia="Times New Roman" w:cstheme="minorHAnsi"/>
        </w:rPr>
      </w:pPr>
      <w:r w:rsidRPr="00E719C0">
        <w:rPr>
          <w:rFonts w:eastAsia="Times New Roman" w:cstheme="minorHAnsi"/>
        </w:rPr>
        <w:t>Any other information of relevance to Validation.</w:t>
      </w:r>
    </w:p>
    <w:p w14:paraId="2E5EFC1C" w14:textId="77777777" w:rsidR="00E719C0" w:rsidRDefault="00E719C0" w:rsidP="00F12713">
      <w:pPr>
        <w:spacing w:after="0" w:line="240" w:lineRule="auto"/>
        <w:rPr>
          <w:rFonts w:eastAsia="Times New Roman" w:cstheme="minorHAnsi"/>
        </w:rPr>
      </w:pPr>
    </w:p>
    <w:p w14:paraId="7D453AE3" w14:textId="77777777" w:rsidR="0050007A" w:rsidRPr="005C1218" w:rsidRDefault="00E719C0" w:rsidP="005C1218">
      <w:pPr>
        <w:widowControl w:val="0"/>
        <w:suppressAutoHyphens/>
        <w:spacing w:after="0"/>
        <w:jc w:val="both"/>
        <w:rPr>
          <w:rFonts w:eastAsia="Times New Roman" w:cstheme="minorHAnsi"/>
        </w:rPr>
      </w:pPr>
      <w:r w:rsidRPr="005C1218">
        <w:rPr>
          <w:rFonts w:eastAsia="Times New Roman" w:cstheme="minorHAnsi"/>
        </w:rPr>
        <w:t xml:space="preserve">Secondly, </w:t>
      </w:r>
      <w:r w:rsidR="00CA13B8" w:rsidRPr="005C1218">
        <w:rPr>
          <w:rFonts w:eastAsia="Times New Roman" w:cstheme="minorHAnsi"/>
        </w:rPr>
        <w:t xml:space="preserve">a country visit took place on 19-26 September 2018. All meetings took place in London and Leicester, United Kingdom. </w:t>
      </w:r>
      <w:r w:rsidR="0050007A" w:rsidRPr="005C1218">
        <w:rPr>
          <w:rFonts w:eastAsia="Times New Roman" w:cstheme="minorHAnsi"/>
        </w:rPr>
        <w:t xml:space="preserve">The secretariat met with the multi-stakeholder group and its members, the Independent Administrator and other key stakeholders, including stakeholder groups that are represented on, but not directly participating in, the multi-stakeholder group. In addition to meeting with the MSG as a group, the Secretariat met with its constituent parts (government, companies and civil society) either individually or in constituency groups, with appropriate protocols to ensure that stakeholders are able to freely express their views and that requests for confidentially are respected. </w:t>
      </w:r>
    </w:p>
    <w:p w14:paraId="30EE87AA" w14:textId="77777777" w:rsidR="0050007A" w:rsidRPr="005C1218" w:rsidRDefault="0050007A" w:rsidP="005C1218">
      <w:pPr>
        <w:widowControl w:val="0"/>
        <w:suppressAutoHyphens/>
        <w:spacing w:after="0"/>
        <w:jc w:val="both"/>
        <w:rPr>
          <w:rFonts w:eastAsia="Times New Roman" w:cstheme="minorHAnsi"/>
        </w:rPr>
      </w:pPr>
    </w:p>
    <w:p w14:paraId="0A5DE1F5" w14:textId="69396D25" w:rsidR="006B688F" w:rsidRPr="005C1218" w:rsidRDefault="006B688F" w:rsidP="005C1218">
      <w:pPr>
        <w:widowControl w:val="0"/>
        <w:suppressAutoHyphens/>
        <w:spacing w:after="0"/>
        <w:jc w:val="both"/>
        <w:rPr>
          <w:rFonts w:eastAsia="Times New Roman" w:cstheme="minorHAnsi"/>
        </w:rPr>
      </w:pPr>
      <w:r w:rsidRPr="005C1218">
        <w:rPr>
          <w:rFonts w:eastAsia="Times New Roman" w:cstheme="minorHAnsi"/>
        </w:rPr>
        <w:t>Finally, the International Secretariat prepared a report making an initial assessment of progress against requirements in accordance with the Validation Gu</w:t>
      </w:r>
      <w:r w:rsidR="00BE48E7" w:rsidRPr="005C1218">
        <w:rPr>
          <w:rFonts w:eastAsia="Times New Roman" w:cstheme="minorHAnsi"/>
        </w:rPr>
        <w:t>ide. The initial assessment did</w:t>
      </w:r>
      <w:r w:rsidRPr="005C1218">
        <w:rPr>
          <w:rFonts w:eastAsia="Times New Roman" w:cstheme="minorHAnsi"/>
        </w:rPr>
        <w:t xml:space="preserve"> not include an overall assess</w:t>
      </w:r>
      <w:r w:rsidR="00BE48E7" w:rsidRPr="005C1218">
        <w:rPr>
          <w:rFonts w:eastAsia="Times New Roman" w:cstheme="minorHAnsi"/>
        </w:rPr>
        <w:t xml:space="preserve">ment of compliance. </w:t>
      </w:r>
    </w:p>
    <w:p w14:paraId="4E7695CD" w14:textId="77777777" w:rsidR="00BE48E7" w:rsidRDefault="00BE48E7" w:rsidP="00F12713">
      <w:pPr>
        <w:spacing w:after="0" w:line="240" w:lineRule="auto"/>
        <w:rPr>
          <w:rFonts w:cstheme="minorHAnsi"/>
        </w:rPr>
      </w:pPr>
    </w:p>
    <w:p w14:paraId="14236177" w14:textId="3E334AE3" w:rsidR="007C0497" w:rsidRPr="005625E1" w:rsidRDefault="007C0497" w:rsidP="00F12713">
      <w:pPr>
        <w:spacing w:after="0" w:line="240" w:lineRule="auto"/>
        <w:rPr>
          <w:rFonts w:eastAsia="Calibri" w:cstheme="minorHAnsi"/>
          <w:color w:val="FF0000"/>
          <w:lang w:bidi="en-US"/>
        </w:rPr>
      </w:pPr>
    </w:p>
    <w:p w14:paraId="2C5EE03B" w14:textId="77777777" w:rsidR="00803CB3" w:rsidRPr="005625E1" w:rsidRDefault="00803CB3" w:rsidP="00F12713">
      <w:pPr>
        <w:spacing w:after="0" w:line="240" w:lineRule="auto"/>
        <w:rPr>
          <w:rFonts w:cstheme="minorHAnsi"/>
          <w:b/>
          <w:color w:val="365F91" w:themeColor="accent1" w:themeShade="BF"/>
        </w:rPr>
      </w:pPr>
      <w:r w:rsidRPr="005625E1">
        <w:rPr>
          <w:rFonts w:cstheme="minorHAnsi"/>
          <w:b/>
          <w:color w:val="365F91" w:themeColor="accent1" w:themeShade="BF"/>
        </w:rPr>
        <w:t xml:space="preserve">2. </w:t>
      </w:r>
      <w:r w:rsidRPr="005625E1">
        <w:rPr>
          <w:rFonts w:cstheme="minorHAnsi"/>
          <w:b/>
          <w:color w:val="365F91" w:themeColor="accent1" w:themeShade="BF"/>
        </w:rPr>
        <w:tab/>
        <w:t>GENERAL COMMENTS</w:t>
      </w:r>
    </w:p>
    <w:p w14:paraId="33798BBC" w14:textId="77777777" w:rsidR="00F46036" w:rsidRPr="005625E1" w:rsidRDefault="00F46036" w:rsidP="00F12713">
      <w:pPr>
        <w:spacing w:after="0" w:line="240" w:lineRule="auto"/>
        <w:rPr>
          <w:rFonts w:cstheme="minorHAnsi"/>
          <w:b/>
          <w:color w:val="365F91" w:themeColor="accent1" w:themeShade="BF"/>
        </w:rPr>
      </w:pPr>
    </w:p>
    <w:p w14:paraId="2C9DD649" w14:textId="77777777" w:rsidR="007C0497" w:rsidRPr="005625E1" w:rsidRDefault="007C0497" w:rsidP="00F12713">
      <w:pPr>
        <w:pStyle w:val="ListParagraph"/>
        <w:numPr>
          <w:ilvl w:val="0"/>
          <w:numId w:val="1"/>
        </w:numPr>
        <w:spacing w:after="0" w:line="240" w:lineRule="auto"/>
        <w:rPr>
          <w:rFonts w:cstheme="minorHAnsi"/>
          <w:b/>
          <w:color w:val="365F91" w:themeColor="accent1" w:themeShade="BF"/>
        </w:rPr>
      </w:pPr>
      <w:r w:rsidRPr="005625E1">
        <w:rPr>
          <w:rFonts w:cstheme="minorHAnsi"/>
          <w:b/>
          <w:color w:val="365F91" w:themeColor="accent1" w:themeShade="BF"/>
        </w:rPr>
        <w:t xml:space="preserve">Progress in EITI Implementation </w:t>
      </w:r>
    </w:p>
    <w:p w14:paraId="7D60F9DB" w14:textId="77777777" w:rsidR="007C0497" w:rsidRPr="005625E1" w:rsidRDefault="007C0497" w:rsidP="00F12713">
      <w:pPr>
        <w:spacing w:after="0" w:line="240" w:lineRule="auto"/>
        <w:rPr>
          <w:rFonts w:cstheme="minorHAnsi"/>
          <w:color w:val="FF0000"/>
        </w:rPr>
      </w:pPr>
    </w:p>
    <w:p w14:paraId="51D4417C" w14:textId="77777777" w:rsidR="00703C5B" w:rsidRPr="00703C5B" w:rsidRDefault="00703C5B" w:rsidP="005F7567">
      <w:pPr>
        <w:jc w:val="both"/>
        <w:rPr>
          <w:rFonts w:ascii="Calibri" w:hAnsi="Calibri"/>
        </w:rPr>
      </w:pPr>
      <w:r w:rsidRPr="005F7567">
        <w:rPr>
          <w:rFonts w:eastAsia="Times New Roman" w:cstheme="minorHAnsi"/>
        </w:rPr>
        <w:t xml:space="preserve">EITI implementation in the UK has two mutually reinforcing objectives. Domestically, the UK EITI aims to increase public understanding of the social and economic impacts of the UK's extractive industries and enrich public debate on the governance and stewardship of the UK's oil, gas and mineral resources. This is achieved by working to ensure that essential information to inform public debate is accessible and presented to the public in a clear manner. Internationally, EITI implementation supports the UK government’s championing of extractives transparency and open government. UK industry and civil society have strongly </w:t>
      </w:r>
      <w:r w:rsidRPr="005F7567">
        <w:rPr>
          <w:rFonts w:eastAsia="Times New Roman" w:cstheme="minorHAnsi"/>
        </w:rPr>
        <w:lastRenderedPageBreak/>
        <w:t>supported these efforts. UK EITI stakeholders agree that, having helped establish the EITI globally, the UK should “practice what we preach</w:t>
      </w:r>
      <w:r w:rsidRPr="00703C5B">
        <w:rPr>
          <w:rFonts w:ascii="Calibri" w:hAnsi="Calibri"/>
        </w:rPr>
        <w:t xml:space="preserve">” and set an example for other resource rich countries. </w:t>
      </w:r>
    </w:p>
    <w:p w14:paraId="56E10C2F" w14:textId="10900C4A" w:rsidR="00703C5B" w:rsidRPr="005C3EC8" w:rsidRDefault="00703C5B" w:rsidP="005F7567">
      <w:pPr>
        <w:jc w:val="both"/>
        <w:rPr>
          <w:rFonts w:ascii="Calibri" w:hAnsi="Calibri"/>
        </w:rPr>
      </w:pPr>
      <w:r w:rsidRPr="00703C5B">
        <w:rPr>
          <w:rFonts w:ascii="Calibri" w:hAnsi="Calibri"/>
        </w:rPr>
        <w:t>These objectives have been met. While the UK EITI has been hampered by internal challenges related to the representation of civil society organisations on the multi-stakeholder group, the UK has produced four high-quality EITI reports that address both the domestic and international objectives. There is limited demand for EITI data, not least since considerable amount of information is already publicly available. Oil, gas and mining companies incorporated in the United Kingdom or listed on the London Stock Exchange (LSE) publish reports on payments to governments each year under UK law. Payment reporting covers payment types as published under the EITI. While these are not</w:t>
      </w:r>
      <w:r w:rsidRPr="00703C5B">
        <w:t xml:space="preserve"> </w:t>
      </w:r>
      <w:r w:rsidRPr="00703C5B">
        <w:rPr>
          <w:rFonts w:ascii="Calibri" w:hAnsi="Calibri"/>
        </w:rPr>
        <w:t>disaggregated to the levels required by the</w:t>
      </w:r>
      <w:r w:rsidRPr="005C3EC8">
        <w:rPr>
          <w:rFonts w:ascii="Calibri" w:hAnsi="Calibri"/>
        </w:rPr>
        <w:t xml:space="preserve"> EITI Standard, they are more up to date and cover every country where each company operates. The UK EITI Reports collate a wide range of information relating to the UK. In accordance with the 2016 EITI Standard, they reconcile company and government disclosures. The resulting information is of interest to relatively small and specialised audiences. That said, the high quality of EITI Reports underscores the government’s commitment to transparency and accountability, and stakeholders continue to see value in using domestic implementation as a means to encourage other resource-rich countries to implement the EITI and high social and environmental standards. </w:t>
      </w:r>
    </w:p>
    <w:p w14:paraId="129D549F" w14:textId="77777777" w:rsidR="00703C5B" w:rsidRPr="005C3EC8" w:rsidRDefault="00703C5B" w:rsidP="005F7567">
      <w:pPr>
        <w:jc w:val="both"/>
        <w:rPr>
          <w:rFonts w:ascii="Calibri" w:hAnsi="Calibri"/>
        </w:rPr>
      </w:pPr>
      <w:r w:rsidRPr="005C3EC8">
        <w:rPr>
          <w:rFonts w:ascii="Calibri" w:hAnsi="Calibri"/>
        </w:rPr>
        <w:t xml:space="preserve">Concurrent with preparing for this Validation, the MSG was exploring opportunities to streamline EITI implementation through systematic disclosure (“mainstreaming”), which would speed up the publication of data and reduce the cost associated with EITI Reporting. Accelerating this work presents a further opportunity for the UK to set an example to other EITI implementing countries. </w:t>
      </w:r>
    </w:p>
    <w:p w14:paraId="15E57C46" w14:textId="77777777" w:rsidR="00325E55" w:rsidRDefault="00325E55" w:rsidP="00F46036">
      <w:pPr>
        <w:spacing w:after="0" w:line="240" w:lineRule="auto"/>
        <w:rPr>
          <w:rFonts w:cstheme="minorHAnsi"/>
        </w:rPr>
      </w:pPr>
    </w:p>
    <w:p w14:paraId="23D51BBE" w14:textId="1130FA5E" w:rsidR="00172322" w:rsidRDefault="00172322" w:rsidP="00F12713">
      <w:pPr>
        <w:spacing w:after="0" w:line="240" w:lineRule="auto"/>
        <w:rPr>
          <w:rFonts w:cstheme="minorHAnsi"/>
          <w:color w:val="FF0000"/>
        </w:rPr>
      </w:pPr>
    </w:p>
    <w:p w14:paraId="3EA7C111" w14:textId="77777777" w:rsidR="00406FF1" w:rsidRPr="005625E1" w:rsidRDefault="00CE3B4B" w:rsidP="00F12713">
      <w:pPr>
        <w:pStyle w:val="ListParagraph"/>
        <w:numPr>
          <w:ilvl w:val="0"/>
          <w:numId w:val="1"/>
        </w:numPr>
        <w:spacing w:after="0" w:line="240" w:lineRule="auto"/>
        <w:rPr>
          <w:rFonts w:cstheme="minorHAnsi"/>
          <w:b/>
          <w:color w:val="365F91" w:themeColor="accent1" w:themeShade="BF"/>
        </w:rPr>
      </w:pPr>
      <w:r w:rsidRPr="005625E1">
        <w:rPr>
          <w:rFonts w:cstheme="minorHAnsi"/>
          <w:b/>
          <w:color w:val="365F91" w:themeColor="accent1" w:themeShade="BF"/>
        </w:rPr>
        <w:t xml:space="preserve">Impact of </w:t>
      </w:r>
      <w:r w:rsidR="00406FF1" w:rsidRPr="005625E1">
        <w:rPr>
          <w:rFonts w:cstheme="minorHAnsi"/>
          <w:b/>
          <w:color w:val="365F91" w:themeColor="accent1" w:themeShade="BF"/>
        </w:rPr>
        <w:t xml:space="preserve">EITI </w:t>
      </w:r>
      <w:r w:rsidRPr="005625E1">
        <w:rPr>
          <w:rFonts w:cstheme="minorHAnsi"/>
          <w:b/>
          <w:color w:val="365F91" w:themeColor="accent1" w:themeShade="BF"/>
        </w:rPr>
        <w:t>I</w:t>
      </w:r>
      <w:r w:rsidR="00406FF1" w:rsidRPr="005625E1">
        <w:rPr>
          <w:rFonts w:cstheme="minorHAnsi"/>
          <w:b/>
          <w:color w:val="365F91" w:themeColor="accent1" w:themeShade="BF"/>
        </w:rPr>
        <w:t>mplementation</w:t>
      </w:r>
    </w:p>
    <w:p w14:paraId="7E8E1DC7" w14:textId="77777777" w:rsidR="005625E1" w:rsidRPr="005625E1" w:rsidRDefault="005625E1" w:rsidP="00F12713">
      <w:pPr>
        <w:spacing w:after="0" w:line="240" w:lineRule="auto"/>
        <w:rPr>
          <w:rFonts w:cstheme="minorHAnsi"/>
          <w:color w:val="FF0000"/>
        </w:rPr>
      </w:pPr>
    </w:p>
    <w:p w14:paraId="3047D90C" w14:textId="77777777" w:rsidR="00703C5B" w:rsidRPr="005C3EC8" w:rsidRDefault="00703C5B" w:rsidP="00505B8E">
      <w:pPr>
        <w:jc w:val="both"/>
        <w:rPr>
          <w:rFonts w:ascii="Calibri" w:hAnsi="Calibri"/>
        </w:rPr>
      </w:pPr>
      <w:r w:rsidRPr="00703C5B">
        <w:rPr>
          <w:rFonts w:ascii="Calibri" w:hAnsi="Calibri"/>
        </w:rPr>
        <w:t>As noted above, the UK EITI has been hampered by internal challenges related to the nomination and representation of civil society organisations on the multi-stakeholder group. The civil society organisations that had been active in the EITI’s work globally since its inception played a strong and supportive role in establishing the EITI in the UK. Through the UK EITI Civil Society Network (CSN) these groups represented civil society when the MSG was first established. However, concurrent with similar challenges with the EITI’s global governance</w:t>
      </w:r>
      <w:r w:rsidRPr="00703C5B">
        <w:rPr>
          <w:rStyle w:val="FootnoteReference"/>
          <w:rFonts w:ascii="Calibri" w:hAnsi="Calibri"/>
        </w:rPr>
        <w:footnoteReference w:id="12"/>
      </w:r>
      <w:r w:rsidRPr="00703C5B">
        <w:rPr>
          <w:rStyle w:val="FootnoteReference"/>
          <w:rFonts w:ascii="Calibri" w:hAnsi="Calibri"/>
        </w:rPr>
        <w:footnoteReference w:id="13"/>
      </w:r>
      <w:r w:rsidRPr="00703C5B">
        <w:rPr>
          <w:rFonts w:ascii="Calibri" w:hAnsi="Calibri"/>
        </w:rPr>
        <w:t>, conflict arose regarding how civil society representatives to the MSG should be selected. The EITI Standard requires that “each stakeholder group must have the right to appoint its own representatives, bearing in mind the desirability of pluralistic and diverse representation” and that “the nomination process must be independent and free from any suggestion of coercion” (</w:t>
      </w:r>
      <w:r w:rsidRPr="00703C5B">
        <w:rPr>
          <w:rFonts w:ascii="Calibri" w:hAnsi="Calibri"/>
          <w:i/>
          <w:iCs/>
        </w:rPr>
        <w:t>Requirement 1.4</w:t>
      </w:r>
      <w:r w:rsidRPr="00703C5B">
        <w:rPr>
          <w:rFonts w:ascii="Calibri" w:hAnsi="Calibri"/>
        </w:rPr>
        <w:t>). An organisation called the Extractive Industries Civil Society (EICS) challenged the existing nomination process</w:t>
      </w:r>
      <w:r w:rsidRPr="00703C5B">
        <w:rPr>
          <w:rStyle w:val="FootnoteReference"/>
          <w:rFonts w:ascii="Calibri" w:hAnsi="Calibri"/>
        </w:rPr>
        <w:footnoteReference w:id="14"/>
      </w:r>
      <w:r w:rsidRPr="00703C5B">
        <w:rPr>
          <w:rFonts w:ascii="Calibri" w:hAnsi="Calibri"/>
        </w:rPr>
        <w:t xml:space="preserve">. When efforts to agree a compromise stalled, the UK government took a decision to split the nomination role </w:t>
      </w:r>
      <w:r w:rsidRPr="00703C5B">
        <w:rPr>
          <w:rFonts w:ascii="Calibri" w:hAnsi="Calibri"/>
        </w:rPr>
        <w:lastRenderedPageBreak/>
        <w:t>between the two groups. This led the CSN to withdraw from the UK EITI process</w:t>
      </w:r>
      <w:r w:rsidRPr="00703C5B">
        <w:rPr>
          <w:rStyle w:val="FootnoteReference"/>
          <w:rFonts w:ascii="Calibri" w:hAnsi="Calibri"/>
        </w:rPr>
        <w:footnoteReference w:id="15"/>
      </w:r>
      <w:r w:rsidRPr="00703C5B">
        <w:rPr>
          <w:rFonts w:ascii="Calibri" w:hAnsi="Calibri"/>
        </w:rPr>
        <w:t>, a situation that persisted until the commencement of Validation.</w:t>
      </w:r>
      <w:r w:rsidRPr="005C3EC8">
        <w:rPr>
          <w:rFonts w:ascii="Calibri" w:hAnsi="Calibri"/>
        </w:rPr>
        <w:t xml:space="preserve"> </w:t>
      </w:r>
    </w:p>
    <w:p w14:paraId="4F5E6A57" w14:textId="7E27367A" w:rsidR="00703C5B" w:rsidRPr="00703C5B" w:rsidRDefault="00703C5B" w:rsidP="00AF4E01">
      <w:pPr>
        <w:jc w:val="both"/>
        <w:rPr>
          <w:rFonts w:ascii="Calibri" w:hAnsi="Calibri"/>
        </w:rPr>
      </w:pPr>
      <w:r w:rsidRPr="005C3EC8">
        <w:rPr>
          <w:rFonts w:ascii="Calibri" w:hAnsi="Calibri"/>
        </w:rPr>
        <w:t xml:space="preserve">The International Secretariat is not mandated or resourced to carry out a detailed examination of this controversy, or to comment on the behaviour and motivations of the parties involved. The views of the </w:t>
      </w:r>
      <w:r>
        <w:rPr>
          <w:rFonts w:ascii="Calibri" w:hAnsi="Calibri"/>
        </w:rPr>
        <w:t>CSN</w:t>
      </w:r>
      <w:r w:rsidRPr="005C3EC8">
        <w:rPr>
          <w:rFonts w:ascii="Calibri" w:hAnsi="Calibri"/>
        </w:rPr>
        <w:t xml:space="preserve"> and the </w:t>
      </w:r>
      <w:r>
        <w:rPr>
          <w:rFonts w:ascii="Calibri" w:hAnsi="Calibri"/>
        </w:rPr>
        <w:t xml:space="preserve">EICS </w:t>
      </w:r>
      <w:r w:rsidRPr="005C3EC8">
        <w:rPr>
          <w:rFonts w:ascii="Calibri" w:hAnsi="Calibri"/>
        </w:rPr>
        <w:t xml:space="preserve">are a matter of public record and are </w:t>
      </w:r>
      <w:r>
        <w:rPr>
          <w:rFonts w:ascii="Calibri" w:hAnsi="Calibri"/>
        </w:rPr>
        <w:t xml:space="preserve">summarised </w:t>
      </w:r>
      <w:r w:rsidRPr="005C3EC8">
        <w:rPr>
          <w:rFonts w:ascii="Calibri" w:hAnsi="Calibri"/>
        </w:rPr>
        <w:t>in this assessment. The International Secretariat team met with representatives from each group. Validation focuses on whether the EITI Requirements have been met and whether the broader objective of the requirements have been fulfilled. The International Secretariat has applied the Validation Guide and determined that Requirements 1.3 regarding civil society engagement and 1.4 regarding the multi-stakeholder group oversight are not met</w:t>
      </w:r>
      <w:r>
        <w:rPr>
          <w:rFonts w:ascii="Calibri" w:hAnsi="Calibri"/>
        </w:rPr>
        <w:t xml:space="preserve">. </w:t>
      </w:r>
      <w:r w:rsidRPr="005C3EC8">
        <w:rPr>
          <w:rFonts w:ascii="Calibri" w:hAnsi="Calibri"/>
        </w:rPr>
        <w:t>As of 1 July 2018, the civil society constituency was not “fully, actively and effectively engaged in the EITI process” (Requirement 1.3) and not adequately engaged in MSG oversight of EITI implementation (</w:t>
      </w:r>
      <w:r w:rsidRPr="00703C5B">
        <w:rPr>
          <w:rFonts w:ascii="Calibri" w:hAnsi="Calibri"/>
        </w:rPr>
        <w:t>Requirement 1.4). As a consequence, the broader objectives of the EITI have not been fulfilled.</w:t>
      </w:r>
    </w:p>
    <w:p w14:paraId="7422624B" w14:textId="77777777" w:rsidR="00703C5B" w:rsidRPr="00703C5B" w:rsidRDefault="00703C5B" w:rsidP="00AF4E01">
      <w:pPr>
        <w:jc w:val="both"/>
        <w:rPr>
          <w:rFonts w:ascii="Calibri" w:hAnsi="Calibri"/>
        </w:rPr>
      </w:pPr>
      <w:r w:rsidRPr="00703C5B">
        <w:rPr>
          <w:rFonts w:ascii="Calibri" w:hAnsi="Calibri"/>
        </w:rPr>
        <w:t xml:space="preserve">The International Secretariat does not consider these incidents to constitute a breach of the civil society protocol. There is no evidence of any legal, regulatory or practical barriers to civil society’s ability to engage in EITI, nor to their ability to freely operate, communicate and cooperate with the broader constituency. In the International Secretariat’s view, the government’s efforts to address the challenges regarding the representation of civil society organisations on the multi-stakeholder group were made in good faith. There is no evidence to suggest that the government has sought to influence or orchestrate civil society representation. Similarly, there is no evidence to suggest any coercion or threat of reprisal. </w:t>
      </w:r>
    </w:p>
    <w:p w14:paraId="6621DD84" w14:textId="77777777" w:rsidR="00703C5B" w:rsidRPr="005C3EC8" w:rsidRDefault="00703C5B" w:rsidP="00AF4E01">
      <w:pPr>
        <w:jc w:val="both"/>
        <w:rPr>
          <w:rFonts w:ascii="Calibri" w:hAnsi="Calibri"/>
        </w:rPr>
      </w:pPr>
      <w:r w:rsidRPr="00703C5B">
        <w:rPr>
          <w:rFonts w:ascii="Calibri" w:hAnsi="Calibri"/>
        </w:rPr>
        <w:t>All stakeholders consulted by the International Secretariat agree that it is for the civil society constituency to resolve the matter of their representation on the MSG. At the time of writing, there had been some constructive discussions about resolving the situation. The procedure adopted at the international level in seeking civil society representatives for the EITI International Board through an open and transparent selection process managed by an independent civil society advisory group (CSAG) with the support of an independent organization</w:t>
      </w:r>
      <w:r w:rsidRPr="005C3EC8">
        <w:rPr>
          <w:rFonts w:ascii="Calibri" w:hAnsi="Calibri"/>
        </w:rPr>
        <w:t xml:space="preserve"> (IO)</w:t>
      </w:r>
      <w:r w:rsidRPr="005C3EC8">
        <w:rPr>
          <w:rStyle w:val="FootnoteReference"/>
          <w:rFonts w:ascii="Calibri" w:hAnsi="Calibri"/>
        </w:rPr>
        <w:footnoteReference w:id="16"/>
      </w:r>
      <w:r w:rsidRPr="005C3EC8">
        <w:rPr>
          <w:rFonts w:ascii="Calibri" w:hAnsi="Calibri"/>
        </w:rPr>
        <w:t xml:space="preserve"> could be replicated at the national level. The civil society constituency could consider seeking government support in this regard. </w:t>
      </w:r>
    </w:p>
    <w:p w14:paraId="3C3BFDF9" w14:textId="77777777" w:rsidR="00703C5B" w:rsidRPr="005C3EC8" w:rsidRDefault="00703C5B" w:rsidP="00AF4E01">
      <w:pPr>
        <w:jc w:val="both"/>
        <w:rPr>
          <w:rFonts w:ascii="Calibri" w:hAnsi="Calibri"/>
        </w:rPr>
      </w:pPr>
      <w:r w:rsidRPr="005C3EC8">
        <w:rPr>
          <w:rFonts w:ascii="Calibri" w:hAnsi="Calibri"/>
        </w:rPr>
        <w:t>A reconstituted MSG, with the full, active and effective engagement of civil society would then be well placed to follow up the recommendations from this Validation. The corrective actions relating to disclosures are not onerous, and it should be possible to address these quickly. The work that commenced on EITI mainstreaming should be continued. More widely, the MSG should review the impact of the first five years of EITI implementation and explore the opportunities to further leverage the EITI platform to enrich public debate on the governance and stewardship of the UK's oil, gas and mineral resources.</w:t>
      </w:r>
    </w:p>
    <w:p w14:paraId="4B020169" w14:textId="77777777" w:rsidR="00DE717E" w:rsidRDefault="00DE717E" w:rsidP="00AA1BCE">
      <w:pPr>
        <w:spacing w:after="0" w:line="240" w:lineRule="auto"/>
        <w:rPr>
          <w:rFonts w:cstheme="minorHAnsi"/>
        </w:rPr>
      </w:pPr>
    </w:p>
    <w:p w14:paraId="5EEEA9ED" w14:textId="77777777" w:rsidR="00DE717E" w:rsidRDefault="00DE717E" w:rsidP="00AA1BCE">
      <w:pPr>
        <w:spacing w:after="0" w:line="240" w:lineRule="auto"/>
        <w:rPr>
          <w:rFonts w:cstheme="minorHAnsi"/>
        </w:rPr>
      </w:pPr>
    </w:p>
    <w:p w14:paraId="4730C240" w14:textId="75BD6D4A" w:rsidR="00056339" w:rsidRDefault="00C71C1F" w:rsidP="000608BE">
      <w:pPr>
        <w:rPr>
          <w:rFonts w:cstheme="minorHAnsi"/>
          <w:b/>
          <w:color w:val="365F91" w:themeColor="accent1" w:themeShade="BF"/>
        </w:rPr>
      </w:pPr>
      <w:r>
        <w:rPr>
          <w:rFonts w:cstheme="minorHAnsi"/>
          <w:color w:val="FF0000"/>
        </w:rPr>
        <w:br w:type="page"/>
      </w:r>
      <w:r w:rsidR="00CC23A6" w:rsidRPr="005625E1">
        <w:rPr>
          <w:rFonts w:cstheme="minorHAnsi"/>
          <w:b/>
          <w:color w:val="365F91" w:themeColor="accent1" w:themeShade="BF"/>
        </w:rPr>
        <w:lastRenderedPageBreak/>
        <w:t>T</w:t>
      </w:r>
      <w:r w:rsidR="00056339" w:rsidRPr="005625E1">
        <w:rPr>
          <w:rFonts w:cstheme="minorHAnsi"/>
          <w:b/>
          <w:color w:val="365F91" w:themeColor="accent1" w:themeShade="BF"/>
        </w:rPr>
        <w:t xml:space="preserve">he Independent Validator’s </w:t>
      </w:r>
      <w:r w:rsidR="002D2440" w:rsidRPr="005625E1">
        <w:rPr>
          <w:rFonts w:cstheme="minorHAnsi"/>
          <w:b/>
          <w:color w:val="365F91" w:themeColor="accent1" w:themeShade="BF"/>
        </w:rPr>
        <w:t xml:space="preserve">Assessment of Compliance </w:t>
      </w:r>
    </w:p>
    <w:p w14:paraId="6A711829" w14:textId="7E9CC165" w:rsidR="002D2440" w:rsidRPr="005625E1" w:rsidRDefault="002D2440" w:rsidP="00F12713">
      <w:pPr>
        <w:spacing w:after="0" w:line="240" w:lineRule="auto"/>
        <w:rPr>
          <w:rFonts w:eastAsia="Calibri" w:cstheme="minorHAnsi"/>
          <w:i/>
          <w:color w:val="365F91" w:themeColor="accent1" w:themeShade="BF"/>
        </w:rPr>
      </w:pPr>
      <w:r w:rsidRPr="005625E1">
        <w:rPr>
          <w:rFonts w:eastAsia="Calibri" w:cstheme="minorHAnsi"/>
          <w:i/>
          <w:color w:val="365F91" w:themeColor="accent1" w:themeShade="BF"/>
        </w:rPr>
        <w:t>Figure 1 – Validator’s assessment</w:t>
      </w:r>
    </w:p>
    <w:tbl>
      <w:tblPr>
        <w:tblW w:w="9067" w:type="dxa"/>
        <w:tblInd w:w="-15" w:type="dxa"/>
        <w:tblLayout w:type="fixed"/>
        <w:tblLook w:val="04A0" w:firstRow="1" w:lastRow="0" w:firstColumn="1" w:lastColumn="0" w:noHBand="0" w:noVBand="1"/>
      </w:tblPr>
      <w:tblGrid>
        <w:gridCol w:w="2127"/>
        <w:gridCol w:w="573"/>
        <w:gridCol w:w="940"/>
        <w:gridCol w:w="266"/>
        <w:gridCol w:w="2756"/>
        <w:gridCol w:w="491"/>
        <w:gridCol w:w="532"/>
        <w:gridCol w:w="491"/>
        <w:gridCol w:w="470"/>
        <w:gridCol w:w="421"/>
      </w:tblGrid>
      <w:tr w:rsidR="00F953DA" w:rsidRPr="005C3EC8" w14:paraId="62DC3228" w14:textId="77777777" w:rsidTr="006064F6">
        <w:trPr>
          <w:trHeight w:val="142"/>
        </w:trPr>
        <w:tc>
          <w:tcPr>
            <w:tcW w:w="6662" w:type="dxa"/>
            <w:gridSpan w:val="5"/>
            <w:tcBorders>
              <w:top w:val="single" w:sz="12" w:space="0" w:color="auto"/>
              <w:left w:val="single" w:sz="12" w:space="0" w:color="auto"/>
              <w:bottom w:val="single" w:sz="4" w:space="0" w:color="auto"/>
              <w:right w:val="single" w:sz="4" w:space="0" w:color="auto"/>
            </w:tcBorders>
            <w:shd w:val="clear" w:color="000000" w:fill="366092"/>
            <w:noWrap/>
            <w:vAlign w:val="bottom"/>
          </w:tcPr>
          <w:p w14:paraId="78CBCFD5" w14:textId="77777777" w:rsidR="00F953DA" w:rsidRPr="005C3EC8" w:rsidRDefault="00F953DA" w:rsidP="006064F6">
            <w:pPr>
              <w:spacing w:after="0" w:line="240" w:lineRule="auto"/>
              <w:rPr>
                <w:rFonts w:ascii="Calibri" w:hAnsi="Calibri" w:cs="Times New Roman"/>
                <w:b/>
                <w:bCs/>
                <w:color w:val="FFFFFF"/>
                <w:lang w:eastAsia="en-GB"/>
              </w:rPr>
            </w:pPr>
            <w:r w:rsidRPr="005C3EC8">
              <w:rPr>
                <w:rFonts w:ascii="Calibri" w:hAnsi="Calibri" w:cs="Times New Roman"/>
                <w:b/>
                <w:bCs/>
                <w:color w:val="FFFFFF"/>
                <w:lang w:eastAsia="en-GB"/>
              </w:rPr>
              <w:t>EITI Requirements</w:t>
            </w:r>
          </w:p>
        </w:tc>
        <w:tc>
          <w:tcPr>
            <w:tcW w:w="2405" w:type="dxa"/>
            <w:gridSpan w:val="5"/>
            <w:tcBorders>
              <w:top w:val="single" w:sz="12" w:space="0" w:color="auto"/>
              <w:left w:val="single" w:sz="4" w:space="0" w:color="auto"/>
              <w:bottom w:val="single" w:sz="4" w:space="0" w:color="auto"/>
              <w:right w:val="single" w:sz="12" w:space="0" w:color="auto"/>
            </w:tcBorders>
            <w:shd w:val="clear" w:color="000000" w:fill="366092"/>
            <w:vAlign w:val="center"/>
          </w:tcPr>
          <w:p w14:paraId="3DF10867" w14:textId="77777777" w:rsidR="00F953DA" w:rsidRPr="005C3EC8" w:rsidRDefault="00F953DA" w:rsidP="006064F6">
            <w:pPr>
              <w:spacing w:after="0" w:line="240" w:lineRule="auto"/>
              <w:jc w:val="center"/>
              <w:rPr>
                <w:rFonts w:ascii="Calibri" w:hAnsi="Calibri" w:cs="Times New Roman"/>
                <w:b/>
                <w:bCs/>
                <w:color w:val="FFFFFF"/>
                <w:lang w:eastAsia="en-GB"/>
              </w:rPr>
            </w:pPr>
            <w:r w:rsidRPr="005C3EC8">
              <w:rPr>
                <w:rFonts w:ascii="Calibri" w:hAnsi="Calibri" w:cs="Times New Roman"/>
                <w:b/>
                <w:bCs/>
                <w:color w:val="FFFFFF"/>
                <w:lang w:eastAsia="en-GB"/>
              </w:rPr>
              <w:t>LEVEL OF PROGRESS</w:t>
            </w:r>
          </w:p>
        </w:tc>
      </w:tr>
      <w:tr w:rsidR="00F953DA" w:rsidRPr="005C3EC8" w14:paraId="2F4D50FB" w14:textId="77777777" w:rsidTr="006064F6">
        <w:trPr>
          <w:trHeight w:val="1372"/>
        </w:trPr>
        <w:tc>
          <w:tcPr>
            <w:tcW w:w="2700" w:type="dxa"/>
            <w:gridSpan w:val="2"/>
            <w:tcBorders>
              <w:top w:val="single" w:sz="4" w:space="0" w:color="auto"/>
              <w:left w:val="single" w:sz="12" w:space="0" w:color="auto"/>
              <w:bottom w:val="nil"/>
              <w:right w:val="nil"/>
            </w:tcBorders>
            <w:shd w:val="clear" w:color="000000" w:fill="F2F2F2"/>
            <w:noWrap/>
            <w:vAlign w:val="bottom"/>
            <w:hideMark/>
          </w:tcPr>
          <w:p w14:paraId="347D0119"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940" w:type="dxa"/>
            <w:tcBorders>
              <w:top w:val="single" w:sz="4" w:space="0" w:color="auto"/>
              <w:left w:val="nil"/>
              <w:bottom w:val="nil"/>
              <w:right w:val="nil"/>
            </w:tcBorders>
            <w:shd w:val="clear" w:color="000000" w:fill="F2F2F2"/>
            <w:noWrap/>
            <w:vAlign w:val="bottom"/>
            <w:hideMark/>
          </w:tcPr>
          <w:p w14:paraId="3A9FEA62"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266" w:type="dxa"/>
            <w:tcBorders>
              <w:top w:val="single" w:sz="4" w:space="0" w:color="auto"/>
              <w:left w:val="nil"/>
              <w:bottom w:val="nil"/>
              <w:right w:val="nil"/>
            </w:tcBorders>
            <w:shd w:val="clear" w:color="000000" w:fill="F2F2F2"/>
            <w:noWrap/>
            <w:vAlign w:val="bottom"/>
            <w:hideMark/>
          </w:tcPr>
          <w:p w14:paraId="23EF8453"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2756" w:type="dxa"/>
            <w:tcBorders>
              <w:top w:val="single" w:sz="4" w:space="0" w:color="auto"/>
              <w:left w:val="nil"/>
              <w:bottom w:val="nil"/>
              <w:right w:val="single" w:sz="8" w:space="0" w:color="auto"/>
            </w:tcBorders>
            <w:shd w:val="clear" w:color="000000" w:fill="F2F2F2"/>
            <w:noWrap/>
            <w:vAlign w:val="center"/>
            <w:hideMark/>
          </w:tcPr>
          <w:p w14:paraId="36B42C02" w14:textId="77777777" w:rsidR="00F953DA" w:rsidRPr="005C3EC8" w:rsidRDefault="00F953DA" w:rsidP="006064F6">
            <w:pPr>
              <w:spacing w:after="0" w:line="240" w:lineRule="auto"/>
              <w:rPr>
                <w:rFonts w:ascii="Calibri" w:hAnsi="Calibri" w:cs="Times New Roman"/>
                <w:b/>
                <w:bCs/>
                <w:color w:val="FFFFFF"/>
                <w:lang w:eastAsia="en-GB"/>
              </w:rPr>
            </w:pPr>
            <w:r w:rsidRPr="005C3EC8">
              <w:rPr>
                <w:rFonts w:ascii="Calibri" w:hAnsi="Calibri" w:cs="Times New Roman"/>
                <w:b/>
                <w:bCs/>
                <w:color w:val="FFFFFF"/>
                <w:lang w:eastAsia="en-GB"/>
              </w:rPr>
              <w:t> </w:t>
            </w:r>
          </w:p>
        </w:tc>
        <w:tc>
          <w:tcPr>
            <w:tcW w:w="491" w:type="dxa"/>
            <w:tcBorders>
              <w:top w:val="single" w:sz="4" w:space="0" w:color="auto"/>
              <w:left w:val="single" w:sz="4" w:space="0" w:color="000000" w:themeColor="text1"/>
              <w:right w:val="single" w:sz="12" w:space="0" w:color="auto"/>
            </w:tcBorders>
            <w:shd w:val="clear" w:color="000000" w:fill="F2F2F2"/>
            <w:textDirection w:val="btLr"/>
          </w:tcPr>
          <w:p w14:paraId="390929FC" w14:textId="77777777" w:rsidR="00F953DA" w:rsidRPr="005C3EC8" w:rsidRDefault="00F953DA" w:rsidP="006064F6">
            <w:pPr>
              <w:spacing w:after="0" w:line="240" w:lineRule="auto"/>
              <w:rPr>
                <w:rFonts w:ascii="Calibri" w:hAnsi="Calibri" w:cs="Times New Roman"/>
                <w:bCs/>
                <w:color w:val="000000"/>
                <w:lang w:eastAsia="en-GB"/>
              </w:rPr>
            </w:pPr>
            <w:r w:rsidRPr="005C3EC8">
              <w:rPr>
                <w:rFonts w:ascii="Calibri" w:hAnsi="Calibri" w:cs="Times New Roman"/>
                <w:bCs/>
                <w:color w:val="000000"/>
                <w:lang w:eastAsia="en-GB"/>
              </w:rPr>
              <w:t xml:space="preserve">  No progress</w:t>
            </w:r>
          </w:p>
        </w:tc>
        <w:tc>
          <w:tcPr>
            <w:tcW w:w="532" w:type="dxa"/>
            <w:tcBorders>
              <w:top w:val="single" w:sz="4" w:space="0" w:color="auto"/>
              <w:left w:val="single" w:sz="4" w:space="0" w:color="000000" w:themeColor="text1"/>
              <w:right w:val="single" w:sz="12" w:space="0" w:color="auto"/>
            </w:tcBorders>
            <w:shd w:val="clear" w:color="000000" w:fill="F2F2F2"/>
            <w:textDirection w:val="btLr"/>
          </w:tcPr>
          <w:p w14:paraId="2F9C798C" w14:textId="77777777" w:rsidR="00F953DA" w:rsidRPr="005C3EC8" w:rsidRDefault="00F953DA" w:rsidP="006064F6">
            <w:pPr>
              <w:spacing w:after="0" w:line="240" w:lineRule="auto"/>
              <w:rPr>
                <w:rFonts w:ascii="Calibri" w:hAnsi="Calibri" w:cs="Times New Roman"/>
                <w:bCs/>
                <w:color w:val="000000"/>
                <w:lang w:eastAsia="en-GB"/>
              </w:rPr>
            </w:pPr>
            <w:r w:rsidRPr="005C3EC8">
              <w:rPr>
                <w:rFonts w:ascii="Calibri" w:hAnsi="Calibri" w:cs="Times New Roman"/>
                <w:bCs/>
                <w:color w:val="000000"/>
                <w:lang w:eastAsia="en-GB"/>
              </w:rPr>
              <w:t xml:space="preserve">  Inadequate</w:t>
            </w:r>
          </w:p>
        </w:tc>
        <w:tc>
          <w:tcPr>
            <w:tcW w:w="491" w:type="dxa"/>
            <w:tcBorders>
              <w:top w:val="single" w:sz="4" w:space="0" w:color="auto"/>
              <w:left w:val="single" w:sz="4" w:space="0" w:color="000000" w:themeColor="text1"/>
              <w:right w:val="single" w:sz="12" w:space="0" w:color="auto"/>
            </w:tcBorders>
            <w:shd w:val="clear" w:color="000000" w:fill="F2F2F2"/>
            <w:textDirection w:val="btLr"/>
          </w:tcPr>
          <w:p w14:paraId="20EFB0E6" w14:textId="77777777" w:rsidR="00F953DA" w:rsidRPr="005C3EC8" w:rsidRDefault="00F953DA" w:rsidP="006064F6">
            <w:pPr>
              <w:spacing w:after="0" w:line="240" w:lineRule="auto"/>
              <w:rPr>
                <w:rFonts w:ascii="Calibri" w:hAnsi="Calibri" w:cs="Times New Roman"/>
                <w:bCs/>
                <w:color w:val="000000"/>
                <w:lang w:eastAsia="en-GB"/>
              </w:rPr>
            </w:pPr>
            <w:r w:rsidRPr="005C3EC8">
              <w:rPr>
                <w:rFonts w:ascii="Calibri" w:hAnsi="Calibri" w:cs="Times New Roman"/>
                <w:bCs/>
                <w:color w:val="000000"/>
                <w:lang w:eastAsia="en-GB"/>
              </w:rPr>
              <w:t xml:space="preserve">  Meaningful</w:t>
            </w:r>
          </w:p>
        </w:tc>
        <w:tc>
          <w:tcPr>
            <w:tcW w:w="470" w:type="dxa"/>
            <w:tcBorders>
              <w:top w:val="single" w:sz="4" w:space="0" w:color="auto"/>
              <w:left w:val="single" w:sz="4" w:space="0" w:color="000000" w:themeColor="text1"/>
              <w:right w:val="single" w:sz="12" w:space="0" w:color="auto"/>
            </w:tcBorders>
            <w:shd w:val="clear" w:color="000000" w:fill="F2F2F2"/>
            <w:textDirection w:val="btLr"/>
          </w:tcPr>
          <w:p w14:paraId="26623482" w14:textId="77777777" w:rsidR="00F953DA" w:rsidRPr="005C3EC8" w:rsidRDefault="00F953DA" w:rsidP="006064F6">
            <w:pPr>
              <w:spacing w:after="0" w:line="240" w:lineRule="auto"/>
              <w:rPr>
                <w:rFonts w:ascii="Calibri" w:hAnsi="Calibri" w:cs="Times New Roman"/>
                <w:bCs/>
                <w:color w:val="000000"/>
                <w:lang w:eastAsia="en-GB"/>
              </w:rPr>
            </w:pPr>
            <w:r w:rsidRPr="005C3EC8">
              <w:rPr>
                <w:rFonts w:ascii="Calibri" w:hAnsi="Calibri" w:cs="Times New Roman"/>
                <w:bCs/>
                <w:color w:val="000000"/>
                <w:lang w:eastAsia="en-GB"/>
              </w:rPr>
              <w:t xml:space="preserve">  Satisfactory</w:t>
            </w:r>
          </w:p>
        </w:tc>
        <w:tc>
          <w:tcPr>
            <w:tcW w:w="421" w:type="dxa"/>
            <w:tcBorders>
              <w:top w:val="single" w:sz="4" w:space="0" w:color="auto"/>
              <w:left w:val="single" w:sz="4" w:space="0" w:color="000000" w:themeColor="text1"/>
              <w:right w:val="single" w:sz="12" w:space="0" w:color="auto"/>
            </w:tcBorders>
            <w:shd w:val="clear" w:color="000000" w:fill="F2F2F2"/>
            <w:textDirection w:val="btLr"/>
            <w:vAlign w:val="center"/>
          </w:tcPr>
          <w:p w14:paraId="2085279C" w14:textId="77777777" w:rsidR="00F953DA" w:rsidRPr="005C3EC8" w:rsidRDefault="00F953DA" w:rsidP="006064F6">
            <w:pPr>
              <w:spacing w:after="0" w:line="240" w:lineRule="auto"/>
              <w:rPr>
                <w:rFonts w:ascii="Calibri" w:hAnsi="Calibri" w:cs="Times New Roman"/>
                <w:bCs/>
                <w:color w:val="000000"/>
                <w:lang w:eastAsia="en-GB"/>
              </w:rPr>
            </w:pPr>
            <w:r w:rsidRPr="005C3EC8">
              <w:rPr>
                <w:rFonts w:ascii="Calibri" w:hAnsi="Calibri" w:cs="Times New Roman"/>
                <w:bCs/>
                <w:color w:val="000000"/>
                <w:lang w:eastAsia="en-GB"/>
              </w:rPr>
              <w:t xml:space="preserve">  Beyond</w:t>
            </w:r>
          </w:p>
        </w:tc>
      </w:tr>
      <w:tr w:rsidR="00F953DA" w:rsidRPr="005C3EC8" w14:paraId="27D02CC4" w14:textId="77777777" w:rsidTr="006064F6">
        <w:trPr>
          <w:trHeight w:val="306"/>
        </w:trPr>
        <w:tc>
          <w:tcPr>
            <w:tcW w:w="2127" w:type="dxa"/>
            <w:tcBorders>
              <w:left w:val="single" w:sz="12" w:space="0" w:color="auto"/>
              <w:bottom w:val="single" w:sz="12" w:space="0" w:color="000000" w:themeColor="text1"/>
            </w:tcBorders>
            <w:shd w:val="clear" w:color="000000" w:fill="F2F2F2"/>
            <w:noWrap/>
            <w:vAlign w:val="bottom"/>
            <w:hideMark/>
          </w:tcPr>
          <w:p w14:paraId="442887B2" w14:textId="77777777" w:rsidR="00F953DA" w:rsidRPr="005C3EC8" w:rsidRDefault="00F953DA" w:rsidP="006064F6">
            <w:pPr>
              <w:spacing w:after="0" w:line="240" w:lineRule="auto"/>
              <w:rPr>
                <w:rFonts w:ascii="Calibri" w:hAnsi="Calibri" w:cs="Times New Roman"/>
                <w:b/>
                <w:bCs/>
                <w:color w:val="000000"/>
                <w:lang w:eastAsia="en-GB"/>
              </w:rPr>
            </w:pPr>
            <w:r w:rsidRPr="005C3EC8">
              <w:rPr>
                <w:rFonts w:ascii="Calibri" w:hAnsi="Calibri" w:cs="Times New Roman"/>
                <w:b/>
                <w:bCs/>
                <w:color w:val="000000"/>
                <w:lang w:eastAsia="en-GB"/>
              </w:rPr>
              <w:t>Categories</w:t>
            </w:r>
          </w:p>
        </w:tc>
        <w:tc>
          <w:tcPr>
            <w:tcW w:w="4535" w:type="dxa"/>
            <w:gridSpan w:val="4"/>
            <w:tcBorders>
              <w:bottom w:val="single" w:sz="12" w:space="0" w:color="000000" w:themeColor="text1"/>
              <w:right w:val="single" w:sz="8" w:space="0" w:color="auto"/>
            </w:tcBorders>
            <w:shd w:val="clear" w:color="000000" w:fill="F2F2F2"/>
            <w:noWrap/>
            <w:vAlign w:val="center"/>
            <w:hideMark/>
          </w:tcPr>
          <w:p w14:paraId="61EAA1B0" w14:textId="77777777" w:rsidR="00F953DA" w:rsidRPr="005C3EC8" w:rsidRDefault="00F953DA" w:rsidP="006064F6">
            <w:pPr>
              <w:spacing w:after="0" w:line="240" w:lineRule="auto"/>
              <w:rPr>
                <w:rFonts w:ascii="Calibri" w:hAnsi="Calibri" w:cs="Times New Roman"/>
                <w:b/>
                <w:bCs/>
                <w:color w:val="000000"/>
                <w:lang w:eastAsia="en-GB"/>
              </w:rPr>
            </w:pPr>
            <w:r w:rsidRPr="005C3EC8">
              <w:rPr>
                <w:rFonts w:ascii="Calibri" w:hAnsi="Calibri" w:cs="Times New Roman"/>
                <w:b/>
                <w:bCs/>
                <w:color w:val="000000"/>
                <w:lang w:eastAsia="en-GB"/>
              </w:rPr>
              <w:t>Requirements</w:t>
            </w:r>
          </w:p>
        </w:tc>
        <w:tc>
          <w:tcPr>
            <w:tcW w:w="491" w:type="dxa"/>
            <w:tcBorders>
              <w:left w:val="single" w:sz="4" w:space="0" w:color="000000" w:themeColor="text1"/>
              <w:bottom w:val="single" w:sz="12" w:space="0" w:color="auto"/>
              <w:right w:val="single" w:sz="12" w:space="0" w:color="auto"/>
            </w:tcBorders>
            <w:shd w:val="clear" w:color="000000" w:fill="C00000"/>
          </w:tcPr>
          <w:p w14:paraId="0149B79B" w14:textId="77777777" w:rsidR="00F953DA" w:rsidRPr="005C3EC8" w:rsidRDefault="00F953DA" w:rsidP="006064F6">
            <w:pPr>
              <w:spacing w:after="0" w:line="240" w:lineRule="auto"/>
              <w:rPr>
                <w:rFonts w:ascii="Calibri" w:hAnsi="Calibri" w:cs="Times New Roman"/>
                <w:b/>
                <w:bCs/>
                <w:color w:val="C00000"/>
                <w:lang w:eastAsia="en-GB"/>
              </w:rPr>
            </w:pPr>
          </w:p>
        </w:tc>
        <w:tc>
          <w:tcPr>
            <w:tcW w:w="532" w:type="dxa"/>
            <w:tcBorders>
              <w:left w:val="single" w:sz="4" w:space="0" w:color="000000" w:themeColor="text1"/>
              <w:bottom w:val="single" w:sz="12" w:space="0" w:color="auto"/>
              <w:right w:val="single" w:sz="12" w:space="0" w:color="auto"/>
            </w:tcBorders>
            <w:shd w:val="clear" w:color="000000" w:fill="FAC636"/>
          </w:tcPr>
          <w:p w14:paraId="0415608C" w14:textId="77777777" w:rsidR="00F953DA" w:rsidRPr="005C3EC8" w:rsidRDefault="00F953DA" w:rsidP="006064F6">
            <w:pPr>
              <w:spacing w:after="0" w:line="240" w:lineRule="auto"/>
              <w:rPr>
                <w:rFonts w:ascii="Calibri" w:hAnsi="Calibri" w:cs="Times New Roman"/>
                <w:b/>
                <w:bCs/>
                <w:color w:val="C00000"/>
                <w:lang w:eastAsia="en-GB"/>
              </w:rPr>
            </w:pPr>
          </w:p>
        </w:tc>
        <w:tc>
          <w:tcPr>
            <w:tcW w:w="491" w:type="dxa"/>
            <w:tcBorders>
              <w:left w:val="single" w:sz="4" w:space="0" w:color="000000" w:themeColor="text1"/>
              <w:bottom w:val="single" w:sz="12" w:space="0" w:color="auto"/>
              <w:right w:val="single" w:sz="12" w:space="0" w:color="auto"/>
            </w:tcBorders>
            <w:shd w:val="clear" w:color="000000" w:fill="84AE44"/>
            <w:vAlign w:val="bottom"/>
          </w:tcPr>
          <w:p w14:paraId="432586EB" w14:textId="77777777" w:rsidR="00F953DA" w:rsidRPr="005C3EC8" w:rsidRDefault="00F953DA" w:rsidP="006064F6">
            <w:pPr>
              <w:spacing w:after="0" w:line="240" w:lineRule="auto"/>
              <w:rPr>
                <w:rFonts w:ascii="Calibri" w:hAnsi="Calibri" w:cs="Times New Roman"/>
                <w:b/>
                <w:bCs/>
                <w:color w:val="000000"/>
                <w:lang w:eastAsia="en-GB"/>
              </w:rPr>
            </w:pPr>
            <w:r w:rsidRPr="005C3EC8">
              <w:rPr>
                <w:rFonts w:ascii="Calibri" w:hAnsi="Calibri" w:cs="Times New Roman"/>
                <w:color w:val="000000"/>
                <w:lang w:eastAsia="en-GB"/>
              </w:rPr>
              <w:t> </w:t>
            </w:r>
          </w:p>
        </w:tc>
        <w:tc>
          <w:tcPr>
            <w:tcW w:w="470" w:type="dxa"/>
            <w:tcBorders>
              <w:left w:val="single" w:sz="4" w:space="0" w:color="000000" w:themeColor="text1"/>
              <w:bottom w:val="single" w:sz="12" w:space="0" w:color="auto"/>
              <w:right w:val="single" w:sz="12" w:space="0" w:color="auto"/>
            </w:tcBorders>
            <w:shd w:val="clear" w:color="000000" w:fill="2D8B2B"/>
            <w:vAlign w:val="bottom"/>
          </w:tcPr>
          <w:p w14:paraId="11B5C338" w14:textId="77777777" w:rsidR="00F953DA" w:rsidRPr="005C3EC8" w:rsidRDefault="00F953DA" w:rsidP="006064F6">
            <w:pPr>
              <w:spacing w:after="0" w:line="240" w:lineRule="auto"/>
              <w:rPr>
                <w:rFonts w:ascii="Calibri" w:hAnsi="Calibri" w:cs="Times New Roman"/>
                <w:b/>
                <w:bCs/>
                <w:color w:val="000000"/>
                <w:lang w:eastAsia="en-GB"/>
              </w:rPr>
            </w:pPr>
            <w:r w:rsidRPr="005C3EC8">
              <w:rPr>
                <w:rFonts w:ascii="Calibri" w:hAnsi="Calibri" w:cs="Times New Roman"/>
                <w:color w:val="000000"/>
                <w:lang w:eastAsia="en-GB"/>
              </w:rPr>
              <w:t> </w:t>
            </w:r>
          </w:p>
        </w:tc>
        <w:tc>
          <w:tcPr>
            <w:tcW w:w="421" w:type="dxa"/>
            <w:tcBorders>
              <w:left w:val="single" w:sz="4" w:space="0" w:color="000000" w:themeColor="text1"/>
              <w:bottom w:val="single" w:sz="12" w:space="0" w:color="auto"/>
              <w:right w:val="single" w:sz="12" w:space="0" w:color="auto"/>
            </w:tcBorders>
            <w:shd w:val="clear" w:color="000000" w:fill="0076AF"/>
            <w:vAlign w:val="center"/>
          </w:tcPr>
          <w:p w14:paraId="050EE768" w14:textId="77777777" w:rsidR="00F953DA" w:rsidRPr="005C3EC8" w:rsidRDefault="00F953DA" w:rsidP="006064F6">
            <w:pPr>
              <w:spacing w:after="0" w:line="240" w:lineRule="auto"/>
              <w:rPr>
                <w:rFonts w:ascii="Calibri" w:hAnsi="Calibri" w:cs="Times New Roman"/>
                <w:b/>
                <w:bCs/>
                <w:color w:val="000000"/>
                <w:lang w:eastAsia="en-GB"/>
              </w:rPr>
            </w:pPr>
            <w:r w:rsidRPr="005C3EC8">
              <w:rPr>
                <w:rFonts w:ascii="Calibri" w:hAnsi="Calibri" w:cs="Times New Roman"/>
                <w:color w:val="000000"/>
                <w:lang w:eastAsia="en-GB"/>
              </w:rPr>
              <w:t> </w:t>
            </w:r>
          </w:p>
        </w:tc>
      </w:tr>
      <w:tr w:rsidR="00F953DA" w:rsidRPr="005C3EC8" w14:paraId="05A5FF4F" w14:textId="77777777" w:rsidTr="006064F6">
        <w:trPr>
          <w:trHeight w:hRule="exact" w:val="284"/>
        </w:trPr>
        <w:tc>
          <w:tcPr>
            <w:tcW w:w="2127" w:type="dxa"/>
            <w:vMerge w:val="restart"/>
            <w:tcBorders>
              <w:top w:val="single" w:sz="12" w:space="0" w:color="000000" w:themeColor="text1"/>
              <w:left w:val="single" w:sz="12" w:space="0" w:color="auto"/>
              <w:bottom w:val="single" w:sz="8" w:space="0" w:color="000000"/>
              <w:right w:val="single" w:sz="2" w:space="0" w:color="A6A6A6" w:themeColor="background1" w:themeShade="A6"/>
            </w:tcBorders>
            <w:shd w:val="clear" w:color="000000" w:fill="BFBFBF"/>
            <w:noWrap/>
            <w:vAlign w:val="center"/>
            <w:hideMark/>
          </w:tcPr>
          <w:p w14:paraId="78522694" w14:textId="77777777" w:rsidR="00F953DA" w:rsidRPr="005C3EC8" w:rsidRDefault="00F953DA" w:rsidP="006064F6">
            <w:pPr>
              <w:spacing w:after="0" w:line="240" w:lineRule="auto"/>
              <w:rPr>
                <w:rFonts w:ascii="Calibri" w:hAnsi="Calibri" w:cs="Times New Roman"/>
                <w:b/>
                <w:bCs/>
                <w:color w:val="000000"/>
                <w:lang w:eastAsia="en-GB"/>
              </w:rPr>
            </w:pPr>
            <w:r w:rsidRPr="005C3EC8">
              <w:rPr>
                <w:rFonts w:ascii="Calibri" w:hAnsi="Calibri" w:cs="Times New Roman"/>
                <w:b/>
                <w:bCs/>
                <w:color w:val="000000"/>
                <w:lang w:eastAsia="en-GB"/>
              </w:rPr>
              <w:t>MSG oversight</w:t>
            </w:r>
          </w:p>
        </w:tc>
        <w:tc>
          <w:tcPr>
            <w:tcW w:w="4535" w:type="dxa"/>
            <w:gridSpan w:val="4"/>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bottom"/>
            <w:hideMark/>
          </w:tcPr>
          <w:p w14:paraId="029EF1A2"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Government engagement (#1.1)</w:t>
            </w:r>
          </w:p>
        </w:tc>
        <w:tc>
          <w:tcPr>
            <w:tcW w:w="491" w:type="dxa"/>
            <w:tcBorders>
              <w:top w:val="single" w:sz="12" w:space="0" w:color="auto"/>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6A87CB0" w14:textId="77777777" w:rsidR="00F953DA" w:rsidRPr="005C3EC8" w:rsidRDefault="00F953DA" w:rsidP="006064F6">
            <w:pPr>
              <w:spacing w:after="0" w:line="240" w:lineRule="auto"/>
              <w:rPr>
                <w:rFonts w:ascii="Calibri" w:hAnsi="Calibri" w:cs="Times New Roman"/>
                <w:color w:val="000000"/>
                <w:lang w:eastAsia="en-GB"/>
              </w:rPr>
            </w:pPr>
          </w:p>
        </w:tc>
        <w:tc>
          <w:tcPr>
            <w:tcW w:w="532" w:type="dxa"/>
            <w:tcBorders>
              <w:top w:val="single" w:sz="12" w:space="0" w:color="auto"/>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28C4458E"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12" w:space="0" w:color="auto"/>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0CAD2C5C"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12" w:space="0" w:color="auto"/>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2D8B2B"/>
            <w:noWrap/>
            <w:vAlign w:val="bottom"/>
            <w:hideMark/>
          </w:tcPr>
          <w:p w14:paraId="6A8B7BBE"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12" w:space="0" w:color="auto"/>
              <w:left w:val="single" w:sz="2" w:space="0" w:color="A6A6A6" w:themeColor="background1" w:themeShade="A6"/>
              <w:bottom w:val="single" w:sz="2" w:space="0" w:color="A6A6A6" w:themeColor="background1" w:themeShade="A6"/>
              <w:right w:val="single" w:sz="12" w:space="0" w:color="auto"/>
            </w:tcBorders>
            <w:shd w:val="clear" w:color="auto" w:fill="auto"/>
            <w:noWrap/>
            <w:vAlign w:val="bottom"/>
            <w:hideMark/>
          </w:tcPr>
          <w:p w14:paraId="04171C51"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F953DA" w:rsidRPr="005C3EC8" w14:paraId="77C96967" w14:textId="77777777" w:rsidTr="006064F6">
        <w:trPr>
          <w:trHeight w:hRule="exact" w:val="284"/>
        </w:trPr>
        <w:tc>
          <w:tcPr>
            <w:tcW w:w="2127" w:type="dxa"/>
            <w:vMerge/>
            <w:tcBorders>
              <w:top w:val="single" w:sz="8" w:space="0" w:color="auto"/>
              <w:left w:val="single" w:sz="12" w:space="0" w:color="auto"/>
              <w:bottom w:val="single" w:sz="8" w:space="0" w:color="000000"/>
              <w:right w:val="single" w:sz="2" w:space="0" w:color="A6A6A6" w:themeColor="background1" w:themeShade="A6"/>
            </w:tcBorders>
            <w:vAlign w:val="center"/>
            <w:hideMark/>
          </w:tcPr>
          <w:p w14:paraId="4C402FCC" w14:textId="77777777" w:rsidR="00F953DA" w:rsidRPr="005C3EC8" w:rsidRDefault="00F953DA" w:rsidP="006064F6">
            <w:pPr>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bottom"/>
            <w:hideMark/>
          </w:tcPr>
          <w:p w14:paraId="5576847E"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Industry engagement (#1.2)</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EC5B861" w14:textId="77777777" w:rsidR="00F953DA" w:rsidRPr="005C3EC8" w:rsidRDefault="00F953DA" w:rsidP="006064F6">
            <w:pPr>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423F3C93"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0F03BD5B"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2D8B2B"/>
            <w:noWrap/>
            <w:vAlign w:val="bottom"/>
            <w:hideMark/>
          </w:tcPr>
          <w:p w14:paraId="1D83F965"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clear" w:color="auto" w:fill="auto"/>
            <w:noWrap/>
            <w:vAlign w:val="bottom"/>
            <w:hideMark/>
          </w:tcPr>
          <w:p w14:paraId="6B03470B"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F953DA" w:rsidRPr="005C3EC8" w14:paraId="23600F9B" w14:textId="77777777" w:rsidTr="006064F6">
        <w:trPr>
          <w:trHeight w:hRule="exact" w:val="284"/>
        </w:trPr>
        <w:tc>
          <w:tcPr>
            <w:tcW w:w="2127" w:type="dxa"/>
            <w:vMerge/>
            <w:tcBorders>
              <w:top w:val="single" w:sz="8" w:space="0" w:color="auto"/>
              <w:left w:val="single" w:sz="12" w:space="0" w:color="auto"/>
              <w:bottom w:val="single" w:sz="8" w:space="0" w:color="000000"/>
              <w:right w:val="single" w:sz="2" w:space="0" w:color="A6A6A6" w:themeColor="background1" w:themeShade="A6"/>
            </w:tcBorders>
            <w:vAlign w:val="center"/>
            <w:hideMark/>
          </w:tcPr>
          <w:p w14:paraId="04DD90BA" w14:textId="77777777" w:rsidR="00F953DA" w:rsidRPr="005C3EC8" w:rsidRDefault="00F953DA" w:rsidP="006064F6">
            <w:pPr>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bottom"/>
            <w:hideMark/>
          </w:tcPr>
          <w:p w14:paraId="4305F03C"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Civil society engagement (#1.3)</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5DDFE45" w14:textId="77777777" w:rsidR="00F953DA" w:rsidRPr="005C3EC8" w:rsidRDefault="00F953DA" w:rsidP="006064F6">
            <w:pPr>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40707A0D" w14:textId="77777777" w:rsidR="00F953DA" w:rsidRPr="005C3EC8" w:rsidRDefault="00F953DA" w:rsidP="006064F6">
            <w:pPr>
              <w:spacing w:after="0" w:line="240" w:lineRule="auto"/>
              <w:rPr>
                <w:rFonts w:ascii="Calibri" w:hAnsi="Calibri" w:cs="Times New Roman"/>
                <w:color w:val="000000"/>
                <w:lang w:eastAsia="en-GB"/>
              </w:rPr>
            </w:pPr>
            <w:r w:rsidRPr="00E41796">
              <w:rPr>
                <w:rFonts w:cstheme="minorHAnsi"/>
                <w:noProof/>
                <w:lang w:val="en-US"/>
              </w:rPr>
              <mc:AlternateContent>
                <mc:Choice Requires="wps">
                  <w:drawing>
                    <wp:anchor distT="0" distB="0" distL="114300" distR="114300" simplePos="0" relativeHeight="251659264" behindDoc="0" locked="0" layoutInCell="1" allowOverlap="1" wp14:anchorId="0788D505" wp14:editId="2760E5D4">
                      <wp:simplePos x="0" y="0"/>
                      <wp:positionH relativeFrom="column">
                        <wp:posOffset>3810</wp:posOffset>
                      </wp:positionH>
                      <wp:positionV relativeFrom="paragraph">
                        <wp:posOffset>19050</wp:posOffset>
                      </wp:positionV>
                      <wp:extent cx="233680" cy="133985"/>
                      <wp:effectExtent l="0" t="0" r="0" b="0"/>
                      <wp:wrapNone/>
                      <wp:docPr id="2" name="Arrow: Left 5"/>
                      <wp:cNvGraphicFramePr/>
                      <a:graphic xmlns:a="http://schemas.openxmlformats.org/drawingml/2006/main">
                        <a:graphicData uri="http://schemas.microsoft.com/office/word/2010/wordprocessingShape">
                          <wps:wsp>
                            <wps:cNvSpPr/>
                            <wps:spPr>
                              <a:xfrm>
                                <a:off x="0" y="0"/>
                                <a:ext cx="233680" cy="133985"/>
                              </a:xfrm>
                              <a:prstGeom prst="leftArrow">
                                <a:avLst/>
                              </a:prstGeom>
                              <a:solidFill>
                                <a:srgbClr val="9BBB59"/>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57D27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5" o:spid="_x0000_s1026" type="#_x0000_t66" style="position:absolute;margin-left:.3pt;margin-top:1.5pt;width:18.4pt;height: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" adj="6192" fillcolor="#9bbb59" stroked="f"/>
                  </w:pict>
                </mc:Fallback>
              </mc:AlternateContent>
            </w: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84AE44"/>
            <w:noWrap/>
            <w:vAlign w:val="bottom"/>
            <w:hideMark/>
          </w:tcPr>
          <w:p w14:paraId="36072E86"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4C909070"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clear" w:color="auto" w:fill="auto"/>
            <w:noWrap/>
            <w:vAlign w:val="bottom"/>
            <w:hideMark/>
          </w:tcPr>
          <w:p w14:paraId="6101F6A5"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F953DA" w:rsidRPr="005C3EC8" w14:paraId="4857D6E4" w14:textId="77777777" w:rsidTr="006064F6">
        <w:trPr>
          <w:trHeight w:hRule="exact" w:val="284"/>
        </w:trPr>
        <w:tc>
          <w:tcPr>
            <w:tcW w:w="2127" w:type="dxa"/>
            <w:vMerge/>
            <w:tcBorders>
              <w:top w:val="single" w:sz="8" w:space="0" w:color="auto"/>
              <w:left w:val="single" w:sz="12" w:space="0" w:color="auto"/>
              <w:bottom w:val="single" w:sz="8" w:space="0" w:color="000000"/>
              <w:right w:val="single" w:sz="2" w:space="0" w:color="A6A6A6" w:themeColor="background1" w:themeShade="A6"/>
            </w:tcBorders>
            <w:vAlign w:val="center"/>
            <w:hideMark/>
          </w:tcPr>
          <w:p w14:paraId="374363DB" w14:textId="77777777" w:rsidR="00F953DA" w:rsidRPr="005C3EC8" w:rsidRDefault="00F953DA" w:rsidP="006064F6">
            <w:pPr>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bottom"/>
            <w:hideMark/>
          </w:tcPr>
          <w:p w14:paraId="2F5AAB64"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MSG governance (#1.4)</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46DE535" w14:textId="77777777" w:rsidR="00F953DA" w:rsidRPr="005C3EC8" w:rsidRDefault="00F953DA" w:rsidP="006064F6">
            <w:pPr>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46FEFFD7"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84AE44"/>
            <w:noWrap/>
            <w:vAlign w:val="bottom"/>
            <w:hideMark/>
          </w:tcPr>
          <w:p w14:paraId="3FA9AFED"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6BCEE240"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clear" w:color="auto" w:fill="auto"/>
            <w:noWrap/>
            <w:vAlign w:val="bottom"/>
            <w:hideMark/>
          </w:tcPr>
          <w:p w14:paraId="7ACA9234"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F953DA" w:rsidRPr="005C3EC8" w14:paraId="2AFDC667" w14:textId="77777777" w:rsidTr="006064F6">
        <w:trPr>
          <w:trHeight w:hRule="exact" w:val="284"/>
        </w:trPr>
        <w:tc>
          <w:tcPr>
            <w:tcW w:w="2127" w:type="dxa"/>
            <w:vMerge/>
            <w:tcBorders>
              <w:top w:val="single" w:sz="8" w:space="0" w:color="auto"/>
              <w:left w:val="single" w:sz="12" w:space="0" w:color="auto"/>
              <w:bottom w:val="single" w:sz="12" w:space="0" w:color="000000" w:themeColor="text1"/>
              <w:right w:val="single" w:sz="2" w:space="0" w:color="A6A6A6" w:themeColor="background1" w:themeShade="A6"/>
            </w:tcBorders>
            <w:vAlign w:val="center"/>
            <w:hideMark/>
          </w:tcPr>
          <w:p w14:paraId="6CDBC85C" w14:textId="77777777" w:rsidR="00F953DA" w:rsidRPr="005C3EC8" w:rsidRDefault="00F953DA" w:rsidP="006064F6">
            <w:pPr>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000000" w:fill="FFFFFF"/>
            <w:noWrap/>
            <w:vAlign w:val="bottom"/>
            <w:hideMark/>
          </w:tcPr>
          <w:p w14:paraId="46A261F7"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Work plan (#1.5)</w:t>
            </w:r>
          </w:p>
        </w:tc>
        <w:tc>
          <w:tcPr>
            <w:tcW w:w="491"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tcPr>
          <w:p w14:paraId="5E9513F9" w14:textId="77777777" w:rsidR="00F953DA" w:rsidRPr="005C3EC8" w:rsidRDefault="00F953DA" w:rsidP="006064F6">
            <w:pPr>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auto" w:fill="auto"/>
            <w:noWrap/>
            <w:vAlign w:val="bottom"/>
            <w:hideMark/>
          </w:tcPr>
          <w:p w14:paraId="182C3018"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auto" w:fill="auto"/>
            <w:noWrap/>
            <w:vAlign w:val="bottom"/>
            <w:hideMark/>
          </w:tcPr>
          <w:p w14:paraId="723DCD20"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auto" w:fill="2D8B2B"/>
            <w:noWrap/>
            <w:vAlign w:val="bottom"/>
            <w:hideMark/>
          </w:tcPr>
          <w:p w14:paraId="47F33E9C"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12" w:space="0" w:color="000000" w:themeColor="text1"/>
              <w:right w:val="single" w:sz="12" w:space="0" w:color="auto"/>
            </w:tcBorders>
            <w:shd w:val="clear" w:color="auto" w:fill="auto"/>
            <w:noWrap/>
            <w:vAlign w:val="bottom"/>
            <w:hideMark/>
          </w:tcPr>
          <w:p w14:paraId="59B5B56C"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F953DA" w:rsidRPr="005C3EC8" w14:paraId="049ABDA7" w14:textId="77777777" w:rsidTr="006064F6">
        <w:trPr>
          <w:trHeight w:hRule="exact" w:val="284"/>
        </w:trPr>
        <w:tc>
          <w:tcPr>
            <w:tcW w:w="2127" w:type="dxa"/>
            <w:vMerge w:val="restart"/>
            <w:tcBorders>
              <w:top w:val="single" w:sz="12" w:space="0" w:color="000000" w:themeColor="text1"/>
              <w:left w:val="single" w:sz="12" w:space="0" w:color="auto"/>
              <w:bottom w:val="single" w:sz="2" w:space="0" w:color="A6A6A6" w:themeColor="background1" w:themeShade="A6"/>
              <w:right w:val="single" w:sz="2" w:space="0" w:color="A6A6A6" w:themeColor="background1" w:themeShade="A6"/>
            </w:tcBorders>
            <w:shd w:val="clear" w:color="000000" w:fill="BFBFBF"/>
            <w:noWrap/>
            <w:vAlign w:val="center"/>
            <w:hideMark/>
          </w:tcPr>
          <w:p w14:paraId="64B132E9" w14:textId="77777777" w:rsidR="00F953DA" w:rsidRPr="005C3EC8" w:rsidRDefault="00F953DA" w:rsidP="006064F6">
            <w:pPr>
              <w:spacing w:after="0" w:line="240" w:lineRule="auto"/>
              <w:rPr>
                <w:rFonts w:ascii="Calibri" w:hAnsi="Calibri" w:cs="Times New Roman"/>
                <w:b/>
                <w:bCs/>
                <w:color w:val="000000"/>
                <w:lang w:eastAsia="en-GB"/>
              </w:rPr>
            </w:pPr>
            <w:r w:rsidRPr="005C3EC8">
              <w:rPr>
                <w:rFonts w:ascii="Calibri" w:hAnsi="Calibri" w:cs="Times New Roman"/>
                <w:b/>
                <w:bCs/>
                <w:color w:val="000000"/>
                <w:lang w:eastAsia="en-GB"/>
              </w:rPr>
              <w:t>Licenses and contracts</w:t>
            </w:r>
          </w:p>
        </w:tc>
        <w:tc>
          <w:tcPr>
            <w:tcW w:w="4535" w:type="dxa"/>
            <w:gridSpan w:val="4"/>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center"/>
            <w:hideMark/>
          </w:tcPr>
          <w:p w14:paraId="7CFAF825"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Legal framework (#2.1)</w:t>
            </w:r>
          </w:p>
        </w:tc>
        <w:tc>
          <w:tcPr>
            <w:tcW w:w="491"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tcPr>
          <w:p w14:paraId="430EAC09" w14:textId="77777777" w:rsidR="00F953DA" w:rsidRPr="005C3EC8" w:rsidRDefault="00F953DA" w:rsidP="006064F6">
            <w:pPr>
              <w:spacing w:after="0" w:line="240" w:lineRule="auto"/>
              <w:rPr>
                <w:rFonts w:ascii="Calibri" w:hAnsi="Calibri" w:cs="Times New Roman"/>
                <w:color w:val="000000"/>
                <w:lang w:eastAsia="en-GB"/>
              </w:rPr>
            </w:pPr>
          </w:p>
        </w:tc>
        <w:tc>
          <w:tcPr>
            <w:tcW w:w="532"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24EAB435"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5B100E0C"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11F7D66D"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12" w:space="0" w:color="000000" w:themeColor="text1"/>
              <w:left w:val="single" w:sz="2" w:space="0" w:color="A6A6A6" w:themeColor="background1" w:themeShade="A6"/>
              <w:bottom w:val="single" w:sz="2" w:space="0" w:color="A6A6A6" w:themeColor="background1" w:themeShade="A6"/>
              <w:right w:val="single" w:sz="12" w:space="0" w:color="auto"/>
            </w:tcBorders>
            <w:shd w:val="clear" w:color="auto" w:fill="0074AF"/>
            <w:noWrap/>
            <w:vAlign w:val="bottom"/>
            <w:hideMark/>
          </w:tcPr>
          <w:p w14:paraId="6BE9D4EF"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F953DA" w:rsidRPr="005C3EC8" w14:paraId="00101933" w14:textId="77777777" w:rsidTr="006064F6">
        <w:trPr>
          <w:trHeight w:hRule="exact" w:val="284"/>
        </w:trPr>
        <w:tc>
          <w:tcPr>
            <w:tcW w:w="2127" w:type="dxa"/>
            <w:vMerge/>
            <w:tcBorders>
              <w:top w:val="single" w:sz="2" w:space="0" w:color="A6A6A6" w:themeColor="background1" w:themeShade="A6"/>
              <w:left w:val="single" w:sz="12" w:space="0" w:color="auto"/>
              <w:bottom w:val="single" w:sz="2" w:space="0" w:color="A6A6A6" w:themeColor="background1" w:themeShade="A6"/>
              <w:right w:val="single" w:sz="2" w:space="0" w:color="A6A6A6" w:themeColor="background1" w:themeShade="A6"/>
            </w:tcBorders>
            <w:vAlign w:val="center"/>
            <w:hideMark/>
          </w:tcPr>
          <w:p w14:paraId="3F6A67A4" w14:textId="77777777" w:rsidR="00F953DA" w:rsidRPr="005C3EC8" w:rsidRDefault="00F953DA" w:rsidP="006064F6">
            <w:pPr>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center"/>
            <w:hideMark/>
          </w:tcPr>
          <w:p w14:paraId="7016CC5A"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License allocations (#2.2)</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5AA875E" w14:textId="77777777" w:rsidR="00F953DA" w:rsidRPr="005C3EC8" w:rsidRDefault="00F953DA" w:rsidP="006064F6">
            <w:pPr>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6A17DF90"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84AE44"/>
            <w:noWrap/>
            <w:vAlign w:val="bottom"/>
            <w:hideMark/>
          </w:tcPr>
          <w:p w14:paraId="30E87CEB"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620D0289"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clear" w:color="auto" w:fill="auto"/>
            <w:noWrap/>
            <w:vAlign w:val="bottom"/>
            <w:hideMark/>
          </w:tcPr>
          <w:p w14:paraId="28272055"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F953DA" w:rsidRPr="005C3EC8" w14:paraId="1F60CF99" w14:textId="77777777" w:rsidTr="006064F6">
        <w:trPr>
          <w:trHeight w:hRule="exact" w:val="284"/>
        </w:trPr>
        <w:tc>
          <w:tcPr>
            <w:tcW w:w="2127" w:type="dxa"/>
            <w:vMerge/>
            <w:tcBorders>
              <w:top w:val="single" w:sz="2" w:space="0" w:color="A6A6A6" w:themeColor="background1" w:themeShade="A6"/>
              <w:left w:val="single" w:sz="12" w:space="0" w:color="auto"/>
              <w:bottom w:val="single" w:sz="2" w:space="0" w:color="A6A6A6" w:themeColor="background1" w:themeShade="A6"/>
              <w:right w:val="single" w:sz="2" w:space="0" w:color="A6A6A6" w:themeColor="background1" w:themeShade="A6"/>
            </w:tcBorders>
            <w:vAlign w:val="center"/>
            <w:hideMark/>
          </w:tcPr>
          <w:p w14:paraId="04A37579" w14:textId="77777777" w:rsidR="00F953DA" w:rsidRPr="005C3EC8" w:rsidRDefault="00F953DA" w:rsidP="006064F6">
            <w:pPr>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center"/>
            <w:hideMark/>
          </w:tcPr>
          <w:p w14:paraId="0DDE626D"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License register (#2.3)</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772AAF6" w14:textId="77777777" w:rsidR="00F953DA" w:rsidRPr="005C3EC8" w:rsidRDefault="00F953DA" w:rsidP="006064F6">
            <w:pPr>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75156BF6" w14:textId="45801F8B"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84AE44"/>
            <w:noWrap/>
            <w:vAlign w:val="bottom"/>
            <w:hideMark/>
          </w:tcPr>
          <w:p w14:paraId="51DBA6C4"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72998458"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clear" w:color="auto" w:fill="auto"/>
            <w:noWrap/>
            <w:vAlign w:val="bottom"/>
            <w:hideMark/>
          </w:tcPr>
          <w:p w14:paraId="06770754"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F953DA" w:rsidRPr="005C3EC8" w14:paraId="51D74698" w14:textId="77777777" w:rsidTr="006064F6">
        <w:trPr>
          <w:trHeight w:hRule="exact" w:val="284"/>
        </w:trPr>
        <w:tc>
          <w:tcPr>
            <w:tcW w:w="2127" w:type="dxa"/>
            <w:vMerge/>
            <w:tcBorders>
              <w:top w:val="single" w:sz="2" w:space="0" w:color="A6A6A6" w:themeColor="background1" w:themeShade="A6"/>
              <w:left w:val="single" w:sz="12" w:space="0" w:color="auto"/>
              <w:bottom w:val="single" w:sz="2" w:space="0" w:color="A6A6A6" w:themeColor="background1" w:themeShade="A6"/>
              <w:right w:val="single" w:sz="2" w:space="0" w:color="A6A6A6" w:themeColor="background1" w:themeShade="A6"/>
            </w:tcBorders>
            <w:vAlign w:val="center"/>
            <w:hideMark/>
          </w:tcPr>
          <w:p w14:paraId="6008EF41" w14:textId="77777777" w:rsidR="00F953DA" w:rsidRPr="005C3EC8" w:rsidRDefault="00F953DA" w:rsidP="006064F6">
            <w:pPr>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center"/>
            <w:hideMark/>
          </w:tcPr>
          <w:p w14:paraId="51CF862D"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Policy on contract disclosure (#2.4)</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15B45F7" w14:textId="77777777" w:rsidR="00F953DA" w:rsidRPr="005C3EC8" w:rsidRDefault="00F953DA" w:rsidP="006064F6">
            <w:pPr>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4597D17F" w14:textId="5F46E5A5" w:rsidR="00F953DA" w:rsidRPr="005C3EC8" w:rsidRDefault="00E17BF2" w:rsidP="006064F6">
            <w:pPr>
              <w:spacing w:after="0" w:line="240" w:lineRule="auto"/>
              <w:rPr>
                <w:rFonts w:ascii="Calibri" w:hAnsi="Calibri" w:cs="Times New Roman"/>
                <w:color w:val="000000"/>
                <w:lang w:eastAsia="en-GB"/>
              </w:rPr>
            </w:pPr>
            <w:r w:rsidRPr="00E41796">
              <w:rPr>
                <w:rFonts w:cstheme="minorHAnsi"/>
                <w:noProof/>
                <w:lang w:val="en-US"/>
              </w:rPr>
              <mc:AlternateContent>
                <mc:Choice Requires="wps">
                  <w:drawing>
                    <wp:anchor distT="0" distB="0" distL="114300" distR="114300" simplePos="0" relativeHeight="251664384" behindDoc="0" locked="0" layoutInCell="1" allowOverlap="1" wp14:anchorId="1A595D3C" wp14:editId="0DA69B06">
                      <wp:simplePos x="0" y="0"/>
                      <wp:positionH relativeFrom="column">
                        <wp:posOffset>-19050</wp:posOffset>
                      </wp:positionH>
                      <wp:positionV relativeFrom="paragraph">
                        <wp:posOffset>34925</wp:posOffset>
                      </wp:positionV>
                      <wp:extent cx="233680" cy="133985"/>
                      <wp:effectExtent l="0" t="0" r="0" b="0"/>
                      <wp:wrapNone/>
                      <wp:docPr id="3" name="Arrow: Left 5"/>
                      <wp:cNvGraphicFramePr/>
                      <a:graphic xmlns:a="http://schemas.openxmlformats.org/drawingml/2006/main">
                        <a:graphicData uri="http://schemas.microsoft.com/office/word/2010/wordprocessingShape">
                          <wps:wsp>
                            <wps:cNvSpPr/>
                            <wps:spPr>
                              <a:xfrm>
                                <a:off x="0" y="0"/>
                                <a:ext cx="233680" cy="133985"/>
                              </a:xfrm>
                              <a:prstGeom prst="leftArrow">
                                <a:avLst/>
                              </a:prstGeom>
                              <a:solidFill>
                                <a:srgbClr val="9BBB59"/>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D32BD" id="Arrow: Left 5" o:spid="_x0000_s1026" type="#_x0000_t66" style="position:absolute;margin-left:-1.5pt;margin-top:2.75pt;width:18.4pt;height:1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" adj="6192" fillcolor="#9bbb59" stroked="f"/>
                  </w:pict>
                </mc:Fallback>
              </mc:AlternateContent>
            </w:r>
            <w:r w:rsidR="00F953DA"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6C4CDAE3"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2D8B2B"/>
            <w:noWrap/>
            <w:vAlign w:val="bottom"/>
            <w:hideMark/>
          </w:tcPr>
          <w:p w14:paraId="5B7629EE"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clear" w:color="auto" w:fill="auto"/>
            <w:noWrap/>
            <w:vAlign w:val="bottom"/>
            <w:hideMark/>
          </w:tcPr>
          <w:p w14:paraId="5F3365DA"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F953DA" w:rsidRPr="005C3EC8" w14:paraId="644EB967" w14:textId="77777777" w:rsidTr="006064F6">
        <w:trPr>
          <w:trHeight w:hRule="exact" w:val="284"/>
        </w:trPr>
        <w:tc>
          <w:tcPr>
            <w:tcW w:w="2127" w:type="dxa"/>
            <w:vMerge/>
            <w:tcBorders>
              <w:top w:val="single" w:sz="2" w:space="0" w:color="A6A6A6" w:themeColor="background1" w:themeShade="A6"/>
              <w:left w:val="single" w:sz="12" w:space="0" w:color="auto"/>
              <w:bottom w:val="single" w:sz="2" w:space="0" w:color="A6A6A6" w:themeColor="background1" w:themeShade="A6"/>
              <w:right w:val="single" w:sz="2" w:space="0" w:color="A6A6A6" w:themeColor="background1" w:themeShade="A6"/>
            </w:tcBorders>
            <w:vAlign w:val="center"/>
            <w:hideMark/>
          </w:tcPr>
          <w:p w14:paraId="4ABC0C5C" w14:textId="77777777" w:rsidR="00F953DA" w:rsidRPr="005C3EC8" w:rsidRDefault="00F953DA" w:rsidP="006064F6">
            <w:pPr>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center"/>
            <w:hideMark/>
          </w:tcPr>
          <w:p w14:paraId="2B3308C7"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Beneficial ownership (#2.5)</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D9D9D9"/>
          </w:tcPr>
          <w:p w14:paraId="5FE48E96" w14:textId="77777777" w:rsidR="00F953DA" w:rsidRPr="005C3EC8" w:rsidRDefault="00F953DA" w:rsidP="006064F6">
            <w:pPr>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D9D9D9"/>
            <w:noWrap/>
            <w:vAlign w:val="bottom"/>
            <w:hideMark/>
          </w:tcPr>
          <w:p w14:paraId="5E3EF798"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D9D9D9"/>
            <w:noWrap/>
            <w:vAlign w:val="bottom"/>
            <w:hideMark/>
          </w:tcPr>
          <w:p w14:paraId="30AD59A9"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D9D9D9"/>
            <w:noWrap/>
            <w:vAlign w:val="bottom"/>
            <w:hideMark/>
          </w:tcPr>
          <w:p w14:paraId="05558143"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clear" w:color="000000" w:fill="0074AF"/>
            <w:noWrap/>
            <w:vAlign w:val="bottom"/>
            <w:hideMark/>
          </w:tcPr>
          <w:p w14:paraId="3C4CAB27"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F953DA" w:rsidRPr="005C3EC8" w14:paraId="7159245D" w14:textId="77777777" w:rsidTr="006064F6">
        <w:trPr>
          <w:trHeight w:hRule="exact" w:val="284"/>
        </w:trPr>
        <w:tc>
          <w:tcPr>
            <w:tcW w:w="2127" w:type="dxa"/>
            <w:vMerge/>
            <w:tcBorders>
              <w:top w:val="single" w:sz="2" w:space="0" w:color="A6A6A6" w:themeColor="background1" w:themeShade="A6"/>
              <w:left w:val="single" w:sz="12" w:space="0" w:color="auto"/>
              <w:bottom w:val="single" w:sz="12" w:space="0" w:color="000000" w:themeColor="text1"/>
              <w:right w:val="single" w:sz="2" w:space="0" w:color="A6A6A6" w:themeColor="background1" w:themeShade="A6"/>
            </w:tcBorders>
            <w:vAlign w:val="center"/>
            <w:hideMark/>
          </w:tcPr>
          <w:p w14:paraId="3B2B9423" w14:textId="77777777" w:rsidR="00F953DA" w:rsidRPr="005C3EC8" w:rsidRDefault="00F953DA" w:rsidP="006064F6">
            <w:pPr>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000000" w:fill="FFFFFF"/>
            <w:noWrap/>
            <w:vAlign w:val="center"/>
            <w:hideMark/>
          </w:tcPr>
          <w:p w14:paraId="11DED5E3"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State participation (#2.6)</w:t>
            </w:r>
          </w:p>
        </w:tc>
        <w:tc>
          <w:tcPr>
            <w:tcW w:w="491"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diagStripe" w:color="auto" w:fill="000000"/>
          </w:tcPr>
          <w:p w14:paraId="2CC030C5" w14:textId="77777777" w:rsidR="00F953DA" w:rsidRPr="00F01239" w:rsidRDefault="00F953DA" w:rsidP="006064F6">
            <w:pPr>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diagStripe" w:color="auto" w:fill="FFFFFF" w:themeFill="background1"/>
            <w:noWrap/>
            <w:vAlign w:val="bottom"/>
            <w:hideMark/>
          </w:tcPr>
          <w:p w14:paraId="641BBE18"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diagStripe" w:color="auto" w:fill="FFFFFF" w:themeFill="background1"/>
            <w:noWrap/>
            <w:vAlign w:val="bottom"/>
            <w:hideMark/>
          </w:tcPr>
          <w:p w14:paraId="17589855"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diagStripe" w:color="auto" w:fill="FFFFFF" w:themeFill="background1"/>
            <w:noWrap/>
            <w:vAlign w:val="bottom"/>
            <w:hideMark/>
          </w:tcPr>
          <w:p w14:paraId="3CD8A0CA"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12" w:space="0" w:color="000000" w:themeColor="text1"/>
              <w:right w:val="single" w:sz="12" w:space="0" w:color="auto"/>
            </w:tcBorders>
            <w:shd w:val="diagStripe" w:color="auto" w:fill="FFFFFF" w:themeFill="background1"/>
            <w:noWrap/>
            <w:vAlign w:val="bottom"/>
            <w:hideMark/>
          </w:tcPr>
          <w:p w14:paraId="5D9D29CA"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F953DA" w:rsidRPr="005C3EC8" w14:paraId="02514305" w14:textId="77777777" w:rsidTr="006064F6">
        <w:trPr>
          <w:trHeight w:hRule="exact" w:val="284"/>
        </w:trPr>
        <w:tc>
          <w:tcPr>
            <w:tcW w:w="2127" w:type="dxa"/>
            <w:vMerge w:val="restart"/>
            <w:tcBorders>
              <w:top w:val="single" w:sz="12" w:space="0" w:color="000000" w:themeColor="text1"/>
              <w:left w:val="single" w:sz="12" w:space="0" w:color="auto"/>
              <w:bottom w:val="single" w:sz="2" w:space="0" w:color="A6A6A6" w:themeColor="background1" w:themeShade="A6"/>
              <w:right w:val="single" w:sz="2" w:space="0" w:color="A6A6A6" w:themeColor="background1" w:themeShade="A6"/>
            </w:tcBorders>
            <w:shd w:val="clear" w:color="000000" w:fill="BFBFBF"/>
            <w:noWrap/>
            <w:vAlign w:val="center"/>
            <w:hideMark/>
          </w:tcPr>
          <w:p w14:paraId="03D4F8E7" w14:textId="77777777" w:rsidR="00F953DA" w:rsidRPr="005C3EC8" w:rsidRDefault="00F953DA" w:rsidP="006064F6">
            <w:pPr>
              <w:spacing w:after="0" w:line="240" w:lineRule="auto"/>
              <w:rPr>
                <w:rFonts w:ascii="Calibri" w:hAnsi="Calibri" w:cs="Times New Roman"/>
                <w:b/>
                <w:bCs/>
                <w:color w:val="000000"/>
                <w:lang w:eastAsia="en-GB"/>
              </w:rPr>
            </w:pPr>
            <w:r w:rsidRPr="005C3EC8">
              <w:rPr>
                <w:rFonts w:ascii="Calibri" w:hAnsi="Calibri" w:cs="Times New Roman"/>
                <w:b/>
                <w:bCs/>
                <w:color w:val="000000"/>
                <w:lang w:eastAsia="en-GB"/>
              </w:rPr>
              <w:t>Monitoring production</w:t>
            </w:r>
          </w:p>
        </w:tc>
        <w:tc>
          <w:tcPr>
            <w:tcW w:w="4535" w:type="dxa"/>
            <w:gridSpan w:val="4"/>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center"/>
            <w:hideMark/>
          </w:tcPr>
          <w:p w14:paraId="1C5D65CD"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Exploration data (#3.1)</w:t>
            </w:r>
          </w:p>
        </w:tc>
        <w:tc>
          <w:tcPr>
            <w:tcW w:w="491"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6171F92" w14:textId="77777777" w:rsidR="00F953DA" w:rsidRPr="005C3EC8" w:rsidRDefault="00F953DA" w:rsidP="006064F6">
            <w:pPr>
              <w:spacing w:after="0" w:line="240" w:lineRule="auto"/>
              <w:rPr>
                <w:rFonts w:ascii="Calibri" w:hAnsi="Calibri" w:cs="Times New Roman"/>
                <w:color w:val="000000"/>
                <w:lang w:eastAsia="en-GB"/>
              </w:rPr>
            </w:pPr>
          </w:p>
        </w:tc>
        <w:tc>
          <w:tcPr>
            <w:tcW w:w="532"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noWrap/>
            <w:vAlign w:val="bottom"/>
            <w:hideMark/>
          </w:tcPr>
          <w:p w14:paraId="0023036D"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noWrap/>
            <w:vAlign w:val="bottom"/>
            <w:hideMark/>
          </w:tcPr>
          <w:p w14:paraId="5A4728D7"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76F69B71"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12" w:space="0" w:color="000000" w:themeColor="text1"/>
              <w:left w:val="single" w:sz="2" w:space="0" w:color="A6A6A6" w:themeColor="background1" w:themeShade="A6"/>
              <w:bottom w:val="single" w:sz="2" w:space="0" w:color="A6A6A6" w:themeColor="background1" w:themeShade="A6"/>
              <w:right w:val="single" w:sz="12" w:space="0" w:color="auto"/>
            </w:tcBorders>
            <w:shd w:val="clear" w:color="auto" w:fill="0074AF"/>
            <w:noWrap/>
            <w:vAlign w:val="bottom"/>
            <w:hideMark/>
          </w:tcPr>
          <w:p w14:paraId="6DB63662"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F953DA" w:rsidRPr="005C3EC8" w14:paraId="7F1F7C99" w14:textId="77777777" w:rsidTr="006064F6">
        <w:trPr>
          <w:trHeight w:hRule="exact" w:val="284"/>
        </w:trPr>
        <w:tc>
          <w:tcPr>
            <w:tcW w:w="2127" w:type="dxa"/>
            <w:vMerge/>
            <w:tcBorders>
              <w:top w:val="single" w:sz="2" w:space="0" w:color="A6A6A6" w:themeColor="background1" w:themeShade="A6"/>
              <w:left w:val="single" w:sz="12" w:space="0" w:color="auto"/>
              <w:bottom w:val="single" w:sz="2" w:space="0" w:color="A6A6A6" w:themeColor="background1" w:themeShade="A6"/>
              <w:right w:val="single" w:sz="2" w:space="0" w:color="A6A6A6" w:themeColor="background1" w:themeShade="A6"/>
            </w:tcBorders>
            <w:vAlign w:val="center"/>
            <w:hideMark/>
          </w:tcPr>
          <w:p w14:paraId="0284BC36" w14:textId="77777777" w:rsidR="00F953DA" w:rsidRPr="005C3EC8" w:rsidRDefault="00F953DA" w:rsidP="006064F6">
            <w:pPr>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center"/>
            <w:hideMark/>
          </w:tcPr>
          <w:p w14:paraId="3935093C"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Production data (#3.2)</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2B01450" w14:textId="77777777" w:rsidR="00F953DA" w:rsidRPr="005C3EC8" w:rsidRDefault="00F953DA" w:rsidP="006064F6">
            <w:pPr>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noWrap/>
            <w:vAlign w:val="bottom"/>
            <w:hideMark/>
          </w:tcPr>
          <w:p w14:paraId="78082B3C"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84AE44"/>
            <w:noWrap/>
            <w:vAlign w:val="bottom"/>
            <w:hideMark/>
          </w:tcPr>
          <w:p w14:paraId="6C6F8565"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noWrap/>
            <w:vAlign w:val="bottom"/>
            <w:hideMark/>
          </w:tcPr>
          <w:p w14:paraId="0D5D636A"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clear" w:color="auto" w:fill="FFFFFF" w:themeFill="background1"/>
            <w:noWrap/>
            <w:vAlign w:val="bottom"/>
            <w:hideMark/>
          </w:tcPr>
          <w:p w14:paraId="52BB8664"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F953DA" w:rsidRPr="005C3EC8" w14:paraId="472884F3" w14:textId="77777777" w:rsidTr="006064F6">
        <w:trPr>
          <w:trHeight w:hRule="exact" w:val="284"/>
        </w:trPr>
        <w:tc>
          <w:tcPr>
            <w:tcW w:w="2127" w:type="dxa"/>
            <w:vMerge/>
            <w:tcBorders>
              <w:top w:val="single" w:sz="2" w:space="0" w:color="A6A6A6" w:themeColor="background1" w:themeShade="A6"/>
              <w:left w:val="single" w:sz="12" w:space="0" w:color="auto"/>
              <w:bottom w:val="single" w:sz="12" w:space="0" w:color="000000" w:themeColor="text1"/>
              <w:right w:val="single" w:sz="2" w:space="0" w:color="A6A6A6" w:themeColor="background1" w:themeShade="A6"/>
            </w:tcBorders>
            <w:vAlign w:val="center"/>
            <w:hideMark/>
          </w:tcPr>
          <w:p w14:paraId="75FBE45A" w14:textId="77777777" w:rsidR="00F953DA" w:rsidRPr="005C3EC8" w:rsidRDefault="00F953DA" w:rsidP="006064F6">
            <w:pPr>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000000" w:fill="FFFFFF"/>
            <w:noWrap/>
            <w:vAlign w:val="center"/>
            <w:hideMark/>
          </w:tcPr>
          <w:p w14:paraId="5B744AC1"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Export data (#3.3)</w:t>
            </w:r>
          </w:p>
        </w:tc>
        <w:tc>
          <w:tcPr>
            <w:tcW w:w="491"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auto" w:fill="FFFFFF" w:themeFill="background1"/>
          </w:tcPr>
          <w:p w14:paraId="1764A3E9" w14:textId="77777777" w:rsidR="00F953DA" w:rsidRPr="005C3EC8" w:rsidRDefault="00F953DA" w:rsidP="006064F6">
            <w:pPr>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auto" w:fill="FFFFFF" w:themeFill="background1"/>
            <w:noWrap/>
            <w:vAlign w:val="bottom"/>
            <w:hideMark/>
          </w:tcPr>
          <w:p w14:paraId="0AF0D44D"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auto" w:fill="84AE44"/>
            <w:noWrap/>
            <w:vAlign w:val="bottom"/>
            <w:hideMark/>
          </w:tcPr>
          <w:p w14:paraId="540D395B"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auto" w:fill="FFFFFF" w:themeFill="background1"/>
            <w:noWrap/>
            <w:vAlign w:val="bottom"/>
            <w:hideMark/>
          </w:tcPr>
          <w:p w14:paraId="1A5E386B"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12" w:space="0" w:color="000000" w:themeColor="text1"/>
              <w:right w:val="single" w:sz="12" w:space="0" w:color="auto"/>
            </w:tcBorders>
            <w:shd w:val="clear" w:color="auto" w:fill="FFFFFF" w:themeFill="background1"/>
            <w:noWrap/>
            <w:vAlign w:val="bottom"/>
            <w:hideMark/>
          </w:tcPr>
          <w:p w14:paraId="2BA72AFA"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F953DA" w:rsidRPr="005C3EC8" w14:paraId="0472D999" w14:textId="77777777" w:rsidTr="006064F6">
        <w:trPr>
          <w:trHeight w:hRule="exact" w:val="284"/>
        </w:trPr>
        <w:tc>
          <w:tcPr>
            <w:tcW w:w="2127" w:type="dxa"/>
            <w:vMerge w:val="restart"/>
            <w:tcBorders>
              <w:top w:val="single" w:sz="12" w:space="0" w:color="000000" w:themeColor="text1"/>
              <w:left w:val="single" w:sz="12" w:space="0" w:color="auto"/>
              <w:bottom w:val="single" w:sz="2" w:space="0" w:color="A6A6A6" w:themeColor="background1" w:themeShade="A6"/>
              <w:right w:val="single" w:sz="2" w:space="0" w:color="A6A6A6" w:themeColor="background1" w:themeShade="A6"/>
            </w:tcBorders>
            <w:shd w:val="clear" w:color="000000" w:fill="BFBFBF"/>
            <w:noWrap/>
            <w:vAlign w:val="center"/>
            <w:hideMark/>
          </w:tcPr>
          <w:p w14:paraId="788126BB" w14:textId="77777777" w:rsidR="00F953DA" w:rsidRPr="005C3EC8" w:rsidRDefault="00F953DA" w:rsidP="006064F6">
            <w:pPr>
              <w:spacing w:after="0" w:line="240" w:lineRule="auto"/>
              <w:rPr>
                <w:rFonts w:ascii="Calibri" w:hAnsi="Calibri" w:cs="Times New Roman"/>
                <w:b/>
                <w:bCs/>
                <w:color w:val="000000"/>
                <w:lang w:eastAsia="en-GB"/>
              </w:rPr>
            </w:pPr>
            <w:r w:rsidRPr="005C3EC8">
              <w:rPr>
                <w:rFonts w:ascii="Calibri" w:hAnsi="Calibri" w:cs="Times New Roman"/>
                <w:b/>
                <w:bCs/>
                <w:color w:val="000000"/>
                <w:lang w:eastAsia="en-GB"/>
              </w:rPr>
              <w:t>Revenue collection</w:t>
            </w:r>
          </w:p>
        </w:tc>
        <w:tc>
          <w:tcPr>
            <w:tcW w:w="4535" w:type="dxa"/>
            <w:gridSpan w:val="4"/>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center"/>
            <w:hideMark/>
          </w:tcPr>
          <w:p w14:paraId="0DB7C694"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Comprehensiveness (#4.1)</w:t>
            </w:r>
          </w:p>
        </w:tc>
        <w:tc>
          <w:tcPr>
            <w:tcW w:w="491" w:type="dxa"/>
            <w:tcBorders>
              <w:top w:val="single" w:sz="12" w:space="0" w:color="000000" w:themeColor="text1"/>
              <w:left w:val="single" w:sz="2" w:space="0" w:color="A6A6A6" w:themeColor="background1" w:themeShade="A6"/>
              <w:right w:val="single" w:sz="2" w:space="0" w:color="A6A6A6" w:themeColor="background1" w:themeShade="A6"/>
            </w:tcBorders>
            <w:shd w:val="clear" w:color="auto" w:fill="FFFFFF" w:themeFill="background1"/>
          </w:tcPr>
          <w:p w14:paraId="5E49CBF1" w14:textId="77777777" w:rsidR="00F953DA" w:rsidRPr="005C3EC8" w:rsidRDefault="00F953DA" w:rsidP="006064F6">
            <w:pPr>
              <w:spacing w:after="0" w:line="240" w:lineRule="auto"/>
              <w:rPr>
                <w:rFonts w:ascii="Calibri" w:hAnsi="Calibri" w:cs="Times New Roman"/>
                <w:color w:val="000000"/>
                <w:lang w:eastAsia="en-GB"/>
              </w:rPr>
            </w:pPr>
          </w:p>
        </w:tc>
        <w:tc>
          <w:tcPr>
            <w:tcW w:w="532"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noWrap/>
            <w:vAlign w:val="bottom"/>
            <w:hideMark/>
          </w:tcPr>
          <w:p w14:paraId="5021D4E3"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3CF0D75D"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2D8B2B"/>
            <w:noWrap/>
            <w:vAlign w:val="bottom"/>
            <w:hideMark/>
          </w:tcPr>
          <w:p w14:paraId="7E82EEE3"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12" w:space="0" w:color="000000" w:themeColor="text1"/>
              <w:left w:val="single" w:sz="2" w:space="0" w:color="A6A6A6" w:themeColor="background1" w:themeShade="A6"/>
              <w:bottom w:val="single" w:sz="2" w:space="0" w:color="A6A6A6" w:themeColor="background1" w:themeShade="A6"/>
              <w:right w:val="single" w:sz="12" w:space="0" w:color="auto"/>
            </w:tcBorders>
            <w:shd w:val="clear" w:color="auto" w:fill="FFFFFF" w:themeFill="background1"/>
            <w:noWrap/>
            <w:vAlign w:val="bottom"/>
            <w:hideMark/>
          </w:tcPr>
          <w:p w14:paraId="00136E15"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F953DA" w:rsidRPr="005C3EC8" w14:paraId="053B8AE6" w14:textId="77777777" w:rsidTr="006064F6">
        <w:trPr>
          <w:trHeight w:hRule="exact" w:val="284"/>
        </w:trPr>
        <w:tc>
          <w:tcPr>
            <w:tcW w:w="2127" w:type="dxa"/>
            <w:vMerge/>
            <w:tcBorders>
              <w:top w:val="single" w:sz="2" w:space="0" w:color="A6A6A6" w:themeColor="background1" w:themeShade="A6"/>
              <w:left w:val="single" w:sz="12" w:space="0" w:color="auto"/>
              <w:bottom w:val="single" w:sz="2" w:space="0" w:color="A6A6A6" w:themeColor="background1" w:themeShade="A6"/>
              <w:right w:val="single" w:sz="2" w:space="0" w:color="A6A6A6" w:themeColor="background1" w:themeShade="A6"/>
            </w:tcBorders>
            <w:vAlign w:val="center"/>
            <w:hideMark/>
          </w:tcPr>
          <w:p w14:paraId="45127E60" w14:textId="77777777" w:rsidR="00F953DA" w:rsidRPr="005C3EC8" w:rsidRDefault="00F953DA" w:rsidP="006064F6">
            <w:pPr>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000000" w:fill="FFFFFF"/>
            <w:noWrap/>
            <w:vAlign w:val="center"/>
            <w:hideMark/>
          </w:tcPr>
          <w:p w14:paraId="71870E6B"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In-kind revenues (#4.2)</w:t>
            </w:r>
          </w:p>
        </w:tc>
        <w:tc>
          <w:tcPr>
            <w:tcW w:w="491" w:type="dxa"/>
            <w:tcBorders>
              <w:bottom w:val="single" w:sz="4" w:space="0" w:color="A6A6A6" w:themeColor="background1" w:themeShade="A6"/>
            </w:tcBorders>
            <w:shd w:val="diagStripe" w:color="D9D9D9" w:fill="000000"/>
          </w:tcPr>
          <w:p w14:paraId="65411BED" w14:textId="77777777" w:rsidR="00F953DA" w:rsidRPr="00C6193D" w:rsidRDefault="00F953DA" w:rsidP="006064F6">
            <w:pPr>
              <w:spacing w:after="0" w:line="240" w:lineRule="auto"/>
              <w:rPr>
                <w:rFonts w:ascii="Calibri" w:hAnsi="Calibri" w:cs="Times New Roman"/>
                <w:color w:val="000000"/>
                <w:highlight w:val="black"/>
                <w:lang w:eastAsia="en-GB"/>
              </w:rPr>
            </w:pPr>
          </w:p>
        </w:tc>
        <w:tc>
          <w:tcPr>
            <w:tcW w:w="532"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diagStripe" w:color="auto" w:fill="FFFFFF" w:themeFill="background1"/>
            <w:noWrap/>
            <w:vAlign w:val="bottom"/>
            <w:hideMark/>
          </w:tcPr>
          <w:p w14:paraId="0DD93316"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FFFFFF" w:themeFill="background1"/>
            <w:noWrap/>
            <w:vAlign w:val="bottom"/>
            <w:hideMark/>
          </w:tcPr>
          <w:p w14:paraId="60897A41"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FFFFFF" w:themeFill="background1"/>
            <w:noWrap/>
            <w:vAlign w:val="bottom"/>
            <w:hideMark/>
          </w:tcPr>
          <w:p w14:paraId="1523F059"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diagStripe" w:color="auto" w:fill="FFFFFF" w:themeFill="background1"/>
            <w:noWrap/>
            <w:vAlign w:val="bottom"/>
            <w:hideMark/>
          </w:tcPr>
          <w:p w14:paraId="1EC84CEB"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F953DA" w:rsidRPr="005C3EC8" w14:paraId="4EDEE2A9" w14:textId="77777777" w:rsidTr="006064F6">
        <w:trPr>
          <w:trHeight w:hRule="exact" w:val="284"/>
        </w:trPr>
        <w:tc>
          <w:tcPr>
            <w:tcW w:w="2127" w:type="dxa"/>
            <w:vMerge/>
            <w:tcBorders>
              <w:top w:val="single" w:sz="2" w:space="0" w:color="A6A6A6" w:themeColor="background1" w:themeShade="A6"/>
              <w:left w:val="single" w:sz="12" w:space="0" w:color="auto"/>
              <w:bottom w:val="single" w:sz="2" w:space="0" w:color="A6A6A6" w:themeColor="background1" w:themeShade="A6"/>
              <w:right w:val="single" w:sz="2" w:space="0" w:color="A6A6A6" w:themeColor="background1" w:themeShade="A6"/>
            </w:tcBorders>
            <w:vAlign w:val="center"/>
            <w:hideMark/>
          </w:tcPr>
          <w:p w14:paraId="584C3D85" w14:textId="77777777" w:rsidR="00F953DA" w:rsidRPr="005C3EC8" w:rsidRDefault="00F953DA" w:rsidP="006064F6">
            <w:pPr>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000000" w:fill="FFFFFF"/>
            <w:noWrap/>
            <w:vAlign w:val="center"/>
            <w:hideMark/>
          </w:tcPr>
          <w:p w14:paraId="7FE0F858"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Barter agreements (#4.3)</w:t>
            </w:r>
          </w:p>
        </w:tc>
        <w:tc>
          <w:tcPr>
            <w:tcW w:w="491" w:type="dxa"/>
            <w:tcBorders>
              <w:top w:val="single" w:sz="4" w:space="0" w:color="A6A6A6" w:themeColor="background1" w:themeShade="A6"/>
              <w:bottom w:val="single" w:sz="4" w:space="0" w:color="A6A6A6" w:themeColor="background1" w:themeShade="A6"/>
            </w:tcBorders>
            <w:shd w:val="diagStripe" w:color="D9D9D9" w:fill="000000"/>
          </w:tcPr>
          <w:p w14:paraId="74A450C9" w14:textId="77777777" w:rsidR="00F953DA" w:rsidRPr="005C3EC8" w:rsidRDefault="00F953DA" w:rsidP="006064F6">
            <w:pPr>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shd w:val="diagStripe" w:color="auto" w:fill="FFFFFF" w:themeFill="background1"/>
            <w:noWrap/>
            <w:vAlign w:val="bottom"/>
            <w:hideMark/>
          </w:tcPr>
          <w:p w14:paraId="5EBC22EF"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FFFFFF" w:themeFill="background1"/>
            <w:noWrap/>
            <w:vAlign w:val="bottom"/>
            <w:hideMark/>
          </w:tcPr>
          <w:p w14:paraId="729504A9"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FFFFFF" w:themeFill="background1"/>
            <w:noWrap/>
            <w:vAlign w:val="bottom"/>
            <w:hideMark/>
          </w:tcPr>
          <w:p w14:paraId="59E0BF6E"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diagStripe" w:color="auto" w:fill="FFFFFF" w:themeFill="background1"/>
            <w:noWrap/>
            <w:vAlign w:val="bottom"/>
            <w:hideMark/>
          </w:tcPr>
          <w:p w14:paraId="1E1CB881"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F953DA" w:rsidRPr="005C3EC8" w14:paraId="0FFE16E0" w14:textId="77777777" w:rsidTr="006064F6">
        <w:trPr>
          <w:trHeight w:hRule="exact" w:val="284"/>
        </w:trPr>
        <w:tc>
          <w:tcPr>
            <w:tcW w:w="2127" w:type="dxa"/>
            <w:vMerge/>
            <w:tcBorders>
              <w:top w:val="single" w:sz="2" w:space="0" w:color="A6A6A6" w:themeColor="background1" w:themeShade="A6"/>
              <w:left w:val="single" w:sz="12" w:space="0" w:color="auto"/>
              <w:bottom w:val="single" w:sz="2" w:space="0" w:color="A6A6A6" w:themeColor="background1" w:themeShade="A6"/>
              <w:right w:val="single" w:sz="2" w:space="0" w:color="A6A6A6" w:themeColor="background1" w:themeShade="A6"/>
            </w:tcBorders>
            <w:vAlign w:val="center"/>
            <w:hideMark/>
          </w:tcPr>
          <w:p w14:paraId="57AA5744" w14:textId="77777777" w:rsidR="00F953DA" w:rsidRPr="005C3EC8" w:rsidRDefault="00F953DA" w:rsidP="006064F6">
            <w:pPr>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center"/>
            <w:hideMark/>
          </w:tcPr>
          <w:p w14:paraId="3CE2BECB"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Transportation revenues (#4.4)</w:t>
            </w:r>
          </w:p>
        </w:tc>
        <w:tc>
          <w:tcPr>
            <w:tcW w:w="491" w:type="dxa"/>
            <w:tcBorders>
              <w:top w:val="single" w:sz="4"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FFFFFF" w:themeFill="background1"/>
          </w:tcPr>
          <w:p w14:paraId="61BE4B95" w14:textId="77777777" w:rsidR="00F953DA" w:rsidRPr="005C3EC8" w:rsidRDefault="00F953DA" w:rsidP="006064F6">
            <w:pPr>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FFFFFF" w:themeFill="background1"/>
            <w:noWrap/>
            <w:vAlign w:val="bottom"/>
            <w:hideMark/>
          </w:tcPr>
          <w:p w14:paraId="5C668B2A"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FFFFFF" w:themeFill="background1"/>
            <w:noWrap/>
            <w:vAlign w:val="center"/>
            <w:hideMark/>
          </w:tcPr>
          <w:p w14:paraId="64F5A3A5" w14:textId="77777777" w:rsidR="00F953DA" w:rsidRPr="005C3EC8" w:rsidRDefault="00F953DA" w:rsidP="006064F6">
            <w:pPr>
              <w:spacing w:after="0" w:line="240" w:lineRule="auto"/>
              <w:jc w:val="center"/>
              <w:rPr>
                <w:rFonts w:ascii="Calibri" w:hAnsi="Calibri" w:cs="Times New Roman"/>
                <w:color w:val="00B050"/>
                <w:lang w:eastAsia="en-GB"/>
              </w:rPr>
            </w:pPr>
            <w:r w:rsidRPr="005C3EC8">
              <w:rPr>
                <w:rFonts w:ascii="Calibri" w:hAnsi="Calibri" w:cs="Times New Roman"/>
                <w:color w:val="00B05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FFFFFF" w:themeFill="background1"/>
            <w:noWrap/>
            <w:vAlign w:val="center"/>
            <w:hideMark/>
          </w:tcPr>
          <w:p w14:paraId="3E93E588" w14:textId="77777777" w:rsidR="00F953DA" w:rsidRPr="005C3EC8" w:rsidRDefault="00F953DA" w:rsidP="006064F6">
            <w:pPr>
              <w:spacing w:after="0" w:line="240" w:lineRule="auto"/>
              <w:jc w:val="center"/>
              <w:rPr>
                <w:rFonts w:ascii="Calibri" w:hAnsi="Calibri" w:cs="Times New Roman"/>
                <w:color w:val="00B050"/>
                <w:lang w:eastAsia="en-GB"/>
              </w:rPr>
            </w:pPr>
            <w:r w:rsidRPr="005C3EC8">
              <w:rPr>
                <w:rFonts w:ascii="Calibri" w:hAnsi="Calibri" w:cs="Times New Roman"/>
                <w:color w:val="00B05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diagStripe" w:color="auto" w:fill="FFFFFF" w:themeFill="background1"/>
            <w:noWrap/>
            <w:vAlign w:val="center"/>
            <w:hideMark/>
          </w:tcPr>
          <w:p w14:paraId="4AD95E29" w14:textId="77777777" w:rsidR="00F953DA" w:rsidRPr="005C3EC8" w:rsidRDefault="00F953DA" w:rsidP="006064F6">
            <w:pPr>
              <w:spacing w:after="0" w:line="240" w:lineRule="auto"/>
              <w:jc w:val="center"/>
              <w:rPr>
                <w:rFonts w:ascii="Calibri" w:hAnsi="Calibri" w:cs="Times New Roman"/>
                <w:color w:val="00B050"/>
                <w:lang w:eastAsia="en-GB"/>
              </w:rPr>
            </w:pPr>
            <w:r w:rsidRPr="005C3EC8">
              <w:rPr>
                <w:rFonts w:ascii="Calibri" w:hAnsi="Calibri" w:cs="Times New Roman"/>
                <w:color w:val="00B050"/>
                <w:lang w:eastAsia="en-GB"/>
              </w:rPr>
              <w:t> </w:t>
            </w:r>
          </w:p>
        </w:tc>
      </w:tr>
      <w:tr w:rsidR="00F953DA" w:rsidRPr="005C3EC8" w14:paraId="5A186E0F" w14:textId="77777777" w:rsidTr="006064F6">
        <w:trPr>
          <w:trHeight w:hRule="exact" w:val="284"/>
        </w:trPr>
        <w:tc>
          <w:tcPr>
            <w:tcW w:w="2127" w:type="dxa"/>
            <w:vMerge/>
            <w:tcBorders>
              <w:top w:val="single" w:sz="2" w:space="0" w:color="A6A6A6" w:themeColor="background1" w:themeShade="A6"/>
              <w:left w:val="single" w:sz="12" w:space="0" w:color="auto"/>
              <w:bottom w:val="single" w:sz="2" w:space="0" w:color="A6A6A6" w:themeColor="background1" w:themeShade="A6"/>
              <w:right w:val="single" w:sz="2" w:space="0" w:color="A6A6A6" w:themeColor="background1" w:themeShade="A6"/>
            </w:tcBorders>
            <w:vAlign w:val="center"/>
            <w:hideMark/>
          </w:tcPr>
          <w:p w14:paraId="21C049E5" w14:textId="77777777" w:rsidR="00F953DA" w:rsidRPr="005C3EC8" w:rsidRDefault="00F953DA" w:rsidP="006064F6">
            <w:pPr>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center"/>
            <w:hideMark/>
          </w:tcPr>
          <w:p w14:paraId="68DFAAB5"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SOE transactions (#4.5)</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FFFFFF" w:themeFill="background1"/>
          </w:tcPr>
          <w:p w14:paraId="67A4DDC2" w14:textId="77777777" w:rsidR="00F953DA" w:rsidRPr="00AB5C3B" w:rsidRDefault="00F953DA" w:rsidP="006064F6">
            <w:pPr>
              <w:spacing w:after="0" w:line="240" w:lineRule="auto"/>
              <w:rPr>
                <w:rFonts w:ascii="Calibri" w:hAnsi="Calibri" w:cs="Times New Roman"/>
                <w:color w:val="000000"/>
                <w:highlight w:val="black"/>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FFFFFF" w:themeFill="background1"/>
            <w:noWrap/>
            <w:vAlign w:val="bottom"/>
            <w:hideMark/>
          </w:tcPr>
          <w:p w14:paraId="3ADC4CEB"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FFFFFF" w:themeFill="background1"/>
            <w:noWrap/>
            <w:vAlign w:val="center"/>
            <w:hideMark/>
          </w:tcPr>
          <w:p w14:paraId="307FAD5C" w14:textId="77777777" w:rsidR="00F953DA" w:rsidRPr="005C3EC8" w:rsidRDefault="00F953DA" w:rsidP="006064F6">
            <w:pPr>
              <w:spacing w:after="0" w:line="240" w:lineRule="auto"/>
              <w:jc w:val="center"/>
              <w:rPr>
                <w:rFonts w:ascii="Calibri" w:hAnsi="Calibri" w:cs="Times New Roman"/>
                <w:color w:val="00B050"/>
                <w:lang w:eastAsia="en-GB"/>
              </w:rPr>
            </w:pPr>
            <w:r w:rsidRPr="005C3EC8">
              <w:rPr>
                <w:rFonts w:ascii="Calibri" w:hAnsi="Calibri" w:cs="Times New Roman"/>
                <w:color w:val="00B05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FFFFFF" w:themeFill="background1"/>
            <w:noWrap/>
            <w:vAlign w:val="bottom"/>
            <w:hideMark/>
          </w:tcPr>
          <w:p w14:paraId="2D2A8208"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diagStripe" w:color="auto" w:fill="FFFFFF" w:themeFill="background1"/>
            <w:noWrap/>
            <w:vAlign w:val="bottom"/>
            <w:hideMark/>
          </w:tcPr>
          <w:p w14:paraId="52CB3E0E"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F953DA" w:rsidRPr="005C3EC8" w14:paraId="2E3DA0CB" w14:textId="77777777" w:rsidTr="006064F6">
        <w:trPr>
          <w:trHeight w:hRule="exact" w:val="284"/>
        </w:trPr>
        <w:tc>
          <w:tcPr>
            <w:tcW w:w="2127" w:type="dxa"/>
            <w:vMerge/>
            <w:tcBorders>
              <w:top w:val="single" w:sz="2" w:space="0" w:color="A6A6A6" w:themeColor="background1" w:themeShade="A6"/>
              <w:left w:val="single" w:sz="12" w:space="0" w:color="auto"/>
              <w:bottom w:val="single" w:sz="2" w:space="0" w:color="A6A6A6" w:themeColor="background1" w:themeShade="A6"/>
              <w:right w:val="single" w:sz="2" w:space="0" w:color="A6A6A6" w:themeColor="background1" w:themeShade="A6"/>
            </w:tcBorders>
            <w:vAlign w:val="center"/>
            <w:hideMark/>
          </w:tcPr>
          <w:p w14:paraId="76432085" w14:textId="77777777" w:rsidR="00F953DA" w:rsidRPr="005C3EC8" w:rsidRDefault="00F953DA" w:rsidP="006064F6">
            <w:pPr>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center"/>
            <w:hideMark/>
          </w:tcPr>
          <w:p w14:paraId="08437DD0"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Direct subnational payments (#4.6)</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auto"/>
          </w:tcPr>
          <w:p w14:paraId="203E52D5" w14:textId="77777777" w:rsidR="00F953DA" w:rsidRPr="005C3EC8" w:rsidRDefault="00F953DA" w:rsidP="006064F6">
            <w:pPr>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auto"/>
            <w:noWrap/>
            <w:vAlign w:val="bottom"/>
            <w:hideMark/>
          </w:tcPr>
          <w:p w14:paraId="11FC66AF"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auto"/>
            <w:noWrap/>
            <w:vAlign w:val="bottom"/>
            <w:hideMark/>
          </w:tcPr>
          <w:p w14:paraId="1AFC0EFC"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auto"/>
            <w:noWrap/>
            <w:vAlign w:val="bottom"/>
            <w:hideMark/>
          </w:tcPr>
          <w:p w14:paraId="52D790FE"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diagStripe" w:color="auto" w:fill="auto"/>
            <w:noWrap/>
            <w:vAlign w:val="bottom"/>
            <w:hideMark/>
          </w:tcPr>
          <w:p w14:paraId="32E24A00"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F953DA" w:rsidRPr="005C3EC8" w14:paraId="0360AB85" w14:textId="77777777" w:rsidTr="006064F6">
        <w:trPr>
          <w:trHeight w:hRule="exact" w:val="284"/>
        </w:trPr>
        <w:tc>
          <w:tcPr>
            <w:tcW w:w="2127" w:type="dxa"/>
            <w:vMerge/>
            <w:tcBorders>
              <w:top w:val="single" w:sz="2" w:space="0" w:color="A6A6A6" w:themeColor="background1" w:themeShade="A6"/>
              <w:left w:val="single" w:sz="12" w:space="0" w:color="auto"/>
              <w:bottom w:val="single" w:sz="2" w:space="0" w:color="A6A6A6" w:themeColor="background1" w:themeShade="A6"/>
              <w:right w:val="single" w:sz="2" w:space="0" w:color="A6A6A6" w:themeColor="background1" w:themeShade="A6"/>
            </w:tcBorders>
            <w:vAlign w:val="center"/>
            <w:hideMark/>
          </w:tcPr>
          <w:p w14:paraId="0D4E4778" w14:textId="77777777" w:rsidR="00F953DA" w:rsidRPr="005C3EC8" w:rsidRDefault="00F953DA" w:rsidP="006064F6">
            <w:pPr>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center"/>
            <w:hideMark/>
          </w:tcPr>
          <w:p w14:paraId="0F187128"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Disaggregation (#4.7)</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7B9C59A" w14:textId="77777777" w:rsidR="00F953DA" w:rsidRPr="005C3EC8" w:rsidRDefault="00F953DA" w:rsidP="006064F6">
            <w:pPr>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noWrap/>
            <w:vAlign w:val="bottom"/>
            <w:hideMark/>
          </w:tcPr>
          <w:p w14:paraId="6CDE7604"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2D6265D3"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2A8B2B"/>
            <w:noWrap/>
            <w:vAlign w:val="bottom"/>
            <w:hideMark/>
          </w:tcPr>
          <w:p w14:paraId="32E9188F"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clear" w:color="auto" w:fill="FFFFFF" w:themeFill="background1"/>
            <w:noWrap/>
            <w:vAlign w:val="bottom"/>
            <w:hideMark/>
          </w:tcPr>
          <w:p w14:paraId="335FF5AD"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F953DA" w:rsidRPr="005C3EC8" w14:paraId="12389F67" w14:textId="77777777" w:rsidTr="006064F6">
        <w:trPr>
          <w:trHeight w:hRule="exact" w:val="284"/>
        </w:trPr>
        <w:tc>
          <w:tcPr>
            <w:tcW w:w="2127" w:type="dxa"/>
            <w:vMerge/>
            <w:tcBorders>
              <w:top w:val="single" w:sz="2" w:space="0" w:color="A6A6A6" w:themeColor="background1" w:themeShade="A6"/>
              <w:left w:val="single" w:sz="12" w:space="0" w:color="auto"/>
              <w:bottom w:val="single" w:sz="2" w:space="0" w:color="A6A6A6" w:themeColor="background1" w:themeShade="A6"/>
              <w:right w:val="single" w:sz="2" w:space="0" w:color="A6A6A6" w:themeColor="background1" w:themeShade="A6"/>
            </w:tcBorders>
            <w:vAlign w:val="center"/>
            <w:hideMark/>
          </w:tcPr>
          <w:p w14:paraId="2EA0AD3D" w14:textId="77777777" w:rsidR="00F953DA" w:rsidRPr="005C3EC8" w:rsidRDefault="00F953DA" w:rsidP="006064F6">
            <w:pPr>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noWrap/>
            <w:vAlign w:val="center"/>
            <w:hideMark/>
          </w:tcPr>
          <w:p w14:paraId="6522BF2C"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Data timeliness (#4.8)</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10CD5CD" w14:textId="77777777" w:rsidR="00F953DA" w:rsidRPr="005C3EC8" w:rsidRDefault="00F953DA" w:rsidP="006064F6">
            <w:pPr>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noWrap/>
            <w:vAlign w:val="bottom"/>
            <w:hideMark/>
          </w:tcPr>
          <w:p w14:paraId="6472D2A4"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noWrap/>
            <w:vAlign w:val="bottom"/>
            <w:hideMark/>
          </w:tcPr>
          <w:p w14:paraId="2407CE20"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2A8B2B"/>
            <w:noWrap/>
            <w:vAlign w:val="bottom"/>
            <w:hideMark/>
          </w:tcPr>
          <w:p w14:paraId="5A7B59D2"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clear" w:color="auto" w:fill="FFFFFF" w:themeFill="background1"/>
            <w:noWrap/>
            <w:vAlign w:val="bottom"/>
            <w:hideMark/>
          </w:tcPr>
          <w:p w14:paraId="4931AFF8"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F953DA" w:rsidRPr="005C3EC8" w14:paraId="3C5A31C7" w14:textId="77777777" w:rsidTr="006064F6">
        <w:trPr>
          <w:trHeight w:hRule="exact" w:val="284"/>
        </w:trPr>
        <w:tc>
          <w:tcPr>
            <w:tcW w:w="2127" w:type="dxa"/>
            <w:vMerge/>
            <w:tcBorders>
              <w:top w:val="single" w:sz="2" w:space="0" w:color="A6A6A6" w:themeColor="background1" w:themeShade="A6"/>
              <w:left w:val="single" w:sz="12" w:space="0" w:color="auto"/>
              <w:bottom w:val="single" w:sz="12" w:space="0" w:color="000000" w:themeColor="text1"/>
              <w:right w:val="single" w:sz="2" w:space="0" w:color="A6A6A6" w:themeColor="background1" w:themeShade="A6"/>
            </w:tcBorders>
            <w:vAlign w:val="center"/>
            <w:hideMark/>
          </w:tcPr>
          <w:p w14:paraId="2147F1E2" w14:textId="77777777" w:rsidR="00F953DA" w:rsidRPr="005C3EC8" w:rsidRDefault="00F953DA" w:rsidP="006064F6">
            <w:pPr>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000000" w:fill="FFFFFF"/>
            <w:noWrap/>
            <w:vAlign w:val="center"/>
            <w:hideMark/>
          </w:tcPr>
          <w:p w14:paraId="60173F2B"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Data quality (#4.9)</w:t>
            </w:r>
          </w:p>
        </w:tc>
        <w:tc>
          <w:tcPr>
            <w:tcW w:w="491"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auto" w:fill="FFFFFF" w:themeFill="background1"/>
          </w:tcPr>
          <w:p w14:paraId="76DF4D2D" w14:textId="77777777" w:rsidR="00F953DA" w:rsidRPr="005C3EC8" w:rsidRDefault="00F953DA" w:rsidP="006064F6">
            <w:pPr>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auto" w:fill="FFFFFF" w:themeFill="background1"/>
            <w:noWrap/>
            <w:vAlign w:val="bottom"/>
            <w:hideMark/>
          </w:tcPr>
          <w:p w14:paraId="6FA0C183"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auto" w:fill="FFFFFF" w:themeFill="background1"/>
            <w:noWrap/>
            <w:vAlign w:val="bottom"/>
            <w:hideMark/>
          </w:tcPr>
          <w:p w14:paraId="052CBCB3"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auto" w:fill="2D8B2B"/>
            <w:noWrap/>
            <w:vAlign w:val="bottom"/>
            <w:hideMark/>
          </w:tcPr>
          <w:p w14:paraId="204FC71E"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12" w:space="0" w:color="000000" w:themeColor="text1"/>
              <w:right w:val="single" w:sz="12" w:space="0" w:color="auto"/>
            </w:tcBorders>
            <w:shd w:val="clear" w:color="auto" w:fill="FFFFFF" w:themeFill="background1"/>
            <w:noWrap/>
            <w:vAlign w:val="bottom"/>
            <w:hideMark/>
          </w:tcPr>
          <w:p w14:paraId="2F968432"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F953DA" w:rsidRPr="005C3EC8" w14:paraId="17B27ECC" w14:textId="77777777" w:rsidTr="006064F6">
        <w:trPr>
          <w:trHeight w:hRule="exact" w:val="284"/>
        </w:trPr>
        <w:tc>
          <w:tcPr>
            <w:tcW w:w="2127" w:type="dxa"/>
            <w:vMerge w:val="restart"/>
            <w:tcBorders>
              <w:top w:val="single" w:sz="12" w:space="0" w:color="000000" w:themeColor="text1"/>
              <w:left w:val="single" w:sz="12" w:space="0" w:color="auto"/>
              <w:bottom w:val="single" w:sz="2" w:space="0" w:color="A6A6A6" w:themeColor="background1" w:themeShade="A6"/>
              <w:right w:val="single" w:sz="2" w:space="0" w:color="A6A6A6" w:themeColor="background1" w:themeShade="A6"/>
            </w:tcBorders>
            <w:shd w:val="clear" w:color="000000" w:fill="BFBFBF"/>
            <w:vAlign w:val="center"/>
            <w:hideMark/>
          </w:tcPr>
          <w:p w14:paraId="6B34814C" w14:textId="77777777" w:rsidR="00F953DA" w:rsidRPr="005C3EC8" w:rsidRDefault="00F953DA" w:rsidP="006064F6">
            <w:pPr>
              <w:spacing w:after="0" w:line="240" w:lineRule="auto"/>
              <w:rPr>
                <w:rFonts w:ascii="Calibri" w:hAnsi="Calibri" w:cs="Times New Roman"/>
                <w:b/>
                <w:bCs/>
                <w:color w:val="000000"/>
                <w:lang w:eastAsia="en-GB"/>
              </w:rPr>
            </w:pPr>
            <w:r w:rsidRPr="005C3EC8">
              <w:rPr>
                <w:rFonts w:ascii="Calibri" w:hAnsi="Calibri" w:cs="Times New Roman"/>
                <w:b/>
                <w:bCs/>
                <w:color w:val="000000"/>
                <w:lang w:eastAsia="en-GB"/>
              </w:rPr>
              <w:t>Revenue allocation</w:t>
            </w:r>
          </w:p>
        </w:tc>
        <w:tc>
          <w:tcPr>
            <w:tcW w:w="4535" w:type="dxa"/>
            <w:gridSpan w:val="4"/>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vAlign w:val="center"/>
            <w:hideMark/>
          </w:tcPr>
          <w:p w14:paraId="585130ED"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Distribution of revenues (#5.1)</w:t>
            </w:r>
          </w:p>
        </w:tc>
        <w:tc>
          <w:tcPr>
            <w:tcW w:w="491"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tcPr>
          <w:p w14:paraId="3DCED8BA" w14:textId="77777777" w:rsidR="00F953DA" w:rsidRPr="005C3EC8" w:rsidRDefault="00F953DA" w:rsidP="006064F6">
            <w:pPr>
              <w:spacing w:after="0" w:line="240" w:lineRule="auto"/>
              <w:rPr>
                <w:rFonts w:ascii="Calibri" w:hAnsi="Calibri" w:cs="Times New Roman"/>
                <w:color w:val="000000"/>
                <w:lang w:eastAsia="en-GB"/>
              </w:rPr>
            </w:pPr>
          </w:p>
        </w:tc>
        <w:tc>
          <w:tcPr>
            <w:tcW w:w="532"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435D2F3D" w14:textId="78350CE0"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68E9FE91"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2D8B2B"/>
            <w:noWrap/>
            <w:vAlign w:val="bottom"/>
            <w:hideMark/>
          </w:tcPr>
          <w:p w14:paraId="73D7DE7C"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12" w:space="0" w:color="000000" w:themeColor="text1"/>
              <w:left w:val="single" w:sz="2" w:space="0" w:color="A6A6A6" w:themeColor="background1" w:themeShade="A6"/>
              <w:bottom w:val="single" w:sz="2" w:space="0" w:color="A6A6A6" w:themeColor="background1" w:themeShade="A6"/>
              <w:right w:val="single" w:sz="12" w:space="0" w:color="auto"/>
            </w:tcBorders>
            <w:shd w:val="clear" w:color="auto" w:fill="auto"/>
            <w:noWrap/>
            <w:vAlign w:val="bottom"/>
            <w:hideMark/>
          </w:tcPr>
          <w:p w14:paraId="3B7F24C5"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F953DA" w:rsidRPr="005C3EC8" w14:paraId="14F58A1A" w14:textId="77777777" w:rsidTr="006064F6">
        <w:trPr>
          <w:trHeight w:hRule="exact" w:val="284"/>
        </w:trPr>
        <w:tc>
          <w:tcPr>
            <w:tcW w:w="2127" w:type="dxa"/>
            <w:vMerge/>
            <w:tcBorders>
              <w:top w:val="single" w:sz="2" w:space="0" w:color="A6A6A6" w:themeColor="background1" w:themeShade="A6"/>
              <w:left w:val="single" w:sz="12" w:space="0" w:color="auto"/>
              <w:bottom w:val="single" w:sz="2" w:space="0" w:color="A6A6A6" w:themeColor="background1" w:themeShade="A6"/>
              <w:right w:val="single" w:sz="2" w:space="0" w:color="A6A6A6" w:themeColor="background1" w:themeShade="A6"/>
            </w:tcBorders>
            <w:vAlign w:val="center"/>
            <w:hideMark/>
          </w:tcPr>
          <w:p w14:paraId="35B71ACC" w14:textId="77777777" w:rsidR="00F953DA" w:rsidRPr="005C3EC8" w:rsidRDefault="00F953DA" w:rsidP="006064F6">
            <w:pPr>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vAlign w:val="center"/>
            <w:hideMark/>
          </w:tcPr>
          <w:p w14:paraId="4C8BD0E9"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Subnational transfers (#5.2)</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ADA5B74" w14:textId="77777777" w:rsidR="00F953DA" w:rsidRPr="005C3EC8" w:rsidRDefault="00F953DA" w:rsidP="006064F6">
            <w:pPr>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15F33EB2" w14:textId="04308774"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auto"/>
            <w:noWrap/>
            <w:vAlign w:val="bottom"/>
            <w:hideMark/>
          </w:tcPr>
          <w:p w14:paraId="2FB8E611" w14:textId="34BF8C79"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2D8B2B"/>
            <w:noWrap/>
            <w:vAlign w:val="bottom"/>
            <w:hideMark/>
          </w:tcPr>
          <w:p w14:paraId="635EE4E1"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clear" w:color="auto" w:fill="auto"/>
            <w:noWrap/>
            <w:vAlign w:val="bottom"/>
            <w:hideMark/>
          </w:tcPr>
          <w:p w14:paraId="4A7F6940"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F953DA" w:rsidRPr="005C3EC8" w14:paraId="1010F13D" w14:textId="77777777" w:rsidTr="006064F6">
        <w:trPr>
          <w:trHeight w:hRule="exact" w:val="284"/>
        </w:trPr>
        <w:tc>
          <w:tcPr>
            <w:tcW w:w="2127" w:type="dxa"/>
            <w:vMerge/>
            <w:tcBorders>
              <w:top w:val="single" w:sz="2" w:space="0" w:color="A6A6A6" w:themeColor="background1" w:themeShade="A6"/>
              <w:left w:val="single" w:sz="12" w:space="0" w:color="auto"/>
              <w:bottom w:val="single" w:sz="12" w:space="0" w:color="000000" w:themeColor="text1"/>
              <w:right w:val="single" w:sz="2" w:space="0" w:color="A6A6A6" w:themeColor="background1" w:themeShade="A6"/>
            </w:tcBorders>
            <w:vAlign w:val="center"/>
            <w:hideMark/>
          </w:tcPr>
          <w:p w14:paraId="2ABFD6B9" w14:textId="77777777" w:rsidR="00F953DA" w:rsidRPr="005C3EC8" w:rsidRDefault="00F953DA" w:rsidP="006064F6">
            <w:pPr>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000000" w:fill="FFFFFF"/>
            <w:vAlign w:val="center"/>
            <w:hideMark/>
          </w:tcPr>
          <w:p w14:paraId="1C9D316E"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Revenue management and expenditures (#5.3)</w:t>
            </w:r>
          </w:p>
        </w:tc>
        <w:tc>
          <w:tcPr>
            <w:tcW w:w="491"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000000" w:fill="D9D9D9"/>
          </w:tcPr>
          <w:p w14:paraId="557E019B" w14:textId="77777777" w:rsidR="00F953DA" w:rsidRPr="005C3EC8" w:rsidRDefault="00F953DA" w:rsidP="006064F6">
            <w:pPr>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000000" w:fill="D9D9D9"/>
            <w:noWrap/>
            <w:vAlign w:val="bottom"/>
            <w:hideMark/>
          </w:tcPr>
          <w:p w14:paraId="5E107D6F"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000000" w:fill="D9D9D9"/>
            <w:noWrap/>
            <w:vAlign w:val="bottom"/>
            <w:hideMark/>
          </w:tcPr>
          <w:p w14:paraId="39A8FB45"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12" w:space="0" w:color="000000" w:themeColor="text1"/>
              <w:right w:val="single" w:sz="2" w:space="0" w:color="A6A6A6" w:themeColor="background1" w:themeShade="A6"/>
            </w:tcBorders>
            <w:shd w:val="clear" w:color="000000" w:fill="D9D9D9"/>
            <w:noWrap/>
            <w:vAlign w:val="bottom"/>
            <w:hideMark/>
          </w:tcPr>
          <w:p w14:paraId="22BC47C8"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12" w:space="0" w:color="000000" w:themeColor="text1"/>
              <w:right w:val="single" w:sz="12" w:space="0" w:color="auto"/>
            </w:tcBorders>
            <w:shd w:val="clear" w:color="000000" w:fill="D9D9D9"/>
            <w:noWrap/>
            <w:vAlign w:val="bottom"/>
            <w:hideMark/>
          </w:tcPr>
          <w:p w14:paraId="2C1A8299"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F953DA" w:rsidRPr="005C3EC8" w14:paraId="303AD402" w14:textId="77777777" w:rsidTr="006064F6">
        <w:trPr>
          <w:trHeight w:hRule="exact" w:val="284"/>
        </w:trPr>
        <w:tc>
          <w:tcPr>
            <w:tcW w:w="2127" w:type="dxa"/>
            <w:vMerge w:val="restart"/>
            <w:tcBorders>
              <w:top w:val="single" w:sz="12" w:space="0" w:color="000000" w:themeColor="text1"/>
              <w:left w:val="single" w:sz="12" w:space="0" w:color="auto"/>
              <w:bottom w:val="single" w:sz="2" w:space="0" w:color="A6A6A6" w:themeColor="background1" w:themeShade="A6"/>
              <w:right w:val="single" w:sz="2" w:space="0" w:color="A6A6A6" w:themeColor="background1" w:themeShade="A6"/>
            </w:tcBorders>
            <w:shd w:val="clear" w:color="000000" w:fill="BFBFBF"/>
            <w:vAlign w:val="center"/>
            <w:hideMark/>
          </w:tcPr>
          <w:p w14:paraId="750379D6" w14:textId="77777777" w:rsidR="00F953DA" w:rsidRPr="005C3EC8" w:rsidRDefault="00F953DA" w:rsidP="006064F6">
            <w:pPr>
              <w:spacing w:after="0" w:line="240" w:lineRule="auto"/>
              <w:rPr>
                <w:rFonts w:ascii="Calibri" w:hAnsi="Calibri" w:cs="Times New Roman"/>
                <w:b/>
                <w:bCs/>
                <w:color w:val="000000"/>
                <w:lang w:eastAsia="en-GB"/>
              </w:rPr>
            </w:pPr>
            <w:r w:rsidRPr="005C3EC8">
              <w:rPr>
                <w:rFonts w:ascii="Calibri" w:hAnsi="Calibri" w:cs="Times New Roman"/>
                <w:b/>
                <w:bCs/>
                <w:color w:val="000000"/>
                <w:lang w:eastAsia="en-GB"/>
              </w:rPr>
              <w:t>Socio-economic contribution</w:t>
            </w:r>
          </w:p>
        </w:tc>
        <w:tc>
          <w:tcPr>
            <w:tcW w:w="4535" w:type="dxa"/>
            <w:gridSpan w:val="4"/>
            <w:tcBorders>
              <w:top w:val="single" w:sz="12" w:space="0" w:color="000000" w:themeColor="text1"/>
              <w:left w:val="single" w:sz="2" w:space="0" w:color="A6A6A6" w:themeColor="background1" w:themeShade="A6"/>
              <w:right w:val="single" w:sz="2" w:space="0" w:color="A6A6A6" w:themeColor="background1" w:themeShade="A6"/>
            </w:tcBorders>
            <w:shd w:val="clear" w:color="000000" w:fill="FFFFFF"/>
            <w:vAlign w:val="center"/>
            <w:hideMark/>
          </w:tcPr>
          <w:p w14:paraId="21660E4A"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Mandatory social expenditures (#6.1)</w:t>
            </w:r>
          </w:p>
        </w:tc>
        <w:tc>
          <w:tcPr>
            <w:tcW w:w="491"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tcPr>
          <w:p w14:paraId="633EF6FC" w14:textId="77777777" w:rsidR="00F953DA" w:rsidRPr="005C3EC8" w:rsidRDefault="00F953DA" w:rsidP="006064F6">
            <w:pPr>
              <w:spacing w:after="0" w:line="240" w:lineRule="auto"/>
              <w:rPr>
                <w:rFonts w:ascii="Calibri" w:hAnsi="Calibri" w:cs="Times New Roman"/>
                <w:color w:val="000000"/>
                <w:lang w:eastAsia="en-GB"/>
              </w:rPr>
            </w:pPr>
          </w:p>
        </w:tc>
        <w:tc>
          <w:tcPr>
            <w:tcW w:w="532"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0196140B" w14:textId="77777777" w:rsidR="00F953DA" w:rsidRPr="005C3EC8" w:rsidRDefault="00F953DA" w:rsidP="006064F6">
            <w:pPr>
              <w:spacing w:after="0"/>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84AE44"/>
            <w:noWrap/>
            <w:vAlign w:val="bottom"/>
            <w:hideMark/>
          </w:tcPr>
          <w:p w14:paraId="758B8C16" w14:textId="77777777" w:rsidR="00F953DA" w:rsidRPr="005C3EC8" w:rsidRDefault="00F953DA" w:rsidP="006064F6">
            <w:pPr>
              <w:spacing w:after="0"/>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12"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058A1AA3" w14:textId="77777777" w:rsidR="00F953DA" w:rsidRPr="005C3EC8" w:rsidRDefault="00F953DA" w:rsidP="006064F6">
            <w:pPr>
              <w:spacing w:after="0" w:line="240" w:lineRule="auto"/>
              <w:rPr>
                <w:rFonts w:ascii="Calibri" w:hAnsi="Calibri" w:cs="Times New Roman"/>
                <w:color w:val="000000"/>
                <w:lang w:eastAsia="en-GB"/>
              </w:rPr>
            </w:pPr>
          </w:p>
        </w:tc>
        <w:tc>
          <w:tcPr>
            <w:tcW w:w="421" w:type="dxa"/>
            <w:tcBorders>
              <w:top w:val="single" w:sz="12" w:space="0" w:color="000000" w:themeColor="text1"/>
              <w:left w:val="single" w:sz="2" w:space="0" w:color="A6A6A6" w:themeColor="background1" w:themeShade="A6"/>
              <w:bottom w:val="single" w:sz="2" w:space="0" w:color="A6A6A6" w:themeColor="background1" w:themeShade="A6"/>
              <w:right w:val="single" w:sz="12" w:space="0" w:color="auto"/>
            </w:tcBorders>
            <w:shd w:val="clear" w:color="auto" w:fill="auto"/>
            <w:noWrap/>
            <w:vAlign w:val="bottom"/>
            <w:hideMark/>
          </w:tcPr>
          <w:p w14:paraId="1E2C9AC9" w14:textId="77777777" w:rsidR="00F953DA" w:rsidRPr="005C3EC8" w:rsidRDefault="00F953DA" w:rsidP="006064F6">
            <w:pPr>
              <w:spacing w:after="0" w:line="240" w:lineRule="auto"/>
              <w:rPr>
                <w:rFonts w:ascii="Calibri" w:hAnsi="Calibri" w:cs="Times New Roman"/>
                <w:color w:val="000000"/>
                <w:lang w:eastAsia="en-GB"/>
              </w:rPr>
            </w:pPr>
          </w:p>
        </w:tc>
      </w:tr>
      <w:tr w:rsidR="00F953DA" w:rsidRPr="005C3EC8" w14:paraId="3D105085" w14:textId="77777777" w:rsidTr="006064F6">
        <w:trPr>
          <w:trHeight w:hRule="exact" w:val="284"/>
        </w:trPr>
        <w:tc>
          <w:tcPr>
            <w:tcW w:w="2127" w:type="dxa"/>
            <w:vMerge/>
            <w:tcBorders>
              <w:top w:val="single" w:sz="2" w:space="0" w:color="A6A6A6" w:themeColor="background1" w:themeShade="A6"/>
              <w:left w:val="single" w:sz="12" w:space="0" w:color="auto"/>
              <w:bottom w:val="single" w:sz="2" w:space="0" w:color="A6A6A6" w:themeColor="background1" w:themeShade="A6"/>
              <w:right w:val="single" w:sz="2" w:space="0" w:color="A6A6A6" w:themeColor="background1" w:themeShade="A6"/>
            </w:tcBorders>
            <w:vAlign w:val="center"/>
            <w:hideMark/>
          </w:tcPr>
          <w:p w14:paraId="5BE41309" w14:textId="77777777" w:rsidR="00F953DA" w:rsidRPr="005C3EC8" w:rsidRDefault="00F953DA" w:rsidP="006064F6">
            <w:pPr>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FFFFFF"/>
            <w:vAlign w:val="center"/>
            <w:hideMark/>
          </w:tcPr>
          <w:p w14:paraId="57BB36F4"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SOE quasi-fiscal expenditures (#6.2)</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auto"/>
          </w:tcPr>
          <w:p w14:paraId="4438240E" w14:textId="77777777" w:rsidR="00F953DA" w:rsidRPr="005C3EC8" w:rsidRDefault="00F953DA" w:rsidP="006064F6">
            <w:pPr>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auto"/>
            <w:noWrap/>
            <w:vAlign w:val="bottom"/>
            <w:hideMark/>
          </w:tcPr>
          <w:p w14:paraId="38CBF8C4"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auto"/>
            <w:noWrap/>
            <w:vAlign w:val="bottom"/>
            <w:hideMark/>
          </w:tcPr>
          <w:p w14:paraId="04133C37"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diagStripe" w:color="auto" w:fill="auto"/>
            <w:noWrap/>
            <w:vAlign w:val="bottom"/>
            <w:hideMark/>
          </w:tcPr>
          <w:p w14:paraId="70F9C89E"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diagStripe" w:color="auto" w:fill="auto"/>
            <w:noWrap/>
            <w:vAlign w:val="bottom"/>
            <w:hideMark/>
          </w:tcPr>
          <w:p w14:paraId="39924FE8"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F953DA" w:rsidRPr="005C3EC8" w14:paraId="2E6A5AAE" w14:textId="77777777" w:rsidTr="006064F6">
        <w:trPr>
          <w:trHeight w:hRule="exact" w:val="284"/>
        </w:trPr>
        <w:tc>
          <w:tcPr>
            <w:tcW w:w="2127" w:type="dxa"/>
            <w:vMerge/>
            <w:tcBorders>
              <w:top w:val="single" w:sz="2" w:space="0" w:color="A6A6A6" w:themeColor="background1" w:themeShade="A6"/>
              <w:left w:val="single" w:sz="12" w:space="0" w:color="auto"/>
              <w:bottom w:val="single" w:sz="12" w:space="0" w:color="auto"/>
              <w:right w:val="single" w:sz="2" w:space="0" w:color="A6A6A6" w:themeColor="background1" w:themeShade="A6"/>
            </w:tcBorders>
            <w:vAlign w:val="center"/>
            <w:hideMark/>
          </w:tcPr>
          <w:p w14:paraId="35EDE4F8" w14:textId="77777777" w:rsidR="00F953DA" w:rsidRPr="005C3EC8" w:rsidRDefault="00F953DA" w:rsidP="006064F6">
            <w:pPr>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12" w:space="0" w:color="auto"/>
              <w:right w:val="single" w:sz="2" w:space="0" w:color="A6A6A6" w:themeColor="background1" w:themeShade="A6"/>
            </w:tcBorders>
            <w:shd w:val="clear" w:color="000000" w:fill="FFFFFF"/>
            <w:vAlign w:val="center"/>
            <w:hideMark/>
          </w:tcPr>
          <w:p w14:paraId="0275D218"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Economic contribution (#6.3)</w:t>
            </w:r>
          </w:p>
        </w:tc>
        <w:tc>
          <w:tcPr>
            <w:tcW w:w="491" w:type="dxa"/>
            <w:tcBorders>
              <w:top w:val="single" w:sz="2" w:space="0" w:color="A6A6A6" w:themeColor="background1" w:themeShade="A6"/>
              <w:left w:val="single" w:sz="2" w:space="0" w:color="A6A6A6" w:themeColor="background1" w:themeShade="A6"/>
              <w:bottom w:val="single" w:sz="12" w:space="0" w:color="auto"/>
              <w:right w:val="single" w:sz="2" w:space="0" w:color="A6A6A6" w:themeColor="background1" w:themeShade="A6"/>
            </w:tcBorders>
          </w:tcPr>
          <w:p w14:paraId="7D098794" w14:textId="77777777" w:rsidR="00F953DA" w:rsidRPr="005C3EC8" w:rsidRDefault="00F953DA" w:rsidP="006064F6">
            <w:pPr>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12" w:space="0" w:color="auto"/>
              <w:right w:val="single" w:sz="2" w:space="0" w:color="A6A6A6" w:themeColor="background1" w:themeShade="A6"/>
            </w:tcBorders>
            <w:shd w:val="clear" w:color="auto" w:fill="auto"/>
            <w:noWrap/>
            <w:vAlign w:val="bottom"/>
            <w:hideMark/>
          </w:tcPr>
          <w:p w14:paraId="71A3470E"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12" w:space="0" w:color="auto"/>
              <w:right w:val="single" w:sz="2" w:space="0" w:color="A6A6A6" w:themeColor="background1" w:themeShade="A6"/>
            </w:tcBorders>
            <w:shd w:val="clear" w:color="auto" w:fill="auto"/>
            <w:noWrap/>
            <w:vAlign w:val="bottom"/>
            <w:hideMark/>
          </w:tcPr>
          <w:p w14:paraId="1FE9D275"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12" w:space="0" w:color="auto"/>
              <w:right w:val="single" w:sz="2" w:space="0" w:color="A6A6A6" w:themeColor="background1" w:themeShade="A6"/>
            </w:tcBorders>
            <w:shd w:val="clear" w:color="auto" w:fill="2D8B2B"/>
            <w:noWrap/>
            <w:vAlign w:val="bottom"/>
            <w:hideMark/>
          </w:tcPr>
          <w:p w14:paraId="683B9B68"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12" w:space="0" w:color="auto"/>
              <w:right w:val="single" w:sz="12" w:space="0" w:color="auto"/>
            </w:tcBorders>
            <w:shd w:val="clear" w:color="auto" w:fill="auto"/>
            <w:noWrap/>
            <w:vAlign w:val="bottom"/>
            <w:hideMark/>
          </w:tcPr>
          <w:p w14:paraId="51C5DADE"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F953DA" w:rsidRPr="005C3EC8" w14:paraId="629FEF8A" w14:textId="77777777" w:rsidTr="006064F6">
        <w:trPr>
          <w:trHeight w:hRule="exact" w:val="284"/>
        </w:trPr>
        <w:tc>
          <w:tcPr>
            <w:tcW w:w="2127" w:type="dxa"/>
            <w:vMerge w:val="restart"/>
            <w:tcBorders>
              <w:top w:val="single" w:sz="12" w:space="0" w:color="auto"/>
              <w:left w:val="single" w:sz="12" w:space="0" w:color="auto"/>
              <w:bottom w:val="single" w:sz="2" w:space="0" w:color="A6A6A6" w:themeColor="background1" w:themeShade="A6"/>
              <w:right w:val="single" w:sz="2" w:space="0" w:color="A6A6A6" w:themeColor="background1" w:themeShade="A6"/>
            </w:tcBorders>
            <w:shd w:val="clear" w:color="000000" w:fill="BFBFBF"/>
            <w:noWrap/>
            <w:vAlign w:val="center"/>
            <w:hideMark/>
          </w:tcPr>
          <w:p w14:paraId="41258B7E" w14:textId="77777777" w:rsidR="00F953DA" w:rsidRPr="005C3EC8" w:rsidRDefault="00F953DA" w:rsidP="006064F6">
            <w:pPr>
              <w:spacing w:after="0" w:line="240" w:lineRule="auto"/>
              <w:rPr>
                <w:rFonts w:ascii="Calibri" w:hAnsi="Calibri" w:cs="Times New Roman"/>
                <w:b/>
                <w:bCs/>
                <w:color w:val="000000"/>
                <w:lang w:eastAsia="en-GB"/>
              </w:rPr>
            </w:pPr>
            <w:r w:rsidRPr="005C3EC8">
              <w:rPr>
                <w:rFonts w:ascii="Calibri" w:hAnsi="Calibri" w:cs="Times New Roman"/>
                <w:b/>
                <w:bCs/>
                <w:color w:val="000000"/>
                <w:lang w:eastAsia="en-GB"/>
              </w:rPr>
              <w:t>Outcomes and impact</w:t>
            </w:r>
          </w:p>
        </w:tc>
        <w:tc>
          <w:tcPr>
            <w:tcW w:w="4535" w:type="dxa"/>
            <w:gridSpan w:val="4"/>
            <w:tcBorders>
              <w:top w:val="single" w:sz="12" w:space="0" w:color="auto"/>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58654926"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Public debate (#7.1)</w:t>
            </w:r>
          </w:p>
        </w:tc>
        <w:tc>
          <w:tcPr>
            <w:tcW w:w="491" w:type="dxa"/>
            <w:tcBorders>
              <w:top w:val="single" w:sz="12" w:space="0" w:color="auto"/>
              <w:left w:val="single" w:sz="2" w:space="0" w:color="A6A6A6" w:themeColor="background1" w:themeShade="A6"/>
              <w:bottom w:val="single" w:sz="2" w:space="0" w:color="A6A6A6" w:themeColor="background1" w:themeShade="A6"/>
              <w:right w:val="single" w:sz="2" w:space="0" w:color="A6A6A6" w:themeColor="background1" w:themeShade="A6"/>
            </w:tcBorders>
          </w:tcPr>
          <w:p w14:paraId="40B4119E" w14:textId="77777777" w:rsidR="00F953DA" w:rsidRPr="005C3EC8" w:rsidRDefault="00F953DA" w:rsidP="006064F6">
            <w:pPr>
              <w:spacing w:after="0" w:line="240" w:lineRule="auto"/>
              <w:rPr>
                <w:rFonts w:ascii="Calibri" w:hAnsi="Calibri" w:cs="Times New Roman"/>
                <w:color w:val="000000"/>
                <w:lang w:eastAsia="en-GB"/>
              </w:rPr>
            </w:pPr>
          </w:p>
        </w:tc>
        <w:tc>
          <w:tcPr>
            <w:tcW w:w="532" w:type="dxa"/>
            <w:tcBorders>
              <w:top w:val="single" w:sz="12" w:space="0" w:color="auto"/>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5714B9EE"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12" w:space="0" w:color="auto"/>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512DD001" w14:textId="337CD121" w:rsidR="00F953DA" w:rsidRPr="005C3EC8" w:rsidRDefault="00703C5B" w:rsidP="006064F6">
            <w:pPr>
              <w:spacing w:after="0" w:line="240" w:lineRule="auto"/>
              <w:rPr>
                <w:rFonts w:ascii="Calibri" w:hAnsi="Calibri" w:cs="Times New Roman"/>
                <w:color w:val="000000"/>
                <w:lang w:eastAsia="en-GB"/>
              </w:rPr>
            </w:pPr>
            <w:r w:rsidRPr="00E41796">
              <w:rPr>
                <w:rFonts w:cstheme="minorHAnsi"/>
                <w:noProof/>
                <w:lang w:val="en-US"/>
              </w:rPr>
              <mc:AlternateContent>
                <mc:Choice Requires="wps">
                  <w:drawing>
                    <wp:anchor distT="0" distB="0" distL="114300" distR="114300" simplePos="0" relativeHeight="251666432" behindDoc="0" locked="0" layoutInCell="1" allowOverlap="1" wp14:anchorId="56457A7D" wp14:editId="634DADA6">
                      <wp:simplePos x="0" y="0"/>
                      <wp:positionH relativeFrom="column">
                        <wp:posOffset>-36830</wp:posOffset>
                      </wp:positionH>
                      <wp:positionV relativeFrom="paragraph">
                        <wp:posOffset>3175</wp:posOffset>
                      </wp:positionV>
                      <wp:extent cx="233680" cy="133985"/>
                      <wp:effectExtent l="0" t="0" r="0" b="0"/>
                      <wp:wrapNone/>
                      <wp:docPr id="4" name="Arrow: Left 5"/>
                      <wp:cNvGraphicFramePr/>
                      <a:graphic xmlns:a="http://schemas.openxmlformats.org/drawingml/2006/main">
                        <a:graphicData uri="http://schemas.microsoft.com/office/word/2010/wordprocessingShape">
                          <wps:wsp>
                            <wps:cNvSpPr/>
                            <wps:spPr>
                              <a:xfrm>
                                <a:off x="0" y="0"/>
                                <a:ext cx="233680" cy="133985"/>
                              </a:xfrm>
                              <a:prstGeom prst="leftArrow">
                                <a:avLst/>
                              </a:prstGeom>
                              <a:solidFill>
                                <a:srgbClr val="9BBB59"/>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94D39" id="Arrow: Left 5" o:spid="_x0000_s1026" type="#_x0000_t66" style="position:absolute;margin-left:-2.9pt;margin-top:.25pt;width:18.4pt;height:1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" adj="6192" fillcolor="#9bbb59" stroked="f"/>
                  </w:pict>
                </mc:Fallback>
              </mc:AlternateContent>
            </w:r>
            <w:r w:rsidR="00F953DA" w:rsidRPr="005C3EC8">
              <w:rPr>
                <w:rFonts w:ascii="Calibri" w:hAnsi="Calibri" w:cs="Times New Roman"/>
                <w:color w:val="000000"/>
                <w:lang w:eastAsia="en-GB"/>
              </w:rPr>
              <w:t> </w:t>
            </w:r>
          </w:p>
        </w:tc>
        <w:tc>
          <w:tcPr>
            <w:tcW w:w="470" w:type="dxa"/>
            <w:tcBorders>
              <w:top w:val="single" w:sz="12" w:space="0" w:color="auto"/>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2D8B2B"/>
            <w:noWrap/>
            <w:vAlign w:val="bottom"/>
            <w:hideMark/>
          </w:tcPr>
          <w:p w14:paraId="65918975"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12" w:space="0" w:color="auto"/>
              <w:left w:val="single" w:sz="2" w:space="0" w:color="A6A6A6" w:themeColor="background1" w:themeShade="A6"/>
              <w:bottom w:val="single" w:sz="2" w:space="0" w:color="A6A6A6" w:themeColor="background1" w:themeShade="A6"/>
              <w:right w:val="single" w:sz="12" w:space="0" w:color="auto"/>
            </w:tcBorders>
            <w:shd w:val="clear" w:color="auto" w:fill="auto"/>
            <w:noWrap/>
            <w:vAlign w:val="bottom"/>
            <w:hideMark/>
          </w:tcPr>
          <w:p w14:paraId="1B533834"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F953DA" w:rsidRPr="005C3EC8" w14:paraId="1098558C" w14:textId="77777777" w:rsidTr="006064F6">
        <w:trPr>
          <w:trHeight w:hRule="exact" w:val="284"/>
        </w:trPr>
        <w:tc>
          <w:tcPr>
            <w:tcW w:w="2127" w:type="dxa"/>
            <w:vMerge/>
            <w:tcBorders>
              <w:top w:val="single" w:sz="2" w:space="0" w:color="A6A6A6" w:themeColor="background1" w:themeShade="A6"/>
              <w:left w:val="single" w:sz="12" w:space="0" w:color="auto"/>
              <w:bottom w:val="single" w:sz="2" w:space="0" w:color="A6A6A6" w:themeColor="background1" w:themeShade="A6"/>
              <w:right w:val="single" w:sz="2" w:space="0" w:color="A6A6A6" w:themeColor="background1" w:themeShade="A6"/>
            </w:tcBorders>
            <w:vAlign w:val="center"/>
            <w:hideMark/>
          </w:tcPr>
          <w:p w14:paraId="2CB57A5E" w14:textId="77777777" w:rsidR="00F953DA" w:rsidRPr="005C3EC8" w:rsidRDefault="00F953DA" w:rsidP="006064F6">
            <w:pPr>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49243DF1"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Data accessibility (#7.2)</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D9D9D9"/>
          </w:tcPr>
          <w:p w14:paraId="0E691F92" w14:textId="77777777" w:rsidR="00F953DA" w:rsidRPr="005C3EC8" w:rsidRDefault="00F953DA" w:rsidP="006064F6">
            <w:pPr>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D9D9D9"/>
            <w:noWrap/>
            <w:vAlign w:val="bottom"/>
            <w:hideMark/>
          </w:tcPr>
          <w:p w14:paraId="71ECCF6B"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D9D9D9"/>
            <w:noWrap/>
            <w:vAlign w:val="bottom"/>
            <w:hideMark/>
          </w:tcPr>
          <w:p w14:paraId="24DE4298"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000000" w:fill="D9D9D9"/>
            <w:noWrap/>
            <w:vAlign w:val="bottom"/>
            <w:hideMark/>
          </w:tcPr>
          <w:p w14:paraId="7DAD8B78"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clear" w:color="000000" w:fill="D9D9D9"/>
            <w:noWrap/>
            <w:vAlign w:val="bottom"/>
            <w:hideMark/>
          </w:tcPr>
          <w:p w14:paraId="05CC7B06"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F953DA" w:rsidRPr="005C3EC8" w14:paraId="53F09B4E" w14:textId="77777777" w:rsidTr="006064F6">
        <w:trPr>
          <w:trHeight w:hRule="exact" w:val="284"/>
        </w:trPr>
        <w:tc>
          <w:tcPr>
            <w:tcW w:w="2127" w:type="dxa"/>
            <w:vMerge/>
            <w:tcBorders>
              <w:top w:val="single" w:sz="2" w:space="0" w:color="A6A6A6" w:themeColor="background1" w:themeShade="A6"/>
              <w:left w:val="single" w:sz="12" w:space="0" w:color="auto"/>
              <w:bottom w:val="single" w:sz="2" w:space="0" w:color="A6A6A6" w:themeColor="background1" w:themeShade="A6"/>
              <w:right w:val="single" w:sz="2" w:space="0" w:color="A6A6A6" w:themeColor="background1" w:themeShade="A6"/>
            </w:tcBorders>
            <w:vAlign w:val="center"/>
            <w:hideMark/>
          </w:tcPr>
          <w:p w14:paraId="3F169076" w14:textId="77777777" w:rsidR="00F953DA" w:rsidRPr="005C3EC8" w:rsidRDefault="00F953DA" w:rsidP="006064F6">
            <w:pPr>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noWrap/>
            <w:vAlign w:val="bottom"/>
            <w:hideMark/>
          </w:tcPr>
          <w:p w14:paraId="5FB0C5F9"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Follow up on recommendations (#7.3)</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BA7C9C2" w14:textId="77777777" w:rsidR="00F953DA" w:rsidRPr="005C3EC8" w:rsidRDefault="00F953DA" w:rsidP="006064F6">
            <w:pPr>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noWrap/>
            <w:vAlign w:val="bottom"/>
            <w:hideMark/>
          </w:tcPr>
          <w:p w14:paraId="0EF3EB53"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noWrap/>
            <w:vAlign w:val="bottom"/>
            <w:hideMark/>
          </w:tcPr>
          <w:p w14:paraId="3E978C72"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2D8B2B"/>
            <w:noWrap/>
            <w:vAlign w:val="bottom"/>
            <w:hideMark/>
          </w:tcPr>
          <w:p w14:paraId="56F3BB38"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12" w:space="0" w:color="auto"/>
            </w:tcBorders>
            <w:shd w:val="clear" w:color="auto" w:fill="FFFFFF" w:themeFill="background1"/>
            <w:noWrap/>
            <w:vAlign w:val="bottom"/>
            <w:hideMark/>
          </w:tcPr>
          <w:p w14:paraId="5F6229F6"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r w:rsidR="00F953DA" w:rsidRPr="005C3EC8" w14:paraId="513C0B42" w14:textId="77777777" w:rsidTr="006064F6">
        <w:trPr>
          <w:trHeight w:hRule="exact" w:val="284"/>
        </w:trPr>
        <w:tc>
          <w:tcPr>
            <w:tcW w:w="2127" w:type="dxa"/>
            <w:vMerge/>
            <w:tcBorders>
              <w:top w:val="single" w:sz="2" w:space="0" w:color="A6A6A6" w:themeColor="background1" w:themeShade="A6"/>
              <w:left w:val="single" w:sz="12" w:space="0" w:color="auto"/>
              <w:bottom w:val="single" w:sz="12" w:space="0" w:color="auto"/>
              <w:right w:val="single" w:sz="2" w:space="0" w:color="A6A6A6" w:themeColor="background1" w:themeShade="A6"/>
            </w:tcBorders>
            <w:vAlign w:val="center"/>
            <w:hideMark/>
          </w:tcPr>
          <w:p w14:paraId="5082F07A" w14:textId="77777777" w:rsidR="00F953DA" w:rsidRPr="005C3EC8" w:rsidRDefault="00F953DA" w:rsidP="006064F6">
            <w:pPr>
              <w:spacing w:after="0" w:line="240" w:lineRule="auto"/>
              <w:rPr>
                <w:rFonts w:ascii="Calibri" w:hAnsi="Calibri" w:cs="Times New Roman"/>
                <w:b/>
                <w:bCs/>
                <w:color w:val="000000"/>
                <w:lang w:eastAsia="en-GB"/>
              </w:rPr>
            </w:pPr>
          </w:p>
        </w:tc>
        <w:tc>
          <w:tcPr>
            <w:tcW w:w="4535" w:type="dxa"/>
            <w:gridSpan w:val="4"/>
            <w:tcBorders>
              <w:top w:val="single" w:sz="2" w:space="0" w:color="A6A6A6" w:themeColor="background1" w:themeShade="A6"/>
              <w:left w:val="single" w:sz="2" w:space="0" w:color="A6A6A6" w:themeColor="background1" w:themeShade="A6"/>
              <w:bottom w:val="single" w:sz="12" w:space="0" w:color="auto"/>
              <w:right w:val="single" w:sz="2" w:space="0" w:color="A6A6A6" w:themeColor="background1" w:themeShade="A6"/>
            </w:tcBorders>
            <w:shd w:val="clear" w:color="auto" w:fill="auto"/>
            <w:noWrap/>
            <w:vAlign w:val="bottom"/>
            <w:hideMark/>
          </w:tcPr>
          <w:p w14:paraId="4A505CCD"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Outcomes and impact of implementation (#7.4)</w:t>
            </w:r>
          </w:p>
        </w:tc>
        <w:tc>
          <w:tcPr>
            <w:tcW w:w="491" w:type="dxa"/>
            <w:tcBorders>
              <w:top w:val="single" w:sz="2" w:space="0" w:color="A6A6A6" w:themeColor="background1" w:themeShade="A6"/>
              <w:left w:val="single" w:sz="2" w:space="0" w:color="A6A6A6" w:themeColor="background1" w:themeShade="A6"/>
              <w:bottom w:val="single" w:sz="12" w:space="0" w:color="auto"/>
              <w:right w:val="single" w:sz="2" w:space="0" w:color="A6A6A6" w:themeColor="background1" w:themeShade="A6"/>
            </w:tcBorders>
          </w:tcPr>
          <w:p w14:paraId="0804EE35" w14:textId="77777777" w:rsidR="00F953DA" w:rsidRPr="005C3EC8" w:rsidRDefault="00F953DA" w:rsidP="006064F6">
            <w:pPr>
              <w:spacing w:after="0" w:line="240" w:lineRule="auto"/>
              <w:rPr>
                <w:rFonts w:ascii="Calibri" w:hAnsi="Calibri" w:cs="Times New Roman"/>
                <w:color w:val="000000"/>
                <w:lang w:eastAsia="en-GB"/>
              </w:rPr>
            </w:pPr>
          </w:p>
        </w:tc>
        <w:tc>
          <w:tcPr>
            <w:tcW w:w="532" w:type="dxa"/>
            <w:tcBorders>
              <w:top w:val="single" w:sz="2" w:space="0" w:color="A6A6A6" w:themeColor="background1" w:themeShade="A6"/>
              <w:left w:val="single" w:sz="2" w:space="0" w:color="A6A6A6" w:themeColor="background1" w:themeShade="A6"/>
              <w:bottom w:val="single" w:sz="12" w:space="0" w:color="auto"/>
              <w:right w:val="single" w:sz="2" w:space="0" w:color="A6A6A6" w:themeColor="background1" w:themeShade="A6"/>
            </w:tcBorders>
            <w:shd w:val="clear" w:color="auto" w:fill="auto"/>
            <w:noWrap/>
            <w:vAlign w:val="bottom"/>
            <w:hideMark/>
          </w:tcPr>
          <w:p w14:paraId="4033108A"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91" w:type="dxa"/>
            <w:tcBorders>
              <w:top w:val="single" w:sz="2" w:space="0" w:color="A6A6A6" w:themeColor="background1" w:themeShade="A6"/>
              <w:left w:val="single" w:sz="2" w:space="0" w:color="A6A6A6" w:themeColor="background1" w:themeShade="A6"/>
              <w:bottom w:val="single" w:sz="12" w:space="0" w:color="auto"/>
              <w:right w:val="single" w:sz="2" w:space="0" w:color="A6A6A6" w:themeColor="background1" w:themeShade="A6"/>
            </w:tcBorders>
            <w:shd w:val="clear" w:color="auto" w:fill="84AE44"/>
            <w:noWrap/>
            <w:vAlign w:val="bottom"/>
            <w:hideMark/>
          </w:tcPr>
          <w:p w14:paraId="020E5B33"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70" w:type="dxa"/>
            <w:tcBorders>
              <w:top w:val="single" w:sz="2" w:space="0" w:color="A6A6A6" w:themeColor="background1" w:themeShade="A6"/>
              <w:left w:val="single" w:sz="2" w:space="0" w:color="A6A6A6" w:themeColor="background1" w:themeShade="A6"/>
              <w:bottom w:val="single" w:sz="12" w:space="0" w:color="auto"/>
              <w:right w:val="single" w:sz="2" w:space="0" w:color="A6A6A6" w:themeColor="background1" w:themeShade="A6"/>
            </w:tcBorders>
            <w:shd w:val="clear" w:color="auto" w:fill="FFFFFF" w:themeFill="background1"/>
            <w:noWrap/>
            <w:vAlign w:val="bottom"/>
            <w:hideMark/>
          </w:tcPr>
          <w:p w14:paraId="7BCD5791"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c>
          <w:tcPr>
            <w:tcW w:w="421" w:type="dxa"/>
            <w:tcBorders>
              <w:top w:val="single" w:sz="2" w:space="0" w:color="A6A6A6" w:themeColor="background1" w:themeShade="A6"/>
              <w:left w:val="single" w:sz="2" w:space="0" w:color="A6A6A6" w:themeColor="background1" w:themeShade="A6"/>
              <w:bottom w:val="single" w:sz="12" w:space="0" w:color="auto"/>
              <w:right w:val="single" w:sz="12" w:space="0" w:color="auto"/>
            </w:tcBorders>
            <w:shd w:val="clear" w:color="auto" w:fill="auto"/>
            <w:noWrap/>
            <w:vAlign w:val="bottom"/>
            <w:hideMark/>
          </w:tcPr>
          <w:p w14:paraId="0FA53DAF" w14:textId="77777777" w:rsidR="00F953DA" w:rsidRPr="005C3EC8" w:rsidRDefault="00F953DA" w:rsidP="006064F6">
            <w:pPr>
              <w:spacing w:after="0" w:line="240" w:lineRule="auto"/>
              <w:rPr>
                <w:rFonts w:ascii="Calibri" w:hAnsi="Calibri" w:cs="Times New Roman"/>
                <w:color w:val="000000"/>
                <w:lang w:eastAsia="en-GB"/>
              </w:rPr>
            </w:pPr>
            <w:r w:rsidRPr="005C3EC8">
              <w:rPr>
                <w:rFonts w:ascii="Calibri" w:hAnsi="Calibri" w:cs="Times New Roman"/>
                <w:color w:val="000000"/>
                <w:lang w:eastAsia="en-GB"/>
              </w:rPr>
              <w:t> </w:t>
            </w:r>
          </w:p>
        </w:tc>
      </w:tr>
    </w:tbl>
    <w:p w14:paraId="62D9987F" w14:textId="77777777" w:rsidR="007F1C2E" w:rsidRDefault="007F1C2E" w:rsidP="00F12713">
      <w:pPr>
        <w:spacing w:after="0" w:line="240" w:lineRule="auto"/>
        <w:rPr>
          <w:rFonts w:cstheme="minorHAnsi"/>
          <w:color w:val="000000" w:themeColor="text1"/>
          <w:lang w:eastAsia="en-GB"/>
        </w:rPr>
      </w:pPr>
    </w:p>
    <w:p w14:paraId="7DA52E5A" w14:textId="77777777" w:rsidR="00C17CE1" w:rsidRDefault="00C17CE1" w:rsidP="00F12713">
      <w:pPr>
        <w:spacing w:after="0" w:line="240" w:lineRule="auto"/>
        <w:rPr>
          <w:rFonts w:cstheme="minorHAnsi"/>
          <w:color w:val="000000" w:themeColor="text1"/>
          <w:lang w:eastAsia="en-GB"/>
        </w:rPr>
      </w:pPr>
    </w:p>
    <w:p w14:paraId="44F02676" w14:textId="77777777" w:rsidR="00C17CE1" w:rsidRDefault="00C17CE1" w:rsidP="00F12713">
      <w:pPr>
        <w:spacing w:after="0" w:line="240" w:lineRule="auto"/>
        <w:rPr>
          <w:rFonts w:cstheme="minorHAnsi"/>
          <w:color w:val="000000" w:themeColor="text1"/>
          <w:lang w:eastAsia="en-GB"/>
        </w:rPr>
      </w:pPr>
    </w:p>
    <w:tbl>
      <w:tblPr>
        <w:tblW w:w="9896" w:type="dxa"/>
        <w:tblLook w:val="04A0" w:firstRow="1" w:lastRow="0" w:firstColumn="1" w:lastColumn="0" w:noHBand="0" w:noVBand="1"/>
      </w:tblPr>
      <w:tblGrid>
        <w:gridCol w:w="1050"/>
        <w:gridCol w:w="8846"/>
      </w:tblGrid>
      <w:tr w:rsidR="00C17CE1" w:rsidRPr="000F507E" w14:paraId="0CDC5770" w14:textId="77777777" w:rsidTr="00780054">
        <w:trPr>
          <w:trHeight w:val="380"/>
        </w:trPr>
        <w:tc>
          <w:tcPr>
            <w:tcW w:w="9896" w:type="dxa"/>
            <w:gridSpan w:val="2"/>
            <w:tcBorders>
              <w:top w:val="nil"/>
              <w:left w:val="nil"/>
              <w:bottom w:val="nil"/>
              <w:right w:val="nil"/>
            </w:tcBorders>
            <w:shd w:val="clear" w:color="auto" w:fill="auto"/>
            <w:noWrap/>
            <w:vAlign w:val="bottom"/>
            <w:hideMark/>
          </w:tcPr>
          <w:p w14:paraId="7BD3F148" w14:textId="77777777" w:rsidR="00C17CE1" w:rsidRPr="000F507E" w:rsidRDefault="00C17CE1" w:rsidP="00780054">
            <w:pPr>
              <w:spacing w:after="0" w:line="240" w:lineRule="auto"/>
              <w:rPr>
                <w:rFonts w:cs="Times New Roman"/>
                <w:i/>
                <w:color w:val="000000"/>
              </w:rPr>
            </w:pPr>
            <w:r w:rsidRPr="000F507E">
              <w:rPr>
                <w:rFonts w:cs="Times New Roman"/>
                <w:i/>
                <w:color w:val="000000"/>
              </w:rPr>
              <w:t>Legend to the assessment card</w:t>
            </w:r>
          </w:p>
        </w:tc>
      </w:tr>
      <w:tr w:rsidR="00C17CE1" w:rsidRPr="000F507E" w14:paraId="0EDB20C1" w14:textId="77777777" w:rsidTr="00780054">
        <w:trPr>
          <w:trHeight w:val="160"/>
        </w:trPr>
        <w:tc>
          <w:tcPr>
            <w:tcW w:w="1050" w:type="dxa"/>
            <w:tcBorders>
              <w:top w:val="nil"/>
              <w:left w:val="nil"/>
              <w:bottom w:val="nil"/>
              <w:right w:val="nil"/>
            </w:tcBorders>
            <w:shd w:val="clear" w:color="auto" w:fill="auto"/>
            <w:noWrap/>
            <w:vAlign w:val="bottom"/>
            <w:hideMark/>
          </w:tcPr>
          <w:p w14:paraId="7C1315F6" w14:textId="77777777" w:rsidR="00C17CE1" w:rsidRPr="000F507E" w:rsidRDefault="00C17CE1" w:rsidP="00780054">
            <w:pPr>
              <w:spacing w:after="0" w:line="240" w:lineRule="auto"/>
              <w:rPr>
                <w:rFonts w:cs="Times New Roman"/>
              </w:rPr>
            </w:pPr>
          </w:p>
        </w:tc>
        <w:tc>
          <w:tcPr>
            <w:tcW w:w="8846" w:type="dxa"/>
            <w:tcBorders>
              <w:top w:val="nil"/>
              <w:left w:val="nil"/>
              <w:bottom w:val="nil"/>
              <w:right w:val="nil"/>
            </w:tcBorders>
            <w:shd w:val="clear" w:color="auto" w:fill="auto"/>
            <w:noWrap/>
            <w:vAlign w:val="bottom"/>
            <w:hideMark/>
          </w:tcPr>
          <w:p w14:paraId="033E7A01" w14:textId="77777777" w:rsidR="00C17CE1" w:rsidRPr="000F507E" w:rsidRDefault="00C17CE1" w:rsidP="00780054">
            <w:pPr>
              <w:spacing w:after="0" w:line="240" w:lineRule="auto"/>
              <w:rPr>
                <w:rFonts w:cs="Times New Roman"/>
              </w:rPr>
            </w:pPr>
          </w:p>
        </w:tc>
      </w:tr>
      <w:tr w:rsidR="00C17CE1" w:rsidRPr="000F507E" w14:paraId="2C3E2917" w14:textId="77777777" w:rsidTr="00780054">
        <w:trPr>
          <w:trHeight w:val="600"/>
        </w:trPr>
        <w:tc>
          <w:tcPr>
            <w:tcW w:w="1050" w:type="dxa"/>
            <w:tcBorders>
              <w:top w:val="nil"/>
              <w:left w:val="nil"/>
              <w:bottom w:val="nil"/>
              <w:right w:val="nil"/>
            </w:tcBorders>
            <w:shd w:val="clear" w:color="000000" w:fill="C00000"/>
            <w:noWrap/>
            <w:vAlign w:val="bottom"/>
            <w:hideMark/>
          </w:tcPr>
          <w:p w14:paraId="07843BEC" w14:textId="77777777" w:rsidR="00C17CE1" w:rsidRPr="000F507E" w:rsidRDefault="00C17CE1" w:rsidP="00780054">
            <w:pPr>
              <w:spacing w:after="0" w:line="240" w:lineRule="auto"/>
              <w:rPr>
                <w:rFonts w:cs="Times New Roman"/>
                <w:color w:val="000000"/>
              </w:rPr>
            </w:pPr>
            <w:r w:rsidRPr="000F507E">
              <w:rPr>
                <w:rFonts w:cs="Times New Roman"/>
                <w:color w:val="000000"/>
              </w:rPr>
              <w:t> </w:t>
            </w:r>
          </w:p>
        </w:tc>
        <w:tc>
          <w:tcPr>
            <w:tcW w:w="8846" w:type="dxa"/>
            <w:tcBorders>
              <w:top w:val="nil"/>
              <w:left w:val="nil"/>
              <w:bottom w:val="single" w:sz="4" w:space="0" w:color="A6A6A6"/>
              <w:right w:val="nil"/>
            </w:tcBorders>
            <w:shd w:val="clear" w:color="auto" w:fill="auto"/>
            <w:hideMark/>
          </w:tcPr>
          <w:p w14:paraId="76FB92DD" w14:textId="77777777" w:rsidR="00C17CE1" w:rsidRPr="000F507E" w:rsidRDefault="00C17CE1" w:rsidP="00780054">
            <w:pPr>
              <w:spacing w:after="0" w:line="240" w:lineRule="auto"/>
              <w:rPr>
                <w:rFonts w:cs="Times New Roman"/>
                <w:color w:val="000000"/>
              </w:rPr>
            </w:pPr>
            <w:r w:rsidRPr="000F507E">
              <w:rPr>
                <w:rFonts w:cs="Times New Roman"/>
                <w:color w:val="000000"/>
              </w:rPr>
              <w:t>The country has made no progress in addressing the requirement.  The broader objective of the requirement is in no way fulfilled.</w:t>
            </w:r>
          </w:p>
        </w:tc>
      </w:tr>
      <w:tr w:rsidR="00C17CE1" w:rsidRPr="000F507E" w14:paraId="06B5998F" w14:textId="77777777" w:rsidTr="00780054">
        <w:trPr>
          <w:trHeight w:val="600"/>
        </w:trPr>
        <w:tc>
          <w:tcPr>
            <w:tcW w:w="1050" w:type="dxa"/>
            <w:tcBorders>
              <w:top w:val="nil"/>
              <w:left w:val="nil"/>
              <w:bottom w:val="nil"/>
              <w:right w:val="nil"/>
            </w:tcBorders>
            <w:shd w:val="clear" w:color="000000" w:fill="FAA725"/>
            <w:noWrap/>
            <w:vAlign w:val="bottom"/>
            <w:hideMark/>
          </w:tcPr>
          <w:p w14:paraId="67BB141F" w14:textId="77777777" w:rsidR="00C17CE1" w:rsidRPr="000F507E" w:rsidRDefault="00C17CE1" w:rsidP="00780054">
            <w:pPr>
              <w:spacing w:after="0" w:line="240" w:lineRule="auto"/>
              <w:rPr>
                <w:rFonts w:cs="Times New Roman"/>
                <w:color w:val="000000"/>
              </w:rPr>
            </w:pPr>
            <w:r w:rsidRPr="000F507E">
              <w:rPr>
                <w:rFonts w:cs="Times New Roman"/>
                <w:color w:val="000000"/>
              </w:rPr>
              <w:t> </w:t>
            </w:r>
          </w:p>
        </w:tc>
        <w:tc>
          <w:tcPr>
            <w:tcW w:w="8846" w:type="dxa"/>
            <w:tcBorders>
              <w:top w:val="nil"/>
              <w:left w:val="nil"/>
              <w:bottom w:val="single" w:sz="4" w:space="0" w:color="A6A6A6"/>
              <w:right w:val="nil"/>
            </w:tcBorders>
            <w:shd w:val="clear" w:color="auto" w:fill="auto"/>
            <w:hideMark/>
          </w:tcPr>
          <w:p w14:paraId="0EFFCF05" w14:textId="77777777" w:rsidR="00C17CE1" w:rsidRPr="000F507E" w:rsidRDefault="00C17CE1" w:rsidP="00780054">
            <w:pPr>
              <w:spacing w:after="0" w:line="240" w:lineRule="auto"/>
              <w:rPr>
                <w:rFonts w:cs="Times New Roman"/>
                <w:color w:val="000000"/>
              </w:rPr>
            </w:pPr>
            <w:r w:rsidRPr="000F507E">
              <w:rPr>
                <w:rFonts w:cs="Times New Roman"/>
                <w:color w:val="000000"/>
              </w:rPr>
              <w:t>The country has made inadequate progress in meeting the requirement. Significant elements of the requirement are outstanding and the broader objective of the requirement is far from being fulfilled.</w:t>
            </w:r>
          </w:p>
        </w:tc>
      </w:tr>
      <w:tr w:rsidR="00C17CE1" w:rsidRPr="000F507E" w14:paraId="44C7D0AB" w14:textId="77777777" w:rsidTr="00780054">
        <w:trPr>
          <w:trHeight w:val="612"/>
        </w:trPr>
        <w:tc>
          <w:tcPr>
            <w:tcW w:w="1050" w:type="dxa"/>
            <w:tcBorders>
              <w:top w:val="nil"/>
              <w:left w:val="nil"/>
              <w:bottom w:val="nil"/>
              <w:right w:val="nil"/>
            </w:tcBorders>
            <w:shd w:val="clear" w:color="000000" w:fill="84AE42"/>
            <w:noWrap/>
            <w:vAlign w:val="bottom"/>
            <w:hideMark/>
          </w:tcPr>
          <w:p w14:paraId="7FD0B2E6" w14:textId="77777777" w:rsidR="00C17CE1" w:rsidRPr="000F507E" w:rsidRDefault="00C17CE1" w:rsidP="00780054">
            <w:pPr>
              <w:spacing w:after="0" w:line="240" w:lineRule="auto"/>
              <w:rPr>
                <w:rFonts w:cs="Times New Roman"/>
                <w:color w:val="000000"/>
              </w:rPr>
            </w:pPr>
            <w:r w:rsidRPr="000F507E">
              <w:rPr>
                <w:rFonts w:cs="Times New Roman"/>
                <w:color w:val="000000"/>
              </w:rPr>
              <w:t> </w:t>
            </w:r>
          </w:p>
        </w:tc>
        <w:tc>
          <w:tcPr>
            <w:tcW w:w="8846" w:type="dxa"/>
            <w:tcBorders>
              <w:top w:val="nil"/>
              <w:left w:val="nil"/>
              <w:bottom w:val="single" w:sz="4" w:space="0" w:color="A6A6A6"/>
              <w:right w:val="nil"/>
            </w:tcBorders>
            <w:shd w:val="clear" w:color="auto" w:fill="auto"/>
            <w:hideMark/>
          </w:tcPr>
          <w:p w14:paraId="046C2B5A" w14:textId="77777777" w:rsidR="00C17CE1" w:rsidRPr="000F507E" w:rsidRDefault="00C17CE1" w:rsidP="00780054">
            <w:pPr>
              <w:spacing w:after="0" w:line="240" w:lineRule="auto"/>
              <w:rPr>
                <w:rFonts w:cs="Times New Roman"/>
                <w:color w:val="000000"/>
              </w:rPr>
            </w:pPr>
            <w:r w:rsidRPr="000F507E">
              <w:rPr>
                <w:rFonts w:cs="Times New Roman"/>
                <w:color w:val="000000"/>
              </w:rPr>
              <w:t xml:space="preserve">The country has made progress in meeting the requirement. Significant elements of the requirement are being implemented and the broader objective of the requirement is being fulfilled. </w:t>
            </w:r>
          </w:p>
        </w:tc>
      </w:tr>
      <w:tr w:rsidR="00C17CE1" w:rsidRPr="000F507E" w14:paraId="5B28EB83" w14:textId="77777777" w:rsidTr="00780054">
        <w:trPr>
          <w:trHeight w:val="580"/>
        </w:trPr>
        <w:tc>
          <w:tcPr>
            <w:tcW w:w="1050" w:type="dxa"/>
            <w:tcBorders>
              <w:top w:val="nil"/>
              <w:left w:val="nil"/>
              <w:bottom w:val="nil"/>
              <w:right w:val="nil"/>
            </w:tcBorders>
            <w:shd w:val="clear" w:color="000000" w:fill="227020"/>
            <w:noWrap/>
            <w:vAlign w:val="bottom"/>
            <w:hideMark/>
          </w:tcPr>
          <w:p w14:paraId="409D1A12" w14:textId="77777777" w:rsidR="00C17CE1" w:rsidRPr="000F507E" w:rsidRDefault="00C17CE1" w:rsidP="00780054">
            <w:pPr>
              <w:spacing w:after="0" w:line="240" w:lineRule="auto"/>
              <w:rPr>
                <w:rFonts w:cs="Times New Roman"/>
                <w:color w:val="000000"/>
              </w:rPr>
            </w:pPr>
            <w:r w:rsidRPr="000F507E">
              <w:rPr>
                <w:rFonts w:cs="Times New Roman"/>
                <w:color w:val="000000"/>
              </w:rPr>
              <w:t> </w:t>
            </w:r>
          </w:p>
        </w:tc>
        <w:tc>
          <w:tcPr>
            <w:tcW w:w="8846" w:type="dxa"/>
            <w:tcBorders>
              <w:top w:val="nil"/>
              <w:left w:val="nil"/>
              <w:bottom w:val="single" w:sz="4" w:space="0" w:color="A6A6A6"/>
              <w:right w:val="nil"/>
            </w:tcBorders>
            <w:shd w:val="clear" w:color="auto" w:fill="auto"/>
            <w:hideMark/>
          </w:tcPr>
          <w:p w14:paraId="65FDF83B" w14:textId="77777777" w:rsidR="00C17CE1" w:rsidRPr="000F507E" w:rsidRDefault="00C17CE1" w:rsidP="00780054">
            <w:pPr>
              <w:spacing w:after="0" w:line="240" w:lineRule="auto"/>
              <w:rPr>
                <w:rFonts w:cs="Times New Roman"/>
                <w:color w:val="000000"/>
              </w:rPr>
            </w:pPr>
            <w:r w:rsidRPr="000F507E">
              <w:rPr>
                <w:rFonts w:cs="Times New Roman"/>
                <w:color w:val="000000"/>
              </w:rPr>
              <w:t xml:space="preserve">The country is compliant with the EITI requirement. </w:t>
            </w:r>
          </w:p>
        </w:tc>
      </w:tr>
      <w:tr w:rsidR="00C17CE1" w:rsidRPr="000F507E" w14:paraId="0B2506A3" w14:textId="77777777" w:rsidTr="00780054">
        <w:trPr>
          <w:trHeight w:val="600"/>
        </w:trPr>
        <w:tc>
          <w:tcPr>
            <w:tcW w:w="1050" w:type="dxa"/>
            <w:tcBorders>
              <w:top w:val="nil"/>
              <w:left w:val="nil"/>
              <w:bottom w:val="nil"/>
              <w:right w:val="nil"/>
            </w:tcBorders>
            <w:shd w:val="clear" w:color="000000" w:fill="0076AF"/>
            <w:noWrap/>
            <w:vAlign w:val="bottom"/>
            <w:hideMark/>
          </w:tcPr>
          <w:p w14:paraId="4BDFF900" w14:textId="77777777" w:rsidR="00C17CE1" w:rsidRPr="000F507E" w:rsidRDefault="00C17CE1" w:rsidP="00780054">
            <w:pPr>
              <w:spacing w:after="0" w:line="240" w:lineRule="auto"/>
              <w:rPr>
                <w:rFonts w:cs="Times New Roman"/>
                <w:color w:val="000000"/>
              </w:rPr>
            </w:pPr>
            <w:r w:rsidRPr="000F507E">
              <w:rPr>
                <w:rFonts w:cs="Times New Roman"/>
                <w:color w:val="000000"/>
              </w:rPr>
              <w:t> </w:t>
            </w:r>
          </w:p>
        </w:tc>
        <w:tc>
          <w:tcPr>
            <w:tcW w:w="8846" w:type="dxa"/>
            <w:tcBorders>
              <w:top w:val="nil"/>
              <w:left w:val="nil"/>
              <w:bottom w:val="single" w:sz="4" w:space="0" w:color="A6A6A6"/>
              <w:right w:val="nil"/>
            </w:tcBorders>
            <w:shd w:val="clear" w:color="auto" w:fill="auto"/>
            <w:hideMark/>
          </w:tcPr>
          <w:p w14:paraId="6A604ADE" w14:textId="77777777" w:rsidR="00C17CE1" w:rsidRPr="000F507E" w:rsidRDefault="00C17CE1" w:rsidP="00780054">
            <w:pPr>
              <w:spacing w:after="0" w:line="240" w:lineRule="auto"/>
              <w:rPr>
                <w:rFonts w:cs="Times New Roman"/>
                <w:color w:val="000000"/>
              </w:rPr>
            </w:pPr>
            <w:r w:rsidRPr="000F507E">
              <w:rPr>
                <w:rFonts w:cs="Times New Roman"/>
                <w:color w:val="000000"/>
              </w:rPr>
              <w:t xml:space="preserve">The country has gone beyond the requirement. </w:t>
            </w:r>
          </w:p>
        </w:tc>
      </w:tr>
      <w:tr w:rsidR="00C17CE1" w:rsidRPr="000F507E" w14:paraId="47C096AB" w14:textId="77777777" w:rsidTr="00AB5C3B">
        <w:trPr>
          <w:trHeight w:val="600"/>
        </w:trPr>
        <w:tc>
          <w:tcPr>
            <w:tcW w:w="1050" w:type="dxa"/>
            <w:tcBorders>
              <w:top w:val="nil"/>
              <w:left w:val="nil"/>
              <w:right w:val="nil"/>
            </w:tcBorders>
            <w:shd w:val="clear" w:color="000000" w:fill="D9D9D9"/>
            <w:noWrap/>
            <w:vAlign w:val="bottom"/>
            <w:hideMark/>
          </w:tcPr>
          <w:p w14:paraId="267C427B" w14:textId="77777777" w:rsidR="00C17CE1" w:rsidRPr="000F507E" w:rsidRDefault="00C17CE1" w:rsidP="00780054">
            <w:pPr>
              <w:spacing w:after="0" w:line="240" w:lineRule="auto"/>
              <w:jc w:val="center"/>
              <w:rPr>
                <w:rFonts w:cs="Times New Roman"/>
                <w:color w:val="000000"/>
              </w:rPr>
            </w:pPr>
            <w:r w:rsidRPr="000F507E">
              <w:rPr>
                <w:rFonts w:cs="Times New Roman"/>
                <w:color w:val="000000"/>
              </w:rPr>
              <w:t> </w:t>
            </w:r>
          </w:p>
        </w:tc>
        <w:tc>
          <w:tcPr>
            <w:tcW w:w="8846" w:type="dxa"/>
            <w:tcBorders>
              <w:top w:val="nil"/>
              <w:left w:val="nil"/>
              <w:bottom w:val="single" w:sz="4" w:space="0" w:color="A6A6A6"/>
              <w:right w:val="nil"/>
            </w:tcBorders>
            <w:shd w:val="clear" w:color="auto" w:fill="auto"/>
            <w:hideMark/>
          </w:tcPr>
          <w:p w14:paraId="080F230E" w14:textId="77777777" w:rsidR="00C17CE1" w:rsidRPr="000F507E" w:rsidRDefault="00C17CE1" w:rsidP="00780054">
            <w:pPr>
              <w:spacing w:after="0" w:line="240" w:lineRule="auto"/>
              <w:rPr>
                <w:rFonts w:cs="Times New Roman"/>
                <w:color w:val="000000"/>
              </w:rPr>
            </w:pPr>
            <w:r w:rsidRPr="000F507E">
              <w:rPr>
                <w:rFonts w:cs="Times New Roman"/>
                <w:color w:val="000000"/>
              </w:rPr>
              <w:t>This requirement is only encouraged or recommended and should not be taken into account in assessing compliance.</w:t>
            </w:r>
          </w:p>
        </w:tc>
      </w:tr>
      <w:tr w:rsidR="00C17CE1" w:rsidRPr="000F507E" w14:paraId="1C6C311F" w14:textId="77777777" w:rsidTr="00AB5C3B">
        <w:trPr>
          <w:trHeight w:val="560"/>
        </w:trPr>
        <w:tc>
          <w:tcPr>
            <w:tcW w:w="1050" w:type="dxa"/>
            <w:tcBorders>
              <w:top w:val="nil"/>
              <w:left w:val="nil"/>
              <w:bottom w:val="single" w:sz="4" w:space="0" w:color="A6A6A6" w:themeColor="background1" w:themeShade="A6"/>
              <w:right w:val="nil"/>
            </w:tcBorders>
            <w:shd w:val="diagStripe" w:color="D9D9D9" w:fill="000000"/>
            <w:noWrap/>
            <w:vAlign w:val="bottom"/>
            <w:hideMark/>
          </w:tcPr>
          <w:p w14:paraId="4260FC02" w14:textId="77777777" w:rsidR="00C17CE1" w:rsidRPr="000F507E" w:rsidRDefault="00C17CE1" w:rsidP="00780054">
            <w:pPr>
              <w:spacing w:after="0" w:line="240" w:lineRule="auto"/>
              <w:rPr>
                <w:rFonts w:cs="Times New Roman"/>
                <w:color w:val="000000"/>
              </w:rPr>
            </w:pPr>
          </w:p>
        </w:tc>
        <w:tc>
          <w:tcPr>
            <w:tcW w:w="8846" w:type="dxa"/>
            <w:tcBorders>
              <w:top w:val="nil"/>
              <w:left w:val="nil"/>
              <w:bottom w:val="single" w:sz="4" w:space="0" w:color="A6A6A6" w:themeColor="background1" w:themeShade="A6"/>
              <w:right w:val="nil"/>
            </w:tcBorders>
            <w:shd w:val="clear" w:color="auto" w:fill="auto"/>
            <w:hideMark/>
          </w:tcPr>
          <w:p w14:paraId="1DB0A30F" w14:textId="77777777" w:rsidR="00C17CE1" w:rsidRPr="000F507E" w:rsidRDefault="00C17CE1" w:rsidP="00780054">
            <w:pPr>
              <w:spacing w:after="0" w:line="240" w:lineRule="auto"/>
              <w:rPr>
                <w:rFonts w:cs="Times New Roman"/>
                <w:color w:val="000000"/>
              </w:rPr>
            </w:pPr>
            <w:r w:rsidRPr="000F507E">
              <w:rPr>
                <w:rFonts w:cs="Times New Roman"/>
                <w:color w:val="000000"/>
              </w:rPr>
              <w:t xml:space="preserve">The MSG has demonstrated that this requirement is not applicable in the country. </w:t>
            </w:r>
          </w:p>
        </w:tc>
      </w:tr>
    </w:tbl>
    <w:p w14:paraId="2AFE60CA" w14:textId="77777777" w:rsidR="00C17CE1" w:rsidRDefault="00C17CE1" w:rsidP="00F12713">
      <w:pPr>
        <w:spacing w:after="0" w:line="240" w:lineRule="auto"/>
        <w:rPr>
          <w:rFonts w:cstheme="minorHAnsi"/>
          <w:color w:val="000000" w:themeColor="text1"/>
          <w:lang w:eastAsia="en-GB"/>
        </w:rPr>
      </w:pPr>
    </w:p>
    <w:p w14:paraId="183C2573" w14:textId="026FA95E" w:rsidR="00A67544" w:rsidRPr="005625E1" w:rsidRDefault="002D2440" w:rsidP="00F12713">
      <w:pPr>
        <w:spacing w:after="0" w:line="240" w:lineRule="auto"/>
        <w:rPr>
          <w:rFonts w:cstheme="minorHAnsi"/>
          <w:b/>
          <w:color w:val="365F91" w:themeColor="accent1" w:themeShade="BF"/>
        </w:rPr>
      </w:pPr>
      <w:r w:rsidRPr="005625E1">
        <w:rPr>
          <w:rFonts w:cstheme="minorHAnsi"/>
          <w:b/>
          <w:color w:val="365F91" w:themeColor="accent1" w:themeShade="BF"/>
        </w:rPr>
        <w:br w:type="page"/>
      </w:r>
      <w:r w:rsidR="00B06EE0" w:rsidRPr="005625E1">
        <w:rPr>
          <w:rFonts w:cstheme="minorHAnsi"/>
          <w:b/>
          <w:color w:val="365F91" w:themeColor="accent1" w:themeShade="BF"/>
        </w:rPr>
        <w:lastRenderedPageBreak/>
        <w:t>3</w:t>
      </w:r>
      <w:r w:rsidR="00A67544" w:rsidRPr="005625E1">
        <w:rPr>
          <w:rFonts w:cstheme="minorHAnsi"/>
          <w:b/>
          <w:color w:val="365F91" w:themeColor="accent1" w:themeShade="BF"/>
        </w:rPr>
        <w:t>.</w:t>
      </w:r>
      <w:r w:rsidR="00310D77" w:rsidRPr="005625E1">
        <w:rPr>
          <w:rFonts w:cstheme="minorHAnsi"/>
          <w:b/>
          <w:color w:val="365F91" w:themeColor="accent1" w:themeShade="BF"/>
        </w:rPr>
        <w:tab/>
      </w:r>
      <w:r w:rsidR="00FD1CB7" w:rsidRPr="005625E1">
        <w:rPr>
          <w:rFonts w:cstheme="minorHAnsi"/>
          <w:b/>
          <w:color w:val="365F91" w:themeColor="accent1" w:themeShade="BF"/>
        </w:rPr>
        <w:t xml:space="preserve">DETAILED FINDINGS </w:t>
      </w:r>
    </w:p>
    <w:p w14:paraId="10C12F4D" w14:textId="77777777" w:rsidR="00824402" w:rsidRDefault="00824402" w:rsidP="00F12713">
      <w:pPr>
        <w:spacing w:after="0" w:line="240" w:lineRule="auto"/>
        <w:rPr>
          <w:rFonts w:cstheme="minorHAnsi"/>
          <w:b/>
        </w:rPr>
      </w:pPr>
    </w:p>
    <w:p w14:paraId="28D2BEAE" w14:textId="398F545C" w:rsidR="00561DC8" w:rsidRDefault="00561DC8" w:rsidP="00AD7B1F">
      <w:pPr>
        <w:jc w:val="both"/>
        <w:rPr>
          <w:rFonts w:cstheme="minorHAnsi"/>
          <w:color w:val="000000" w:themeColor="text1"/>
          <w:lang w:eastAsia="x-none" w:bidi="ar-EG"/>
        </w:rPr>
      </w:pPr>
      <w:r w:rsidRPr="00951C00">
        <w:rPr>
          <w:rFonts w:cstheme="minorHAnsi"/>
          <w:color w:val="000000" w:themeColor="text1"/>
          <w:lang w:eastAsia="x-none" w:bidi="ar-EG"/>
        </w:rPr>
        <w:t>The Validator disagree</w:t>
      </w:r>
      <w:r w:rsidR="00C80888">
        <w:rPr>
          <w:rFonts w:cstheme="minorHAnsi"/>
          <w:color w:val="000000" w:themeColor="text1"/>
          <w:lang w:eastAsia="x-none" w:bidi="ar-EG"/>
        </w:rPr>
        <w:t>s</w:t>
      </w:r>
      <w:r w:rsidRPr="00951C00">
        <w:rPr>
          <w:rFonts w:cstheme="minorHAnsi"/>
          <w:color w:val="000000" w:themeColor="text1"/>
          <w:lang w:eastAsia="x-none" w:bidi="ar-EG"/>
        </w:rPr>
        <w:t xml:space="preserve"> with </w:t>
      </w:r>
      <w:r w:rsidR="00C80888">
        <w:rPr>
          <w:rFonts w:cstheme="minorHAnsi"/>
          <w:color w:val="000000" w:themeColor="text1"/>
          <w:lang w:eastAsia="x-none" w:bidi="ar-EG"/>
        </w:rPr>
        <w:t xml:space="preserve">three of </w:t>
      </w:r>
      <w:r w:rsidRPr="00951C00">
        <w:rPr>
          <w:rFonts w:cstheme="minorHAnsi"/>
          <w:color w:val="000000" w:themeColor="text1"/>
          <w:lang w:eastAsia="x-none" w:bidi="ar-EG"/>
        </w:rPr>
        <w:t>the findings of the Initial Assessment</w:t>
      </w:r>
      <w:r w:rsidR="00C80888">
        <w:rPr>
          <w:rFonts w:cstheme="minorHAnsi"/>
          <w:color w:val="000000" w:themeColor="text1"/>
          <w:lang w:eastAsia="x-none" w:bidi="ar-EG"/>
        </w:rPr>
        <w:t>:</w:t>
      </w:r>
    </w:p>
    <w:p w14:paraId="3EBD73E1" w14:textId="42F88451" w:rsidR="00C80888" w:rsidRDefault="00C80888" w:rsidP="00AD7B1F">
      <w:pPr>
        <w:jc w:val="both"/>
        <w:rPr>
          <w:rFonts w:cstheme="minorHAnsi"/>
          <w:color w:val="000000" w:themeColor="text1"/>
          <w:lang w:eastAsia="x-none" w:bidi="ar-EG"/>
        </w:rPr>
      </w:pPr>
      <w:r>
        <w:rPr>
          <w:rFonts w:cstheme="minorHAnsi"/>
          <w:color w:val="000000" w:themeColor="text1"/>
          <w:lang w:eastAsia="x-none" w:bidi="ar-EG"/>
        </w:rPr>
        <w:t>For Requirement 1.3, due to the</w:t>
      </w:r>
      <w:r w:rsidRPr="00C80888">
        <w:rPr>
          <w:rFonts w:cstheme="minorHAnsi"/>
          <w:color w:val="000000" w:themeColor="text1"/>
          <w:lang w:eastAsia="x-none" w:bidi="ar-EG"/>
        </w:rPr>
        <w:t xml:space="preserve"> internal conflicts over nomination and civil society leadership, civil society has not been effectively engaged in UKEITI.  In line w</w:t>
      </w:r>
      <w:r>
        <w:rPr>
          <w:rFonts w:cstheme="minorHAnsi"/>
          <w:color w:val="000000" w:themeColor="text1"/>
          <w:lang w:eastAsia="x-none" w:bidi="ar-EG"/>
        </w:rPr>
        <w:t>ith the EITI Standard’s definition of Inadequate Progress -</w:t>
      </w:r>
      <w:r w:rsidRPr="00C80888">
        <w:rPr>
          <w:rFonts w:cstheme="minorHAnsi"/>
          <w:color w:val="000000" w:themeColor="text1"/>
          <w:lang w:eastAsia="x-none" w:bidi="ar-EG"/>
        </w:rPr>
        <w:t xml:space="preserve"> “Significant aspects of the requirement have not been implemented and that the broader objective of the re</w:t>
      </w:r>
      <w:r>
        <w:rPr>
          <w:rFonts w:cstheme="minorHAnsi"/>
          <w:color w:val="000000" w:themeColor="text1"/>
          <w:lang w:eastAsia="x-none" w:bidi="ar-EG"/>
        </w:rPr>
        <w:t>quirement is far from fulfilled</w:t>
      </w:r>
      <w:r w:rsidRPr="00C80888">
        <w:rPr>
          <w:rFonts w:cstheme="minorHAnsi"/>
          <w:color w:val="000000" w:themeColor="text1"/>
          <w:lang w:eastAsia="x-none" w:bidi="ar-EG"/>
        </w:rPr>
        <w:t xml:space="preserve">” </w:t>
      </w:r>
      <w:r>
        <w:rPr>
          <w:rFonts w:cstheme="minorHAnsi"/>
          <w:color w:val="000000" w:themeColor="text1"/>
          <w:lang w:eastAsia="x-none" w:bidi="ar-EG"/>
        </w:rPr>
        <w:t xml:space="preserve">- </w:t>
      </w:r>
      <w:r w:rsidRPr="00C80888">
        <w:rPr>
          <w:rFonts w:cstheme="minorHAnsi"/>
          <w:color w:val="000000" w:themeColor="text1"/>
          <w:lang w:eastAsia="x-none" w:bidi="ar-EG"/>
        </w:rPr>
        <w:t>the Validator suggests a downgrade to Inadequate Progress.</w:t>
      </w:r>
      <w:r>
        <w:rPr>
          <w:rFonts w:cstheme="minorHAnsi"/>
          <w:color w:val="000000" w:themeColor="text1"/>
          <w:lang w:eastAsia="x-none" w:bidi="ar-EG"/>
        </w:rPr>
        <w:t xml:space="preserve"> Civil Society has not been substantively or meaningfully engaged in the EITI implementation in the UK so far.</w:t>
      </w:r>
    </w:p>
    <w:p w14:paraId="77F6F32F" w14:textId="57734069" w:rsidR="00C80888" w:rsidRDefault="00C80888" w:rsidP="00AD7B1F">
      <w:pPr>
        <w:jc w:val="both"/>
        <w:rPr>
          <w:rFonts w:cstheme="minorHAnsi"/>
          <w:color w:val="000000" w:themeColor="text1"/>
          <w:lang w:eastAsia="x-none" w:bidi="ar-EG"/>
        </w:rPr>
      </w:pPr>
      <w:r>
        <w:rPr>
          <w:rFonts w:cstheme="minorHAnsi"/>
          <w:color w:val="000000" w:themeColor="text1"/>
          <w:lang w:eastAsia="x-none" w:bidi="ar-EG"/>
        </w:rPr>
        <w:t xml:space="preserve">For Requirement 2.4, </w:t>
      </w:r>
      <w:r w:rsidRPr="00C80888">
        <w:rPr>
          <w:rFonts w:cstheme="minorHAnsi"/>
          <w:color w:val="000000" w:themeColor="text1"/>
          <w:lang w:eastAsia="x-none" w:bidi="ar-EG"/>
        </w:rPr>
        <w:t xml:space="preserve">2.4b of the Standard states, “It is a requirement of the 2016 Standard that the EITI Report documents the government’s policy on disclosure of contracts and licences that govern the exploration and exploitation of oil, gas and minerals.”  The Initial Assessment points to the UK Government’s adoption of Open Contracting and the Open Government Partnership’s national action plans.  However, these do not appear to be sufficient to meet 2.4b.  This is buttressed by the Initial Assessment stating, “it is unclear from the report whether the government has a policy to publish the full text of all licenses in the mining and quarrying sector.”  </w:t>
      </w:r>
    </w:p>
    <w:p w14:paraId="15696B46" w14:textId="7A55C7FF" w:rsidR="00C80888" w:rsidRPr="00C80888" w:rsidRDefault="00C80888" w:rsidP="00AD7B1F">
      <w:pPr>
        <w:jc w:val="both"/>
        <w:rPr>
          <w:rFonts w:cstheme="minorHAnsi"/>
          <w:color w:val="000000" w:themeColor="text1"/>
          <w:lang w:val="en-US" w:eastAsia="x-none" w:bidi="ar-EG"/>
        </w:rPr>
      </w:pPr>
      <w:r>
        <w:rPr>
          <w:rFonts w:cstheme="minorHAnsi"/>
          <w:color w:val="000000" w:themeColor="text1"/>
          <w:lang w:eastAsia="x-none" w:bidi="ar-EG"/>
        </w:rPr>
        <w:t>Finally, for Requirement 7.1, t</w:t>
      </w:r>
      <w:r w:rsidRPr="00C80888">
        <w:rPr>
          <w:rFonts w:cstheme="minorHAnsi"/>
          <w:color w:val="000000" w:themeColor="text1"/>
          <w:lang w:eastAsia="x-none" w:bidi="ar-EG"/>
        </w:rPr>
        <w:t>o all intents and purposes, it looks like the UK EITI Reports are clear and comprehensive, albeit with issues of timeliness raised</w:t>
      </w:r>
      <w:r>
        <w:rPr>
          <w:rFonts w:cstheme="minorHAnsi"/>
          <w:color w:val="000000" w:themeColor="text1"/>
          <w:lang w:eastAsia="x-none" w:bidi="ar-EG"/>
        </w:rPr>
        <w:t xml:space="preserve"> by some stakeholders.  7.1a-d are met.</w:t>
      </w:r>
      <w:r w:rsidRPr="00C80888">
        <w:rPr>
          <w:rFonts w:cstheme="minorHAnsi"/>
          <w:color w:val="000000" w:themeColor="text1"/>
          <w:lang w:eastAsia="x-none" w:bidi="ar-EG"/>
        </w:rPr>
        <w:t xml:space="preserve">   However, contribution to public debate appears to be weak, at least partly because of the CSOs representation issue.  </w:t>
      </w:r>
      <w:r w:rsidR="004414C8">
        <w:rPr>
          <w:rFonts w:cstheme="minorHAnsi"/>
          <w:color w:val="000000" w:themeColor="text1"/>
          <w:lang w:eastAsia="x-none" w:bidi="ar-EG"/>
        </w:rPr>
        <w:t>The initial assessment states that</w:t>
      </w:r>
      <w:r w:rsidRPr="00C80888">
        <w:rPr>
          <w:rFonts w:cstheme="minorHAnsi"/>
          <w:color w:val="000000" w:themeColor="text1"/>
          <w:lang w:eastAsia="x-none" w:bidi="ar-EG"/>
        </w:rPr>
        <w:t xml:space="preserve"> “There have been limited efforts to promote this work beyond Report launch events, and there is limited evidence to suggest that the EITI has contributed to public debate.” </w:t>
      </w:r>
      <w:r>
        <w:rPr>
          <w:rFonts w:cstheme="minorHAnsi"/>
          <w:color w:val="000000" w:themeColor="text1"/>
          <w:lang w:eastAsia="x-none" w:bidi="ar-EG"/>
        </w:rPr>
        <w:t xml:space="preserve">  </w:t>
      </w:r>
      <w:r w:rsidR="004414C8">
        <w:rPr>
          <w:rFonts w:cstheme="minorHAnsi"/>
          <w:color w:val="000000" w:themeColor="text1"/>
          <w:lang w:eastAsia="x-none" w:bidi="ar-EG"/>
        </w:rPr>
        <w:t xml:space="preserve">Meanwhile, </w:t>
      </w:r>
      <w:r>
        <w:rPr>
          <w:rFonts w:cstheme="minorHAnsi"/>
          <w:color w:val="000000" w:themeColor="text1"/>
          <w:lang w:eastAsia="x-none" w:bidi="ar-EG"/>
        </w:rPr>
        <w:t>7.1e requires “</w:t>
      </w:r>
      <w:r w:rsidRPr="00C80888">
        <w:rPr>
          <w:rFonts w:cstheme="minorHAnsi"/>
          <w:color w:val="000000" w:themeColor="text1"/>
          <w:lang w:val="en-US" w:eastAsia="x-none" w:bidi="ar-EG"/>
        </w:rPr>
        <w:t>Ensure that outreach events, whether organised by government, civil society or companies, are undertaken to spread awareness of and facilitate dialogue about the EITI Report across the country.</w:t>
      </w:r>
      <w:r>
        <w:rPr>
          <w:rFonts w:cstheme="minorHAnsi"/>
          <w:color w:val="000000" w:themeColor="text1"/>
          <w:lang w:val="en-US" w:eastAsia="x-none" w:bidi="ar-EG"/>
        </w:rPr>
        <w:t>”  Stakeholder views in the initial assessment state that “</w:t>
      </w:r>
      <w:r w:rsidRPr="00C80888">
        <w:rPr>
          <w:rFonts w:cstheme="minorHAnsi"/>
          <w:color w:val="000000" w:themeColor="text1"/>
          <w:lang w:eastAsia="x-none" w:bidi="ar-EG"/>
        </w:rPr>
        <w:t>The majority of stakeholders noted that the EITI had not had a significant impact on the public’s un</w:t>
      </w:r>
      <w:r>
        <w:rPr>
          <w:rFonts w:cstheme="minorHAnsi"/>
          <w:color w:val="000000" w:themeColor="text1"/>
          <w:lang w:eastAsia="x-none" w:bidi="ar-EG"/>
        </w:rPr>
        <w:t>derstanding of the extractives.”  The Validator therefore finds it difficult to accept that there has been satisfactory progress on this requirement given these statements.</w:t>
      </w:r>
      <w:r w:rsidRPr="00C80888">
        <w:rPr>
          <w:rFonts w:cstheme="minorHAnsi"/>
          <w:color w:val="000000" w:themeColor="text1"/>
          <w:lang w:val="en-US" w:eastAsia="x-none" w:bidi="ar-EG"/>
        </w:rPr>
        <w:t xml:space="preserve"> </w:t>
      </w:r>
    </w:p>
    <w:p w14:paraId="5408CCA0" w14:textId="77777777" w:rsidR="00A938B1" w:rsidRDefault="00A938B1" w:rsidP="00AD7B1F">
      <w:pPr>
        <w:spacing w:after="0" w:line="240" w:lineRule="auto"/>
        <w:jc w:val="both"/>
        <w:rPr>
          <w:rFonts w:cstheme="minorHAnsi"/>
        </w:rPr>
      </w:pPr>
    </w:p>
    <w:p w14:paraId="709EEE9D" w14:textId="77777777" w:rsidR="00A938B1" w:rsidRPr="00A938B1" w:rsidRDefault="00A938B1" w:rsidP="00AD7B1F">
      <w:pPr>
        <w:spacing w:after="0" w:line="240" w:lineRule="auto"/>
        <w:jc w:val="both"/>
        <w:rPr>
          <w:rFonts w:cstheme="minorHAnsi"/>
        </w:rPr>
      </w:pPr>
    </w:p>
    <w:p w14:paraId="53E190DE" w14:textId="344C38FF" w:rsidR="00766D41" w:rsidRPr="005625E1" w:rsidRDefault="00766D41" w:rsidP="00AD7B1F">
      <w:pPr>
        <w:spacing w:after="0" w:line="240" w:lineRule="auto"/>
        <w:ind w:left="720" w:hanging="720"/>
        <w:jc w:val="both"/>
        <w:rPr>
          <w:rFonts w:cstheme="minorHAnsi"/>
          <w:b/>
          <w:color w:val="1F497D" w:themeColor="text2"/>
        </w:rPr>
      </w:pPr>
      <w:r w:rsidRPr="005625E1">
        <w:rPr>
          <w:rFonts w:cstheme="minorHAnsi"/>
          <w:b/>
          <w:color w:val="1F497D" w:themeColor="text2"/>
        </w:rPr>
        <w:t>4</w:t>
      </w:r>
      <w:r w:rsidR="00310D77" w:rsidRPr="005625E1">
        <w:rPr>
          <w:rFonts w:cstheme="minorHAnsi"/>
          <w:b/>
          <w:color w:val="1F497D" w:themeColor="text2"/>
        </w:rPr>
        <w:t>.</w:t>
      </w:r>
      <w:r w:rsidR="00310D77" w:rsidRPr="005625E1">
        <w:rPr>
          <w:rFonts w:cstheme="minorHAnsi"/>
          <w:b/>
          <w:color w:val="1F497D" w:themeColor="text2"/>
        </w:rPr>
        <w:tab/>
      </w:r>
      <w:r w:rsidRPr="005625E1">
        <w:rPr>
          <w:rFonts w:cstheme="minorHAnsi"/>
          <w:b/>
          <w:color w:val="1F497D" w:themeColor="text2"/>
        </w:rPr>
        <w:t>RECOMMENDATIONS</w:t>
      </w:r>
      <w:r w:rsidR="00310D77" w:rsidRPr="005625E1">
        <w:rPr>
          <w:rFonts w:cstheme="minorHAnsi"/>
          <w:b/>
          <w:color w:val="1F497D" w:themeColor="text2"/>
        </w:rPr>
        <w:t xml:space="preserve"> </w:t>
      </w:r>
    </w:p>
    <w:p w14:paraId="0F7F6A38" w14:textId="77954A7A" w:rsidR="00823D46" w:rsidRDefault="00823D46" w:rsidP="00AD7B1F">
      <w:pPr>
        <w:spacing w:after="0" w:line="240" w:lineRule="auto"/>
        <w:ind w:left="720" w:hanging="720"/>
        <w:jc w:val="both"/>
        <w:rPr>
          <w:rFonts w:cstheme="minorHAnsi"/>
          <w:b/>
          <w:color w:val="FF0000"/>
        </w:rPr>
      </w:pPr>
    </w:p>
    <w:p w14:paraId="43A8F4F3" w14:textId="50EF2AF4" w:rsidR="006064F6" w:rsidRPr="005C3EC8" w:rsidRDefault="006064F6" w:rsidP="00AD7B1F">
      <w:pPr>
        <w:jc w:val="both"/>
        <w:rPr>
          <w:rFonts w:ascii="Calibri" w:hAnsi="Calibri"/>
        </w:rPr>
      </w:pPr>
      <w:r w:rsidRPr="005C3EC8">
        <w:rPr>
          <w:rFonts w:ascii="Calibri" w:hAnsi="Calibri"/>
        </w:rPr>
        <w:t>While the following report includes recommendations for specific improvements the UK may wish to consider implementing, the following is a</w:t>
      </w:r>
      <w:r w:rsidR="005F4BE3">
        <w:rPr>
          <w:rFonts w:ascii="Calibri" w:hAnsi="Calibri"/>
        </w:rPr>
        <w:t>lso a</w:t>
      </w:r>
      <w:r w:rsidRPr="005C3EC8">
        <w:rPr>
          <w:rFonts w:ascii="Calibri" w:hAnsi="Calibri"/>
        </w:rPr>
        <w:t xml:space="preserve"> list of strategic corrective actions that could help the UK make even greater use of the EITI as an instrument to support reforms.</w:t>
      </w:r>
    </w:p>
    <w:p w14:paraId="43C9F288" w14:textId="77777777" w:rsidR="006064F6" w:rsidRPr="006064F6" w:rsidRDefault="006064F6" w:rsidP="00AD7B1F">
      <w:pPr>
        <w:widowControl w:val="0"/>
        <w:numPr>
          <w:ilvl w:val="0"/>
          <w:numId w:val="10"/>
        </w:numPr>
        <w:suppressAutoHyphens/>
        <w:spacing w:after="360" w:line="264" w:lineRule="auto"/>
        <w:jc w:val="both"/>
      </w:pPr>
      <w:r w:rsidRPr="006064F6">
        <w:t xml:space="preserve">In accordance with Requirement 1.3.a, the civil society constituency should demonstrate that they are fully, actively and effectively engaged in the EITI process. Specifically, civil society should ensure that they are able to fully contribute and provide input to the EITI process by ensuring that the constituency is adequately represented on the MSG, with agreed mechanisms for wider constituency engagement. </w:t>
      </w:r>
    </w:p>
    <w:p w14:paraId="356A2698" w14:textId="77777777" w:rsidR="006064F6" w:rsidRPr="006064F6" w:rsidRDefault="006064F6" w:rsidP="00AD7B1F">
      <w:pPr>
        <w:widowControl w:val="0"/>
        <w:numPr>
          <w:ilvl w:val="0"/>
          <w:numId w:val="10"/>
        </w:numPr>
        <w:suppressAutoHyphens/>
        <w:spacing w:after="360" w:line="264" w:lineRule="auto"/>
        <w:jc w:val="both"/>
      </w:pPr>
      <w:r w:rsidRPr="006064F6">
        <w:t xml:space="preserve">In accordance with Requirement 1.4.a.ii, the MSG should ensure that the civil society constituency is adequately represented, and that the civil society constituency appoints its own representatives, </w:t>
      </w:r>
      <w:r w:rsidRPr="006064F6">
        <w:lastRenderedPageBreak/>
        <w:t>bearing in mind the desirability of pluralistic and diverse representation.</w:t>
      </w:r>
    </w:p>
    <w:p w14:paraId="4457713B" w14:textId="77777777" w:rsidR="006064F6" w:rsidRPr="005C3EC8" w:rsidRDefault="006064F6" w:rsidP="00AD7B1F">
      <w:pPr>
        <w:widowControl w:val="0"/>
        <w:numPr>
          <w:ilvl w:val="0"/>
          <w:numId w:val="10"/>
        </w:numPr>
        <w:suppressAutoHyphens/>
        <w:spacing w:after="360" w:line="264" w:lineRule="auto"/>
        <w:jc w:val="both"/>
      </w:pPr>
      <w:r w:rsidRPr="006064F6">
        <w:t>In accordance with Requirement 2.2, the UK should disclose information related to the award or transfer of licenses pertaining to the companies covered in EITI reporting. This information should include the number of mining, oil and gas licenses awarded and transferred in the year covered by the EITI reporting cycle, a description of the award procedures, including specific technical and</w:t>
      </w:r>
      <w:r w:rsidRPr="005C3EC8">
        <w:t xml:space="preserve"> financial criteria assessed, and highlight any non-trivial deviations in practice. The UK is encouraged to consider innovative solutions for embedding a public accountability mechanism to ensure transparency on any non-trivial deviations from statutory procedures in its systematic disclosures of information per Requirement 2.2. </w:t>
      </w:r>
    </w:p>
    <w:p w14:paraId="699FC05E" w14:textId="77777777" w:rsidR="006064F6" w:rsidRPr="005C3EC8" w:rsidRDefault="006064F6" w:rsidP="00AD7B1F">
      <w:pPr>
        <w:widowControl w:val="0"/>
        <w:numPr>
          <w:ilvl w:val="0"/>
          <w:numId w:val="10"/>
        </w:numPr>
        <w:suppressAutoHyphens/>
        <w:spacing w:after="360" w:line="264" w:lineRule="auto"/>
        <w:jc w:val="both"/>
      </w:pPr>
      <w:r w:rsidRPr="005C3EC8">
        <w:t>In accordance with Requirement 2.3, the UK should maintain a publicly available register or cadastre system(s), including comprehensive information on all active licenses held by all mining and quarrying companies included in the scope of EITI reporting. In the interim the UK should ensure that future EITI reporting provides the information set out under Requirement 2.3.b for all mining and quarrying companies. The UK is encouraged to consider the extent to which integration of EITI reporting with the work of organisations like the British Geological Survey could ensure systematic disclosure of information mandated under Requirement 2.3.b.</w:t>
      </w:r>
    </w:p>
    <w:p w14:paraId="30A3D17B" w14:textId="77777777" w:rsidR="006064F6" w:rsidRPr="005C3EC8" w:rsidRDefault="006064F6" w:rsidP="00AD7B1F">
      <w:pPr>
        <w:widowControl w:val="0"/>
        <w:numPr>
          <w:ilvl w:val="0"/>
          <w:numId w:val="10"/>
        </w:numPr>
        <w:suppressAutoHyphens/>
        <w:spacing w:after="360" w:line="264" w:lineRule="auto"/>
        <w:jc w:val="both"/>
      </w:pPr>
      <w:r w:rsidRPr="005C3EC8">
        <w:t>In accordance with Requirement 3.2, the UK should ensure that estimates of production values are publicly disclosed for all minerals produced in the year under review. The UK is encouraged to consider the extent to which estimates prepared based on average benchmarks could ensure that general estimates of the value of production is in the public domain.</w:t>
      </w:r>
    </w:p>
    <w:p w14:paraId="17A834C7" w14:textId="77777777" w:rsidR="006064F6" w:rsidRPr="005C3EC8" w:rsidRDefault="006064F6" w:rsidP="00AD7B1F">
      <w:pPr>
        <w:widowControl w:val="0"/>
        <w:numPr>
          <w:ilvl w:val="0"/>
          <w:numId w:val="10"/>
        </w:numPr>
        <w:suppressAutoHyphens/>
        <w:spacing w:after="360" w:line="264" w:lineRule="auto"/>
        <w:jc w:val="both"/>
      </w:pPr>
      <w:r w:rsidRPr="005C3EC8">
        <w:t>In accordance with Requirement 3.3, the UK should ensure that export volumes and values are publicly disclosed for every mineral commodity exported annually.</w:t>
      </w:r>
    </w:p>
    <w:p w14:paraId="2AFD68A5" w14:textId="77777777" w:rsidR="006064F6" w:rsidRPr="004E2EAE" w:rsidRDefault="006064F6" w:rsidP="00AD7B1F">
      <w:pPr>
        <w:widowControl w:val="0"/>
        <w:numPr>
          <w:ilvl w:val="0"/>
          <w:numId w:val="10"/>
        </w:numPr>
        <w:suppressAutoHyphens/>
        <w:spacing w:after="360" w:line="264" w:lineRule="auto"/>
        <w:jc w:val="both"/>
      </w:pPr>
      <w:r w:rsidRPr="005C3EC8">
        <w:rPr>
          <w:rFonts w:eastAsia="Calibri"/>
        </w:rPr>
        <w:t>In accordance with Requirement 6.1, the UK should assess the materiality of mandatory social expenditures ahead of future EITI reporting and ensure that reporting of mandatory social expenditures be disaggregated by type of payment, nature of in-kind contributions and beneficiary(ies), clarifying the name and function of any non-government (third-party) beneficiaries where applicable.</w:t>
      </w:r>
    </w:p>
    <w:p w14:paraId="56A45E2D" w14:textId="77777777" w:rsidR="006064F6" w:rsidRPr="005C3EC8" w:rsidRDefault="006064F6" w:rsidP="00AD7B1F">
      <w:pPr>
        <w:widowControl w:val="0"/>
        <w:numPr>
          <w:ilvl w:val="0"/>
          <w:numId w:val="10"/>
        </w:numPr>
        <w:suppressAutoHyphens/>
        <w:spacing w:after="360" w:line="264" w:lineRule="auto"/>
        <w:jc w:val="both"/>
      </w:pPr>
      <w:r>
        <w:t>In accordance with requirement 7.4, t</w:t>
      </w:r>
      <w:r w:rsidRPr="00B51B3A">
        <w:t>he MSG, with the full, active and effective engagement of civil society, should review the impact of the first five years of EITI implementation and explore the opportunities to further leverage the EITI platform to enrich public debate on the governance and stewardship of the UK's oil, gas and mineral resources.</w:t>
      </w:r>
    </w:p>
    <w:p w14:paraId="35790013" w14:textId="77777777" w:rsidR="00C352FD" w:rsidRDefault="00C352FD" w:rsidP="00C352FD">
      <w:pPr>
        <w:spacing w:after="0" w:line="240" w:lineRule="auto"/>
        <w:rPr>
          <w:rFonts w:cstheme="minorHAnsi"/>
        </w:rPr>
      </w:pPr>
    </w:p>
    <w:p w14:paraId="7E04B2AA" w14:textId="77777777" w:rsidR="00C352FD" w:rsidRDefault="00C352FD" w:rsidP="00C352FD">
      <w:pPr>
        <w:spacing w:after="0" w:line="240" w:lineRule="auto"/>
        <w:rPr>
          <w:rFonts w:cstheme="minorHAnsi"/>
        </w:rPr>
      </w:pPr>
    </w:p>
    <w:p w14:paraId="7053208A" w14:textId="2CC17537" w:rsidR="000608BE" w:rsidRPr="000608BE" w:rsidRDefault="000608BE" w:rsidP="002E590F">
      <w:pPr>
        <w:widowControl w:val="0"/>
        <w:suppressAutoHyphens/>
        <w:spacing w:after="0" w:line="240" w:lineRule="auto"/>
        <w:jc w:val="center"/>
        <w:rPr>
          <w:rFonts w:cstheme="minorHAnsi"/>
        </w:rPr>
      </w:pPr>
      <w:r>
        <w:rPr>
          <w:rFonts w:cstheme="minorHAnsi"/>
        </w:rPr>
        <w:t>***</w:t>
      </w:r>
    </w:p>
    <w:sectPr w:rsidR="000608BE" w:rsidRPr="000608BE" w:rsidSect="00C71C1F">
      <w:headerReference w:type="even" r:id="rId12"/>
      <w:headerReference w:type="default" r:id="rId13"/>
      <w:footerReference w:type="even" r:id="rId14"/>
      <w:footerReference w:type="default" r:id="rId15"/>
      <w:headerReference w:type="first" r:id="rId16"/>
      <w:footerReference w:type="first" r:id="rId17"/>
      <w:pgSz w:w="12240" w:h="15840" w:code="1"/>
      <w:pgMar w:top="1170" w:right="1260" w:bottom="117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C0A80" w14:textId="77777777" w:rsidR="0031659E" w:rsidRDefault="0031659E" w:rsidP="00186F04">
      <w:pPr>
        <w:spacing w:after="0" w:line="240" w:lineRule="auto"/>
      </w:pPr>
      <w:r>
        <w:separator/>
      </w:r>
    </w:p>
  </w:endnote>
  <w:endnote w:type="continuationSeparator" w:id="0">
    <w:p w14:paraId="60E871D2" w14:textId="77777777" w:rsidR="0031659E" w:rsidRDefault="0031659E" w:rsidP="00186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84F37" w14:textId="77777777" w:rsidR="00C80888" w:rsidRDefault="00C80888" w:rsidP="002C0F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31422" w14:textId="77777777" w:rsidR="00C80888" w:rsidRDefault="00C80888" w:rsidP="00185B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03647" w14:textId="4E64F234" w:rsidR="00C80888" w:rsidRDefault="00C80888" w:rsidP="002C0F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14C8">
      <w:rPr>
        <w:rStyle w:val="PageNumber"/>
        <w:noProof/>
      </w:rPr>
      <w:t>10</w:t>
    </w:r>
    <w:r>
      <w:rPr>
        <w:rStyle w:val="PageNumber"/>
      </w:rPr>
      <w:fldChar w:fldCharType="end"/>
    </w:r>
  </w:p>
  <w:p w14:paraId="57266DD4" w14:textId="77777777" w:rsidR="00C80888" w:rsidRDefault="00C80888" w:rsidP="00185BF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24C17" w14:textId="77777777" w:rsidR="00BD6DFD" w:rsidRDefault="00BD6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8EBEE" w14:textId="77777777" w:rsidR="0031659E" w:rsidRDefault="0031659E" w:rsidP="00186F04">
      <w:pPr>
        <w:spacing w:after="0" w:line="240" w:lineRule="auto"/>
      </w:pPr>
      <w:r>
        <w:separator/>
      </w:r>
    </w:p>
  </w:footnote>
  <w:footnote w:type="continuationSeparator" w:id="0">
    <w:p w14:paraId="6BE2C311" w14:textId="77777777" w:rsidR="0031659E" w:rsidRDefault="0031659E" w:rsidP="00186F04">
      <w:pPr>
        <w:spacing w:after="0" w:line="240" w:lineRule="auto"/>
      </w:pPr>
      <w:r>
        <w:continuationSeparator/>
      </w:r>
    </w:p>
  </w:footnote>
  <w:footnote w:id="1">
    <w:p w14:paraId="0EF60075" w14:textId="32FCC8C9" w:rsidR="00E17BF2" w:rsidRPr="00E17BF2" w:rsidRDefault="00E17BF2">
      <w:pPr>
        <w:pStyle w:val="FootnoteText"/>
        <w:rPr>
          <w:rFonts w:asciiTheme="minorHAnsi" w:hAnsiTheme="minorHAnsi" w:cstheme="minorHAnsi"/>
        </w:rPr>
      </w:pPr>
      <w:r w:rsidRPr="00E17BF2">
        <w:rPr>
          <w:rStyle w:val="FootnoteReference"/>
          <w:rFonts w:asciiTheme="minorHAnsi" w:hAnsiTheme="minorHAnsi" w:cstheme="minorHAnsi"/>
        </w:rPr>
        <w:footnoteRef/>
      </w:r>
      <w:r w:rsidRPr="00E17BF2">
        <w:rPr>
          <w:rFonts w:asciiTheme="minorHAnsi" w:hAnsiTheme="minorHAnsi" w:cstheme="minorHAnsi"/>
        </w:rPr>
        <w:t xml:space="preserve"> An error in the assessment table has been corrected by the International Secretariat</w:t>
      </w:r>
    </w:p>
  </w:footnote>
  <w:footnote w:id="2">
    <w:p w14:paraId="44EE276A" w14:textId="77777777" w:rsidR="00C80888" w:rsidRPr="00E17BF2" w:rsidRDefault="00C80888" w:rsidP="00CA13B8">
      <w:pPr>
        <w:pStyle w:val="FootnoteText"/>
        <w:rPr>
          <w:rFonts w:asciiTheme="minorHAnsi" w:hAnsiTheme="minorHAnsi" w:cstheme="minorHAnsi"/>
          <w:sz w:val="18"/>
          <w:szCs w:val="18"/>
        </w:rPr>
      </w:pPr>
      <w:r w:rsidRPr="00E17BF2">
        <w:rPr>
          <w:rStyle w:val="FootnoteReference"/>
          <w:rFonts w:asciiTheme="minorHAnsi" w:hAnsiTheme="minorHAnsi" w:cstheme="minorHAnsi"/>
          <w:sz w:val="18"/>
          <w:szCs w:val="18"/>
        </w:rPr>
        <w:footnoteRef/>
      </w:r>
      <w:r w:rsidRPr="00E17BF2">
        <w:rPr>
          <w:rFonts w:asciiTheme="minorHAnsi" w:hAnsiTheme="minorHAnsi" w:cstheme="minorHAnsi"/>
          <w:sz w:val="18"/>
          <w:szCs w:val="18"/>
        </w:rPr>
        <w:t xml:space="preserve"> </w:t>
      </w:r>
      <w:hyperlink r:id="rId1" w:history="1">
        <w:r w:rsidRPr="00E17BF2">
          <w:rPr>
            <w:rStyle w:val="Hyperlink"/>
            <w:rFonts w:asciiTheme="minorHAnsi" w:hAnsiTheme="minorHAnsi" w:cstheme="minorHAnsi"/>
            <w:sz w:val="18"/>
            <w:szCs w:val="18"/>
          </w:rPr>
          <w:t>https://eiti.org/document/validation-schedule-decisions</w:t>
        </w:r>
      </w:hyperlink>
      <w:r w:rsidRPr="00E17BF2">
        <w:rPr>
          <w:rFonts w:asciiTheme="minorHAnsi" w:hAnsiTheme="minorHAnsi" w:cstheme="minorHAnsi"/>
          <w:sz w:val="18"/>
          <w:szCs w:val="18"/>
        </w:rPr>
        <w:t xml:space="preserve"> </w:t>
      </w:r>
    </w:p>
  </w:footnote>
  <w:footnote w:id="3">
    <w:p w14:paraId="58027CC0" w14:textId="77777777" w:rsidR="00C80888" w:rsidRPr="00E17BF2" w:rsidRDefault="00C80888" w:rsidP="00CA13B8">
      <w:pPr>
        <w:pStyle w:val="FootnoteText"/>
        <w:rPr>
          <w:rFonts w:asciiTheme="minorHAnsi" w:hAnsiTheme="minorHAnsi" w:cstheme="minorHAnsi"/>
          <w:sz w:val="18"/>
          <w:szCs w:val="18"/>
        </w:rPr>
      </w:pPr>
      <w:r w:rsidRPr="00E17BF2">
        <w:rPr>
          <w:rStyle w:val="FootnoteReference"/>
          <w:rFonts w:asciiTheme="minorHAnsi" w:hAnsiTheme="minorHAnsi" w:cstheme="minorHAnsi"/>
          <w:sz w:val="18"/>
          <w:szCs w:val="18"/>
        </w:rPr>
        <w:footnoteRef/>
      </w:r>
      <w:r w:rsidRPr="00E17BF2">
        <w:rPr>
          <w:rFonts w:asciiTheme="minorHAnsi" w:hAnsiTheme="minorHAnsi" w:cstheme="minorHAnsi"/>
          <w:sz w:val="18"/>
          <w:szCs w:val="18"/>
        </w:rPr>
        <w:t xml:space="preserve"> </w:t>
      </w:r>
      <w:hyperlink r:id="rId2" w:anchor="pipelines-and-platforms" w:history="1">
        <w:r w:rsidRPr="00E17BF2">
          <w:rPr>
            <w:rStyle w:val="Hyperlink"/>
            <w:rFonts w:asciiTheme="minorHAnsi" w:hAnsiTheme="minorHAnsi" w:cstheme="minorHAnsi"/>
            <w:sz w:val="18"/>
            <w:szCs w:val="18"/>
          </w:rPr>
          <w:t>https://www.gov.uk/guidance/oil-and-gas-infrastructure#pipelines-and-platforms</w:t>
        </w:r>
      </w:hyperlink>
      <w:r w:rsidRPr="00E17BF2">
        <w:rPr>
          <w:rFonts w:asciiTheme="minorHAnsi" w:hAnsiTheme="minorHAnsi" w:cstheme="minorHAnsi"/>
          <w:sz w:val="18"/>
          <w:szCs w:val="18"/>
        </w:rPr>
        <w:t xml:space="preserve"> </w:t>
      </w:r>
    </w:p>
  </w:footnote>
  <w:footnote w:id="4">
    <w:p w14:paraId="7278A3CB" w14:textId="77777777" w:rsidR="00C80888" w:rsidRPr="00E17BF2" w:rsidRDefault="00C80888" w:rsidP="00CA13B8">
      <w:pPr>
        <w:pStyle w:val="FootnoteText"/>
        <w:rPr>
          <w:rFonts w:asciiTheme="minorHAnsi" w:hAnsiTheme="minorHAnsi" w:cstheme="minorHAnsi"/>
          <w:sz w:val="18"/>
          <w:szCs w:val="18"/>
        </w:rPr>
      </w:pPr>
      <w:r w:rsidRPr="00E17BF2">
        <w:rPr>
          <w:rStyle w:val="FootnoteReference"/>
          <w:rFonts w:asciiTheme="minorHAnsi" w:hAnsiTheme="minorHAnsi" w:cstheme="minorHAnsi"/>
          <w:sz w:val="18"/>
          <w:szCs w:val="18"/>
        </w:rPr>
        <w:footnoteRef/>
      </w:r>
      <w:r w:rsidRPr="00E17BF2">
        <w:rPr>
          <w:rFonts w:asciiTheme="minorHAnsi" w:hAnsiTheme="minorHAnsi" w:cstheme="minorHAnsi"/>
          <w:sz w:val="18"/>
          <w:szCs w:val="18"/>
        </w:rPr>
        <w:t xml:space="preserve"> Oil and Gas UK (2018): “Workforce Report 2018” </w:t>
      </w:r>
      <w:hyperlink r:id="rId3" w:history="1">
        <w:r w:rsidRPr="00E17BF2">
          <w:rPr>
            <w:rStyle w:val="Hyperlink"/>
            <w:rFonts w:asciiTheme="minorHAnsi" w:hAnsiTheme="minorHAnsi" w:cstheme="minorHAnsi"/>
            <w:sz w:val="18"/>
            <w:szCs w:val="18"/>
          </w:rPr>
          <w:t>https://oilandgasuk.co.uk/wp-content/uploads/2019/03/OGUK-Workforce-Report-2018.pdf</w:t>
        </w:r>
      </w:hyperlink>
      <w:r w:rsidRPr="00E17BF2">
        <w:rPr>
          <w:rFonts w:asciiTheme="minorHAnsi" w:hAnsiTheme="minorHAnsi" w:cstheme="minorHAnsi"/>
          <w:sz w:val="18"/>
          <w:szCs w:val="18"/>
        </w:rPr>
        <w:t xml:space="preserve"> </w:t>
      </w:r>
    </w:p>
  </w:footnote>
  <w:footnote w:id="5">
    <w:p w14:paraId="19309EFB" w14:textId="77777777" w:rsidR="00C80888" w:rsidRPr="00E17BF2" w:rsidRDefault="00C80888" w:rsidP="00CA13B8">
      <w:pPr>
        <w:pStyle w:val="FootnoteText"/>
        <w:rPr>
          <w:rFonts w:asciiTheme="minorHAnsi" w:hAnsiTheme="minorHAnsi" w:cstheme="minorHAnsi"/>
          <w:sz w:val="18"/>
          <w:szCs w:val="18"/>
        </w:rPr>
      </w:pPr>
      <w:r w:rsidRPr="00E17BF2">
        <w:rPr>
          <w:rStyle w:val="FootnoteReference"/>
          <w:rFonts w:asciiTheme="minorHAnsi" w:hAnsiTheme="minorHAnsi" w:cstheme="minorHAnsi"/>
          <w:sz w:val="18"/>
          <w:szCs w:val="18"/>
        </w:rPr>
        <w:footnoteRef/>
      </w:r>
      <w:r w:rsidRPr="00E17BF2">
        <w:rPr>
          <w:rFonts w:asciiTheme="minorHAnsi" w:hAnsiTheme="minorHAnsi" w:cstheme="minorHAnsi"/>
          <w:sz w:val="18"/>
          <w:szCs w:val="18"/>
        </w:rPr>
        <w:t xml:space="preserve"> Ib id </w:t>
      </w:r>
    </w:p>
  </w:footnote>
  <w:footnote w:id="6">
    <w:p w14:paraId="794FBCF3" w14:textId="77777777" w:rsidR="00C80888" w:rsidRPr="00E17BF2" w:rsidRDefault="00C80888" w:rsidP="00CA13B8">
      <w:pPr>
        <w:pStyle w:val="FootnoteText"/>
        <w:rPr>
          <w:rFonts w:asciiTheme="minorHAnsi" w:hAnsiTheme="minorHAnsi" w:cstheme="minorHAnsi"/>
          <w:sz w:val="18"/>
          <w:szCs w:val="18"/>
        </w:rPr>
      </w:pPr>
      <w:r w:rsidRPr="00E17BF2">
        <w:rPr>
          <w:rStyle w:val="FootnoteReference"/>
          <w:rFonts w:asciiTheme="minorHAnsi" w:hAnsiTheme="minorHAnsi" w:cstheme="minorHAnsi"/>
          <w:sz w:val="18"/>
          <w:szCs w:val="18"/>
        </w:rPr>
        <w:footnoteRef/>
      </w:r>
      <w:r w:rsidRPr="00E17BF2">
        <w:rPr>
          <w:rFonts w:asciiTheme="minorHAnsi" w:hAnsiTheme="minorHAnsi" w:cstheme="minorHAnsi"/>
          <w:sz w:val="18"/>
          <w:szCs w:val="18"/>
        </w:rPr>
        <w:t xml:space="preserve"> Oil and Gas UK (2018): “Economic Report” </w:t>
      </w:r>
      <w:hyperlink r:id="rId4" w:history="1">
        <w:r w:rsidRPr="00E17BF2">
          <w:rPr>
            <w:rStyle w:val="Hyperlink"/>
            <w:rFonts w:asciiTheme="minorHAnsi" w:hAnsiTheme="minorHAnsi" w:cstheme="minorHAnsi"/>
            <w:sz w:val="18"/>
            <w:szCs w:val="18"/>
          </w:rPr>
          <w:t>https://oilandgasuk.co.uk/wp-content/uploads/2019/03/OGUK-Economic-Report-2018.pdf</w:t>
        </w:r>
      </w:hyperlink>
      <w:r w:rsidRPr="00E17BF2">
        <w:rPr>
          <w:rFonts w:asciiTheme="minorHAnsi" w:hAnsiTheme="minorHAnsi" w:cstheme="minorHAnsi"/>
          <w:sz w:val="18"/>
          <w:szCs w:val="18"/>
        </w:rPr>
        <w:t xml:space="preserve">  </w:t>
      </w:r>
    </w:p>
  </w:footnote>
  <w:footnote w:id="7">
    <w:p w14:paraId="0310B835" w14:textId="77777777" w:rsidR="00C80888" w:rsidRPr="00E17BF2" w:rsidRDefault="00C80888" w:rsidP="00CA13B8">
      <w:pPr>
        <w:pStyle w:val="FootnoteText"/>
        <w:rPr>
          <w:rFonts w:asciiTheme="minorHAnsi" w:hAnsiTheme="minorHAnsi" w:cstheme="minorHAnsi"/>
          <w:sz w:val="18"/>
          <w:szCs w:val="18"/>
        </w:rPr>
      </w:pPr>
      <w:r w:rsidRPr="00E17BF2">
        <w:rPr>
          <w:rStyle w:val="FootnoteReference"/>
          <w:rFonts w:asciiTheme="minorHAnsi" w:hAnsiTheme="minorHAnsi" w:cstheme="minorHAnsi"/>
          <w:sz w:val="18"/>
          <w:szCs w:val="18"/>
        </w:rPr>
        <w:footnoteRef/>
      </w:r>
      <w:r w:rsidRPr="00E17BF2">
        <w:rPr>
          <w:rFonts w:asciiTheme="minorHAnsi" w:hAnsiTheme="minorHAnsi" w:cstheme="minorHAnsi"/>
          <w:sz w:val="18"/>
          <w:szCs w:val="18"/>
        </w:rPr>
        <w:t xml:space="preserve"> Oil and Gas UK (2018): “Economic Report” </w:t>
      </w:r>
      <w:hyperlink r:id="rId5" w:history="1">
        <w:r w:rsidRPr="00E17BF2">
          <w:rPr>
            <w:rStyle w:val="Hyperlink"/>
            <w:rFonts w:asciiTheme="minorHAnsi" w:hAnsiTheme="minorHAnsi" w:cstheme="minorHAnsi"/>
            <w:sz w:val="18"/>
            <w:szCs w:val="18"/>
          </w:rPr>
          <w:t>https://oilandgasuk.co.uk/wp-content/uploads/2019/03/OGUK-Economic-Report-2018.pdf</w:t>
        </w:r>
      </w:hyperlink>
    </w:p>
  </w:footnote>
  <w:footnote w:id="8">
    <w:p w14:paraId="33777B88" w14:textId="77777777" w:rsidR="00C80888" w:rsidRPr="00E17BF2" w:rsidRDefault="00C80888" w:rsidP="00CA13B8">
      <w:pPr>
        <w:pStyle w:val="FootnoteText"/>
        <w:rPr>
          <w:rFonts w:asciiTheme="minorHAnsi" w:hAnsiTheme="minorHAnsi" w:cstheme="minorHAnsi"/>
          <w:sz w:val="18"/>
          <w:szCs w:val="18"/>
        </w:rPr>
      </w:pPr>
      <w:r w:rsidRPr="00E17BF2">
        <w:rPr>
          <w:rStyle w:val="FootnoteReference"/>
          <w:rFonts w:asciiTheme="minorHAnsi" w:hAnsiTheme="minorHAnsi" w:cstheme="minorHAnsi"/>
          <w:sz w:val="18"/>
          <w:szCs w:val="18"/>
        </w:rPr>
        <w:footnoteRef/>
      </w:r>
      <w:r w:rsidRPr="00E17BF2">
        <w:rPr>
          <w:rFonts w:asciiTheme="minorHAnsi" w:hAnsiTheme="minorHAnsi" w:cstheme="minorHAnsi"/>
          <w:sz w:val="18"/>
          <w:szCs w:val="18"/>
        </w:rPr>
        <w:t xml:space="preserve"> Source: UK Oil and Gas Authority (2019) “Projections of UK Oil and Gas Production and Expenditure” </w:t>
      </w:r>
      <w:hyperlink r:id="rId6" w:history="1">
        <w:r w:rsidRPr="00E17BF2">
          <w:rPr>
            <w:rStyle w:val="Hyperlink"/>
            <w:rFonts w:asciiTheme="minorHAnsi" w:hAnsiTheme="minorHAnsi" w:cstheme="minorHAnsi"/>
            <w:sz w:val="18"/>
            <w:szCs w:val="18"/>
          </w:rPr>
          <w:t>https://www.ogauthority.co.uk/media/5391/oga_projections_of_uk_oil_and_gas_production_and_expenditure.pdf</w:t>
        </w:r>
      </w:hyperlink>
      <w:r w:rsidRPr="00E17BF2">
        <w:rPr>
          <w:rFonts w:asciiTheme="minorHAnsi" w:hAnsiTheme="minorHAnsi" w:cstheme="minorHAnsi"/>
          <w:sz w:val="18"/>
          <w:szCs w:val="18"/>
        </w:rPr>
        <w:t xml:space="preserve"> </w:t>
      </w:r>
    </w:p>
  </w:footnote>
  <w:footnote w:id="9">
    <w:p w14:paraId="09CAE5AE" w14:textId="77777777" w:rsidR="00C80888" w:rsidRPr="00E17BF2" w:rsidRDefault="00C80888" w:rsidP="00CA13B8">
      <w:pPr>
        <w:pStyle w:val="FootnoteText"/>
        <w:rPr>
          <w:rFonts w:asciiTheme="minorHAnsi" w:hAnsiTheme="minorHAnsi" w:cstheme="minorHAnsi"/>
          <w:sz w:val="18"/>
          <w:szCs w:val="18"/>
        </w:rPr>
      </w:pPr>
      <w:r w:rsidRPr="00E17BF2">
        <w:rPr>
          <w:rStyle w:val="FootnoteReference"/>
          <w:rFonts w:asciiTheme="minorHAnsi" w:hAnsiTheme="minorHAnsi" w:cstheme="minorHAnsi"/>
          <w:sz w:val="18"/>
          <w:szCs w:val="18"/>
        </w:rPr>
        <w:footnoteRef/>
      </w:r>
      <w:r w:rsidRPr="00E17BF2">
        <w:rPr>
          <w:rFonts w:asciiTheme="minorHAnsi" w:hAnsiTheme="minorHAnsi" w:cstheme="minorHAnsi"/>
          <w:sz w:val="18"/>
          <w:szCs w:val="18"/>
        </w:rPr>
        <w:t xml:space="preserve"> UK Mining Yearbook </w:t>
      </w:r>
      <w:hyperlink r:id="rId7" w:history="1">
        <w:r w:rsidRPr="00E17BF2">
          <w:rPr>
            <w:rStyle w:val="Hyperlink"/>
            <w:rFonts w:asciiTheme="minorHAnsi" w:hAnsiTheme="minorHAnsi" w:cstheme="minorHAnsi"/>
            <w:sz w:val="18"/>
            <w:szCs w:val="18"/>
          </w:rPr>
          <w:t>http://www.bgs.ac.uk/mineralsuk/statistics/UKStatistics.html</w:t>
        </w:r>
      </w:hyperlink>
      <w:r w:rsidRPr="00E17BF2">
        <w:rPr>
          <w:rFonts w:asciiTheme="minorHAnsi" w:hAnsiTheme="minorHAnsi" w:cstheme="minorHAnsi"/>
          <w:sz w:val="18"/>
          <w:szCs w:val="18"/>
        </w:rPr>
        <w:t xml:space="preserve"> </w:t>
      </w:r>
    </w:p>
  </w:footnote>
  <w:footnote w:id="10">
    <w:p w14:paraId="47DA0373" w14:textId="77777777" w:rsidR="00C80888" w:rsidRPr="00E17BF2" w:rsidRDefault="00C80888" w:rsidP="00CA13B8">
      <w:pPr>
        <w:pStyle w:val="FootnoteText"/>
        <w:rPr>
          <w:rFonts w:asciiTheme="minorHAnsi" w:hAnsiTheme="minorHAnsi" w:cstheme="minorHAnsi"/>
          <w:sz w:val="18"/>
          <w:szCs w:val="18"/>
        </w:rPr>
      </w:pPr>
      <w:r w:rsidRPr="00E17BF2">
        <w:rPr>
          <w:rStyle w:val="FootnoteReference"/>
          <w:rFonts w:asciiTheme="minorHAnsi" w:hAnsiTheme="minorHAnsi" w:cstheme="minorHAnsi"/>
          <w:sz w:val="18"/>
          <w:szCs w:val="18"/>
        </w:rPr>
        <w:footnoteRef/>
      </w:r>
      <w:r w:rsidRPr="00E17BF2">
        <w:rPr>
          <w:rFonts w:asciiTheme="minorHAnsi" w:hAnsiTheme="minorHAnsi" w:cstheme="minorHAnsi"/>
          <w:sz w:val="18"/>
          <w:szCs w:val="18"/>
        </w:rPr>
        <w:t xml:space="preserve"> World Coal Institute </w:t>
      </w:r>
      <w:hyperlink r:id="rId8" w:history="1">
        <w:r w:rsidRPr="00E17BF2">
          <w:rPr>
            <w:rStyle w:val="Hyperlink"/>
            <w:rFonts w:asciiTheme="minorHAnsi" w:hAnsiTheme="minorHAnsi" w:cstheme="minorHAnsi"/>
            <w:sz w:val="18"/>
            <w:szCs w:val="18"/>
          </w:rPr>
          <w:t>http://www.worldcoal.org/pages/content/index.asp?PageID=404</w:t>
        </w:r>
      </w:hyperlink>
      <w:r w:rsidRPr="00E17BF2">
        <w:rPr>
          <w:rFonts w:asciiTheme="minorHAnsi" w:hAnsiTheme="minorHAnsi" w:cstheme="minorHAnsi"/>
          <w:sz w:val="18"/>
          <w:szCs w:val="18"/>
        </w:rPr>
        <w:t xml:space="preserve"> </w:t>
      </w:r>
    </w:p>
  </w:footnote>
  <w:footnote w:id="11">
    <w:p w14:paraId="11C3384F" w14:textId="77777777" w:rsidR="00C80888" w:rsidRPr="00E17BF2" w:rsidRDefault="00C80888" w:rsidP="00CA13B8">
      <w:pPr>
        <w:pStyle w:val="FootnoteText"/>
        <w:rPr>
          <w:rFonts w:asciiTheme="minorHAnsi" w:hAnsiTheme="minorHAnsi" w:cstheme="minorHAnsi"/>
          <w:sz w:val="18"/>
          <w:szCs w:val="18"/>
        </w:rPr>
      </w:pPr>
      <w:r w:rsidRPr="00E17BF2">
        <w:rPr>
          <w:rStyle w:val="FootnoteReference"/>
          <w:rFonts w:asciiTheme="minorHAnsi" w:hAnsiTheme="minorHAnsi" w:cstheme="minorHAnsi"/>
          <w:sz w:val="18"/>
          <w:szCs w:val="18"/>
        </w:rPr>
        <w:footnoteRef/>
      </w:r>
      <w:r w:rsidRPr="00E17BF2">
        <w:rPr>
          <w:rFonts w:asciiTheme="minorHAnsi" w:hAnsiTheme="minorHAnsi" w:cstheme="minorHAnsi"/>
          <w:sz w:val="18"/>
          <w:szCs w:val="18"/>
        </w:rPr>
        <w:t xml:space="preserve"> UK Government Department of Environment and Climate Change.</w:t>
      </w:r>
    </w:p>
  </w:footnote>
  <w:footnote w:id="12">
    <w:p w14:paraId="648B1E4F" w14:textId="77777777" w:rsidR="00C80888" w:rsidRPr="00E17BF2" w:rsidRDefault="00C80888" w:rsidP="00703C5B">
      <w:pPr>
        <w:pStyle w:val="FootnoteText"/>
        <w:rPr>
          <w:rFonts w:asciiTheme="minorHAnsi" w:hAnsiTheme="minorHAnsi" w:cstheme="minorHAnsi"/>
          <w:sz w:val="18"/>
          <w:szCs w:val="18"/>
        </w:rPr>
      </w:pPr>
      <w:r w:rsidRPr="00E17BF2">
        <w:rPr>
          <w:rStyle w:val="FootnoteReference"/>
          <w:rFonts w:asciiTheme="minorHAnsi" w:hAnsiTheme="minorHAnsi" w:cstheme="minorHAnsi"/>
          <w:sz w:val="18"/>
          <w:szCs w:val="18"/>
        </w:rPr>
        <w:footnoteRef/>
      </w:r>
      <w:r w:rsidRPr="00E17BF2">
        <w:rPr>
          <w:rFonts w:asciiTheme="minorHAnsi" w:hAnsiTheme="minorHAnsi" w:cstheme="minorHAnsi"/>
          <w:sz w:val="18"/>
          <w:szCs w:val="18"/>
        </w:rPr>
        <w:t xml:space="preserve"> The Economist (2016) “Flare-up: Tensions run high at an international transparency initiative” </w:t>
      </w:r>
      <w:hyperlink r:id="rId9" w:history="1">
        <w:r w:rsidRPr="00E17BF2">
          <w:rPr>
            <w:rStyle w:val="Hyperlink"/>
            <w:rFonts w:asciiTheme="minorHAnsi" w:hAnsiTheme="minorHAnsi" w:cstheme="minorHAnsi"/>
            <w:sz w:val="18"/>
            <w:szCs w:val="18"/>
          </w:rPr>
          <w:t>https://www.economist.com/business/2016/02/25/flare-up</w:t>
        </w:r>
      </w:hyperlink>
      <w:r w:rsidRPr="00E17BF2">
        <w:rPr>
          <w:rFonts w:asciiTheme="minorHAnsi" w:hAnsiTheme="minorHAnsi" w:cstheme="minorHAnsi"/>
          <w:sz w:val="18"/>
          <w:szCs w:val="18"/>
        </w:rPr>
        <w:t xml:space="preserve"> </w:t>
      </w:r>
    </w:p>
  </w:footnote>
  <w:footnote w:id="13">
    <w:p w14:paraId="4816A945" w14:textId="77777777" w:rsidR="00C80888" w:rsidRPr="00E17BF2" w:rsidRDefault="00C80888" w:rsidP="00703C5B">
      <w:pPr>
        <w:pStyle w:val="FootnoteText"/>
        <w:rPr>
          <w:rFonts w:asciiTheme="minorHAnsi" w:hAnsiTheme="minorHAnsi" w:cstheme="minorHAnsi"/>
          <w:sz w:val="18"/>
          <w:szCs w:val="18"/>
        </w:rPr>
      </w:pPr>
      <w:r w:rsidRPr="00E17BF2">
        <w:rPr>
          <w:rStyle w:val="FootnoteReference"/>
          <w:rFonts w:asciiTheme="minorHAnsi" w:hAnsiTheme="minorHAnsi" w:cstheme="minorHAnsi"/>
          <w:sz w:val="18"/>
          <w:szCs w:val="18"/>
        </w:rPr>
        <w:footnoteRef/>
      </w:r>
      <w:r w:rsidRPr="00E17BF2">
        <w:rPr>
          <w:rFonts w:asciiTheme="minorHAnsi" w:hAnsiTheme="minorHAnsi" w:cstheme="minorHAnsi"/>
          <w:sz w:val="18"/>
          <w:szCs w:val="18"/>
        </w:rPr>
        <w:t xml:space="preserve"> Clare Short (2016) “The former EITI chair Rt Hon Clare Short reflects”. </w:t>
      </w:r>
      <w:hyperlink r:id="rId10" w:history="1">
        <w:r w:rsidRPr="00E17BF2">
          <w:rPr>
            <w:rStyle w:val="Hyperlink"/>
            <w:rFonts w:asciiTheme="minorHAnsi" w:hAnsiTheme="minorHAnsi" w:cstheme="minorHAnsi"/>
            <w:sz w:val="18"/>
            <w:szCs w:val="18"/>
          </w:rPr>
          <w:t>https://eiti.org/blog/former-eiti-chair-rt-hon-clare-short-reflects</w:t>
        </w:r>
      </w:hyperlink>
      <w:r w:rsidRPr="00E17BF2">
        <w:rPr>
          <w:rFonts w:asciiTheme="minorHAnsi" w:hAnsiTheme="minorHAnsi" w:cstheme="minorHAnsi"/>
          <w:sz w:val="18"/>
          <w:szCs w:val="18"/>
        </w:rPr>
        <w:t xml:space="preserve"> </w:t>
      </w:r>
    </w:p>
  </w:footnote>
  <w:footnote w:id="14">
    <w:p w14:paraId="28689D7A" w14:textId="77777777" w:rsidR="00C80888" w:rsidRPr="00E17BF2" w:rsidRDefault="00C80888" w:rsidP="00703C5B">
      <w:pPr>
        <w:pStyle w:val="FootnoteText"/>
        <w:rPr>
          <w:rFonts w:asciiTheme="minorHAnsi" w:hAnsiTheme="minorHAnsi" w:cstheme="minorHAnsi"/>
          <w:sz w:val="18"/>
          <w:szCs w:val="18"/>
        </w:rPr>
      </w:pPr>
      <w:r w:rsidRPr="00E17BF2">
        <w:rPr>
          <w:rStyle w:val="FootnoteReference"/>
          <w:rFonts w:asciiTheme="minorHAnsi" w:hAnsiTheme="minorHAnsi" w:cstheme="minorHAnsi"/>
          <w:sz w:val="18"/>
          <w:szCs w:val="18"/>
        </w:rPr>
        <w:footnoteRef/>
      </w:r>
      <w:r w:rsidRPr="00E17BF2">
        <w:rPr>
          <w:rFonts w:asciiTheme="minorHAnsi" w:hAnsiTheme="minorHAnsi" w:cstheme="minorHAnsi"/>
          <w:sz w:val="18"/>
          <w:szCs w:val="18"/>
        </w:rPr>
        <w:t xml:space="preserve"> Martin Brown (2017) “PWYP walks out of UK EITI (again)” </w:t>
      </w:r>
      <w:hyperlink r:id="rId11" w:history="1">
        <w:r w:rsidRPr="00E17BF2">
          <w:rPr>
            <w:rStyle w:val="Hyperlink"/>
            <w:rFonts w:asciiTheme="minorHAnsi" w:hAnsiTheme="minorHAnsi" w:cstheme="minorHAnsi"/>
            <w:sz w:val="18"/>
            <w:szCs w:val="18"/>
          </w:rPr>
          <w:t>http://goxi.org/profiles/blogs/pwyp-walks-out-of-ukeiti-again</w:t>
        </w:r>
      </w:hyperlink>
      <w:r w:rsidRPr="00E17BF2">
        <w:rPr>
          <w:rFonts w:asciiTheme="minorHAnsi" w:hAnsiTheme="minorHAnsi" w:cstheme="minorHAnsi"/>
          <w:sz w:val="18"/>
          <w:szCs w:val="18"/>
        </w:rPr>
        <w:t xml:space="preserve"> </w:t>
      </w:r>
    </w:p>
  </w:footnote>
  <w:footnote w:id="15">
    <w:p w14:paraId="506E09E4" w14:textId="77777777" w:rsidR="00C80888" w:rsidRPr="00E17BF2" w:rsidRDefault="00C80888" w:rsidP="00703C5B">
      <w:pPr>
        <w:pStyle w:val="FootnoteText"/>
        <w:rPr>
          <w:rFonts w:asciiTheme="minorHAnsi" w:hAnsiTheme="minorHAnsi" w:cstheme="minorHAnsi"/>
          <w:sz w:val="18"/>
          <w:szCs w:val="18"/>
        </w:rPr>
      </w:pPr>
      <w:r w:rsidRPr="00E17BF2">
        <w:rPr>
          <w:rStyle w:val="FootnoteReference"/>
          <w:rFonts w:asciiTheme="minorHAnsi" w:hAnsiTheme="minorHAnsi" w:cstheme="minorHAnsi"/>
          <w:sz w:val="18"/>
          <w:szCs w:val="18"/>
        </w:rPr>
        <w:footnoteRef/>
      </w:r>
      <w:r w:rsidRPr="00E17BF2">
        <w:rPr>
          <w:rFonts w:asciiTheme="minorHAnsi" w:hAnsiTheme="minorHAnsi" w:cstheme="minorHAnsi"/>
          <w:sz w:val="18"/>
          <w:szCs w:val="18"/>
        </w:rPr>
        <w:t xml:space="preserve"> UK EITI Civil Society Network (2017) “Civil Society Organisations withdraw from UK EITI” https://www.publishwhatyoupay.org/pwyp-news/civil-society-organisations-withdraw-from-uk-eiti/</w:t>
      </w:r>
    </w:p>
  </w:footnote>
  <w:footnote w:id="16">
    <w:p w14:paraId="287E4EFD" w14:textId="77777777" w:rsidR="00C80888" w:rsidRPr="00E17BF2" w:rsidRDefault="00C80888" w:rsidP="00703C5B">
      <w:pPr>
        <w:pStyle w:val="FootnoteText"/>
        <w:rPr>
          <w:rFonts w:asciiTheme="minorHAnsi" w:hAnsiTheme="minorHAnsi" w:cstheme="minorHAnsi"/>
          <w:sz w:val="18"/>
          <w:szCs w:val="18"/>
        </w:rPr>
      </w:pPr>
      <w:r w:rsidRPr="00E17BF2">
        <w:rPr>
          <w:rStyle w:val="FootnoteReference"/>
          <w:rFonts w:asciiTheme="minorHAnsi" w:hAnsiTheme="minorHAnsi" w:cstheme="minorHAnsi"/>
          <w:sz w:val="18"/>
          <w:szCs w:val="18"/>
        </w:rPr>
        <w:footnoteRef/>
      </w:r>
      <w:r w:rsidRPr="00E17BF2">
        <w:rPr>
          <w:rFonts w:asciiTheme="minorHAnsi" w:hAnsiTheme="minorHAnsi" w:cstheme="minorHAnsi"/>
          <w:sz w:val="18"/>
          <w:szCs w:val="18"/>
        </w:rPr>
        <w:t xml:space="preserve"> CBI (2018) Selection of Civil Society Representatives on the International EITI Board (2019-2022)  </w:t>
      </w:r>
      <w:hyperlink r:id="rId12" w:history="1">
        <w:r w:rsidRPr="00E17BF2">
          <w:rPr>
            <w:rStyle w:val="Hyperlink"/>
            <w:rFonts w:asciiTheme="minorHAnsi" w:hAnsiTheme="minorHAnsi" w:cstheme="minorHAnsi"/>
            <w:sz w:val="18"/>
            <w:szCs w:val="18"/>
          </w:rPr>
          <w:t>https://www.cbi.org/project/eiti-board-cso/</w:t>
        </w:r>
      </w:hyperlink>
      <w:r w:rsidRPr="00E17BF2">
        <w:rPr>
          <w:rFonts w:asciiTheme="minorHAnsi" w:hAnsiTheme="minorHAnsi"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E2B58" w14:textId="77777777" w:rsidR="00BD6DFD" w:rsidRDefault="00BD6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04AA3" w14:textId="77777777" w:rsidR="00BD6DFD" w:rsidRDefault="00BD6D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3BD57" w14:textId="77777777" w:rsidR="00BD6DFD" w:rsidRDefault="00BD6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2"/>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55EB6"/>
    <w:multiLevelType w:val="multilevel"/>
    <w:tmpl w:val="493A948C"/>
    <w:lvl w:ilvl="0">
      <w:start w:val="1"/>
      <w:numFmt w:val="decimal"/>
      <w:lvlText w:val="%1."/>
      <w:lvlJc w:val="left"/>
      <w:pPr>
        <w:ind w:left="360" w:hanging="36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CB5CCD"/>
    <w:multiLevelType w:val="hybridMultilevel"/>
    <w:tmpl w:val="A0FEA340"/>
    <w:lvl w:ilvl="0" w:tplc="544AF61E">
      <w:start w:val="1"/>
      <w:numFmt w:val="decimal"/>
      <w:lvlText w:val="%1."/>
      <w:lvlJc w:val="left"/>
      <w:pPr>
        <w:ind w:left="360" w:hanging="360"/>
      </w:pPr>
      <w:rPr>
        <w:rFonts w:hint="default"/>
        <w:color w:val="365F91"/>
      </w:rPr>
    </w:lvl>
    <w:lvl w:ilvl="1" w:tplc="04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DD6164"/>
    <w:multiLevelType w:val="multilevel"/>
    <w:tmpl w:val="B228248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D45DB0"/>
    <w:multiLevelType w:val="hybridMultilevel"/>
    <w:tmpl w:val="CE9028D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2F7849E5"/>
    <w:multiLevelType w:val="hybridMultilevel"/>
    <w:tmpl w:val="39AE5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65690F"/>
    <w:multiLevelType w:val="hybridMultilevel"/>
    <w:tmpl w:val="4C388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564306"/>
    <w:multiLevelType w:val="hybridMultilevel"/>
    <w:tmpl w:val="0046C676"/>
    <w:lvl w:ilvl="0" w:tplc="BDE81F82">
      <w:start w:val="1"/>
      <w:numFmt w:val="decimal"/>
      <w:lvlText w:val="%1.1"/>
      <w:lvlJc w:val="left"/>
      <w:pPr>
        <w:ind w:left="360" w:hanging="360"/>
      </w:pPr>
      <w:rPr>
        <w:rFonts w:hint="default"/>
      </w:rPr>
    </w:lvl>
    <w:lvl w:ilvl="1" w:tplc="04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05E290A"/>
    <w:multiLevelType w:val="hybridMultilevel"/>
    <w:tmpl w:val="1ED884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CF4408"/>
    <w:multiLevelType w:val="multilevel"/>
    <w:tmpl w:val="24202D26"/>
    <w:lvl w:ilvl="0">
      <w:start w:val="1"/>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
  </w:num>
  <w:num w:numId="6">
    <w:abstractNumId w:val="1"/>
  </w:num>
  <w:num w:numId="7">
    <w:abstractNumId w:val="7"/>
  </w:num>
  <w:num w:numId="8">
    <w:abstractNumId w:val="4"/>
  </w:num>
  <w:num w:numId="9">
    <w:abstractNumId w:val="0"/>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E76"/>
    <w:rsid w:val="0000008D"/>
    <w:rsid w:val="00000EAA"/>
    <w:rsid w:val="000078E9"/>
    <w:rsid w:val="00010FBC"/>
    <w:rsid w:val="00012BF4"/>
    <w:rsid w:val="0001315D"/>
    <w:rsid w:val="000131DC"/>
    <w:rsid w:val="00016E7E"/>
    <w:rsid w:val="000175AE"/>
    <w:rsid w:val="00020DA4"/>
    <w:rsid w:val="000235AF"/>
    <w:rsid w:val="0002362B"/>
    <w:rsid w:val="00024230"/>
    <w:rsid w:val="000257C0"/>
    <w:rsid w:val="00026B56"/>
    <w:rsid w:val="0002747A"/>
    <w:rsid w:val="00032378"/>
    <w:rsid w:val="0003327A"/>
    <w:rsid w:val="00040C82"/>
    <w:rsid w:val="00043B92"/>
    <w:rsid w:val="000451B8"/>
    <w:rsid w:val="0004522F"/>
    <w:rsid w:val="000458E0"/>
    <w:rsid w:val="00052B74"/>
    <w:rsid w:val="00052BA4"/>
    <w:rsid w:val="00052CF8"/>
    <w:rsid w:val="00054AFD"/>
    <w:rsid w:val="00055542"/>
    <w:rsid w:val="00056339"/>
    <w:rsid w:val="000608BE"/>
    <w:rsid w:val="000625CE"/>
    <w:rsid w:val="00063632"/>
    <w:rsid w:val="000639AA"/>
    <w:rsid w:val="0006457D"/>
    <w:rsid w:val="00066680"/>
    <w:rsid w:val="00066886"/>
    <w:rsid w:val="000668A8"/>
    <w:rsid w:val="00067645"/>
    <w:rsid w:val="00072E68"/>
    <w:rsid w:val="000740A8"/>
    <w:rsid w:val="00077722"/>
    <w:rsid w:val="00080AC4"/>
    <w:rsid w:val="00084829"/>
    <w:rsid w:val="00086E78"/>
    <w:rsid w:val="0008702B"/>
    <w:rsid w:val="00091E26"/>
    <w:rsid w:val="00093566"/>
    <w:rsid w:val="000948B3"/>
    <w:rsid w:val="00096C45"/>
    <w:rsid w:val="000A0B63"/>
    <w:rsid w:val="000A0C1A"/>
    <w:rsid w:val="000A2F16"/>
    <w:rsid w:val="000A3C50"/>
    <w:rsid w:val="000A3D4E"/>
    <w:rsid w:val="000A69B8"/>
    <w:rsid w:val="000B2406"/>
    <w:rsid w:val="000B2FAB"/>
    <w:rsid w:val="000C2A95"/>
    <w:rsid w:val="000C30FD"/>
    <w:rsid w:val="000C44C2"/>
    <w:rsid w:val="000C4539"/>
    <w:rsid w:val="000C53DD"/>
    <w:rsid w:val="000C5823"/>
    <w:rsid w:val="000C6419"/>
    <w:rsid w:val="000C7450"/>
    <w:rsid w:val="000D0AE4"/>
    <w:rsid w:val="000D2C70"/>
    <w:rsid w:val="000D69DE"/>
    <w:rsid w:val="000D6AB9"/>
    <w:rsid w:val="000D7037"/>
    <w:rsid w:val="000D71C1"/>
    <w:rsid w:val="000D7CEB"/>
    <w:rsid w:val="000E1506"/>
    <w:rsid w:val="000E1BF2"/>
    <w:rsid w:val="000E2EF6"/>
    <w:rsid w:val="000E345F"/>
    <w:rsid w:val="000F3FE0"/>
    <w:rsid w:val="000F47AA"/>
    <w:rsid w:val="000F5101"/>
    <w:rsid w:val="000F5A22"/>
    <w:rsid w:val="000F6A0D"/>
    <w:rsid w:val="000F7F99"/>
    <w:rsid w:val="00100B28"/>
    <w:rsid w:val="00103020"/>
    <w:rsid w:val="00106D21"/>
    <w:rsid w:val="00106D40"/>
    <w:rsid w:val="001109C2"/>
    <w:rsid w:val="00112A19"/>
    <w:rsid w:val="00113151"/>
    <w:rsid w:val="00114464"/>
    <w:rsid w:val="00116C05"/>
    <w:rsid w:val="001179AF"/>
    <w:rsid w:val="001212FD"/>
    <w:rsid w:val="001244EB"/>
    <w:rsid w:val="00124A0A"/>
    <w:rsid w:val="00125E59"/>
    <w:rsid w:val="00131F3F"/>
    <w:rsid w:val="0013451F"/>
    <w:rsid w:val="00140F76"/>
    <w:rsid w:val="00142290"/>
    <w:rsid w:val="001427A5"/>
    <w:rsid w:val="00143D5A"/>
    <w:rsid w:val="00146EC1"/>
    <w:rsid w:val="00151499"/>
    <w:rsid w:val="00155749"/>
    <w:rsid w:val="00161877"/>
    <w:rsid w:val="00162976"/>
    <w:rsid w:val="001645A4"/>
    <w:rsid w:val="00166319"/>
    <w:rsid w:val="00171CE0"/>
    <w:rsid w:val="00172322"/>
    <w:rsid w:val="001748FF"/>
    <w:rsid w:val="00176B8D"/>
    <w:rsid w:val="0017792C"/>
    <w:rsid w:val="0018007F"/>
    <w:rsid w:val="001817EE"/>
    <w:rsid w:val="00182F37"/>
    <w:rsid w:val="0018358C"/>
    <w:rsid w:val="00184391"/>
    <w:rsid w:val="00185BF5"/>
    <w:rsid w:val="001861D5"/>
    <w:rsid w:val="0018631A"/>
    <w:rsid w:val="0018662B"/>
    <w:rsid w:val="00186F04"/>
    <w:rsid w:val="00191216"/>
    <w:rsid w:val="001921DC"/>
    <w:rsid w:val="001946A4"/>
    <w:rsid w:val="00197D6B"/>
    <w:rsid w:val="001A132E"/>
    <w:rsid w:val="001A386F"/>
    <w:rsid w:val="001A4E34"/>
    <w:rsid w:val="001A50F7"/>
    <w:rsid w:val="001A6431"/>
    <w:rsid w:val="001B3B6F"/>
    <w:rsid w:val="001C1952"/>
    <w:rsid w:val="001C33F5"/>
    <w:rsid w:val="001C3829"/>
    <w:rsid w:val="001D3A2B"/>
    <w:rsid w:val="001D4318"/>
    <w:rsid w:val="001D68E2"/>
    <w:rsid w:val="001D759A"/>
    <w:rsid w:val="001F0A27"/>
    <w:rsid w:val="001F6B6D"/>
    <w:rsid w:val="00200EC6"/>
    <w:rsid w:val="00201632"/>
    <w:rsid w:val="00201EB8"/>
    <w:rsid w:val="00205C1B"/>
    <w:rsid w:val="00205CD3"/>
    <w:rsid w:val="00205F21"/>
    <w:rsid w:val="002109FB"/>
    <w:rsid w:val="002200AD"/>
    <w:rsid w:val="0022274E"/>
    <w:rsid w:val="002234D7"/>
    <w:rsid w:val="00232B37"/>
    <w:rsid w:val="00233DB9"/>
    <w:rsid w:val="002370E4"/>
    <w:rsid w:val="00243D4F"/>
    <w:rsid w:val="00243FF7"/>
    <w:rsid w:val="00244055"/>
    <w:rsid w:val="002466C7"/>
    <w:rsid w:val="00247668"/>
    <w:rsid w:val="002505AD"/>
    <w:rsid w:val="0025100A"/>
    <w:rsid w:val="00252B84"/>
    <w:rsid w:val="00255687"/>
    <w:rsid w:val="00255ACF"/>
    <w:rsid w:val="00256D61"/>
    <w:rsid w:val="002576A4"/>
    <w:rsid w:val="002577E7"/>
    <w:rsid w:val="002609AC"/>
    <w:rsid w:val="00260A19"/>
    <w:rsid w:val="0026125F"/>
    <w:rsid w:val="00265099"/>
    <w:rsid w:val="002661D4"/>
    <w:rsid w:val="00266A77"/>
    <w:rsid w:val="002679BC"/>
    <w:rsid w:val="00271BC7"/>
    <w:rsid w:val="002723E4"/>
    <w:rsid w:val="00272A27"/>
    <w:rsid w:val="00273070"/>
    <w:rsid w:val="002730B2"/>
    <w:rsid w:val="0027420E"/>
    <w:rsid w:val="00274673"/>
    <w:rsid w:val="00275241"/>
    <w:rsid w:val="002807CA"/>
    <w:rsid w:val="00280C48"/>
    <w:rsid w:val="00283F39"/>
    <w:rsid w:val="00285F1D"/>
    <w:rsid w:val="00286C7B"/>
    <w:rsid w:val="002875D7"/>
    <w:rsid w:val="00287F73"/>
    <w:rsid w:val="00291451"/>
    <w:rsid w:val="00292CAD"/>
    <w:rsid w:val="002939E2"/>
    <w:rsid w:val="00294906"/>
    <w:rsid w:val="002A10E4"/>
    <w:rsid w:val="002A3A13"/>
    <w:rsid w:val="002A3D9D"/>
    <w:rsid w:val="002A5801"/>
    <w:rsid w:val="002B2A68"/>
    <w:rsid w:val="002B3318"/>
    <w:rsid w:val="002B3865"/>
    <w:rsid w:val="002B53EF"/>
    <w:rsid w:val="002C0504"/>
    <w:rsid w:val="002C0FC7"/>
    <w:rsid w:val="002C1876"/>
    <w:rsid w:val="002C21BD"/>
    <w:rsid w:val="002C25D5"/>
    <w:rsid w:val="002C605D"/>
    <w:rsid w:val="002C60C6"/>
    <w:rsid w:val="002C640F"/>
    <w:rsid w:val="002C67FF"/>
    <w:rsid w:val="002D1528"/>
    <w:rsid w:val="002D2440"/>
    <w:rsid w:val="002D4B3C"/>
    <w:rsid w:val="002D6BB1"/>
    <w:rsid w:val="002E4D95"/>
    <w:rsid w:val="002E590F"/>
    <w:rsid w:val="002F4158"/>
    <w:rsid w:val="002F594B"/>
    <w:rsid w:val="002F73B1"/>
    <w:rsid w:val="00303148"/>
    <w:rsid w:val="00306890"/>
    <w:rsid w:val="00307CAE"/>
    <w:rsid w:val="00307DC4"/>
    <w:rsid w:val="00310D77"/>
    <w:rsid w:val="00315CBE"/>
    <w:rsid w:val="0031659E"/>
    <w:rsid w:val="003166B3"/>
    <w:rsid w:val="00320061"/>
    <w:rsid w:val="00321499"/>
    <w:rsid w:val="0032211D"/>
    <w:rsid w:val="0032249A"/>
    <w:rsid w:val="00325E55"/>
    <w:rsid w:val="003267A5"/>
    <w:rsid w:val="0033180A"/>
    <w:rsid w:val="00333DBB"/>
    <w:rsid w:val="00334685"/>
    <w:rsid w:val="0033525E"/>
    <w:rsid w:val="00340268"/>
    <w:rsid w:val="00344212"/>
    <w:rsid w:val="00346286"/>
    <w:rsid w:val="00351B5C"/>
    <w:rsid w:val="00362704"/>
    <w:rsid w:val="00363CA8"/>
    <w:rsid w:val="0036418F"/>
    <w:rsid w:val="00364807"/>
    <w:rsid w:val="0036521A"/>
    <w:rsid w:val="00373DD8"/>
    <w:rsid w:val="00375307"/>
    <w:rsid w:val="00376AFA"/>
    <w:rsid w:val="00377024"/>
    <w:rsid w:val="0037743F"/>
    <w:rsid w:val="00380CCB"/>
    <w:rsid w:val="00381155"/>
    <w:rsid w:val="0038180E"/>
    <w:rsid w:val="00382343"/>
    <w:rsid w:val="0038392A"/>
    <w:rsid w:val="00384CAF"/>
    <w:rsid w:val="00384E97"/>
    <w:rsid w:val="003857B3"/>
    <w:rsid w:val="00392B71"/>
    <w:rsid w:val="003934A3"/>
    <w:rsid w:val="00393AA5"/>
    <w:rsid w:val="003950DC"/>
    <w:rsid w:val="00395479"/>
    <w:rsid w:val="0039698B"/>
    <w:rsid w:val="003A26C7"/>
    <w:rsid w:val="003A4AC6"/>
    <w:rsid w:val="003A5D1F"/>
    <w:rsid w:val="003A7667"/>
    <w:rsid w:val="003B1788"/>
    <w:rsid w:val="003B48A7"/>
    <w:rsid w:val="003B5076"/>
    <w:rsid w:val="003B64A4"/>
    <w:rsid w:val="003B7FE9"/>
    <w:rsid w:val="003C0848"/>
    <w:rsid w:val="003C3DFC"/>
    <w:rsid w:val="003C4611"/>
    <w:rsid w:val="003C55B1"/>
    <w:rsid w:val="003C7904"/>
    <w:rsid w:val="003D1826"/>
    <w:rsid w:val="003D19A9"/>
    <w:rsid w:val="003D3D96"/>
    <w:rsid w:val="003D4499"/>
    <w:rsid w:val="003D4EF9"/>
    <w:rsid w:val="003E11EA"/>
    <w:rsid w:val="003E7306"/>
    <w:rsid w:val="003F1B6C"/>
    <w:rsid w:val="003F1C2B"/>
    <w:rsid w:val="003F2856"/>
    <w:rsid w:val="003F2A08"/>
    <w:rsid w:val="003F30F3"/>
    <w:rsid w:val="003F33B0"/>
    <w:rsid w:val="003F52C0"/>
    <w:rsid w:val="00400D91"/>
    <w:rsid w:val="00403081"/>
    <w:rsid w:val="00403C59"/>
    <w:rsid w:val="00403D48"/>
    <w:rsid w:val="00404575"/>
    <w:rsid w:val="00404829"/>
    <w:rsid w:val="00406FF1"/>
    <w:rsid w:val="00407054"/>
    <w:rsid w:val="004200CA"/>
    <w:rsid w:val="00420CFE"/>
    <w:rsid w:val="00422BC2"/>
    <w:rsid w:val="0042550B"/>
    <w:rsid w:val="00425EE0"/>
    <w:rsid w:val="00425F66"/>
    <w:rsid w:val="004306DD"/>
    <w:rsid w:val="00430FAA"/>
    <w:rsid w:val="00431189"/>
    <w:rsid w:val="0043214E"/>
    <w:rsid w:val="00432C81"/>
    <w:rsid w:val="004414C8"/>
    <w:rsid w:val="00441E23"/>
    <w:rsid w:val="00447899"/>
    <w:rsid w:val="00447C69"/>
    <w:rsid w:val="004526E1"/>
    <w:rsid w:val="004561B8"/>
    <w:rsid w:val="0045757A"/>
    <w:rsid w:val="00460639"/>
    <w:rsid w:val="00460C86"/>
    <w:rsid w:val="00460EC4"/>
    <w:rsid w:val="0046105E"/>
    <w:rsid w:val="00462D99"/>
    <w:rsid w:val="00462E2F"/>
    <w:rsid w:val="00465FBB"/>
    <w:rsid w:val="004663D8"/>
    <w:rsid w:val="00466F03"/>
    <w:rsid w:val="0047251C"/>
    <w:rsid w:val="00474234"/>
    <w:rsid w:val="00474343"/>
    <w:rsid w:val="00474858"/>
    <w:rsid w:val="004752AF"/>
    <w:rsid w:val="00476A12"/>
    <w:rsid w:val="004855CE"/>
    <w:rsid w:val="004855E9"/>
    <w:rsid w:val="00486BD8"/>
    <w:rsid w:val="00487012"/>
    <w:rsid w:val="00490165"/>
    <w:rsid w:val="004911B9"/>
    <w:rsid w:val="00493D90"/>
    <w:rsid w:val="004A0786"/>
    <w:rsid w:val="004A54DF"/>
    <w:rsid w:val="004A6C81"/>
    <w:rsid w:val="004B10D1"/>
    <w:rsid w:val="004B2253"/>
    <w:rsid w:val="004B2428"/>
    <w:rsid w:val="004B3273"/>
    <w:rsid w:val="004B348A"/>
    <w:rsid w:val="004B4969"/>
    <w:rsid w:val="004B5FE7"/>
    <w:rsid w:val="004C04D7"/>
    <w:rsid w:val="004C534B"/>
    <w:rsid w:val="004C6979"/>
    <w:rsid w:val="004C6C04"/>
    <w:rsid w:val="004D5961"/>
    <w:rsid w:val="004D645B"/>
    <w:rsid w:val="004D7FC9"/>
    <w:rsid w:val="004E0BE2"/>
    <w:rsid w:val="004E6B86"/>
    <w:rsid w:val="004F0128"/>
    <w:rsid w:val="004F0B0E"/>
    <w:rsid w:val="004F2CA7"/>
    <w:rsid w:val="004F300B"/>
    <w:rsid w:val="004F42C6"/>
    <w:rsid w:val="004F7D10"/>
    <w:rsid w:val="0050007A"/>
    <w:rsid w:val="00501794"/>
    <w:rsid w:val="00504018"/>
    <w:rsid w:val="005046F3"/>
    <w:rsid w:val="00505B8E"/>
    <w:rsid w:val="00505BAC"/>
    <w:rsid w:val="005105D2"/>
    <w:rsid w:val="00510C4D"/>
    <w:rsid w:val="00511324"/>
    <w:rsid w:val="00511804"/>
    <w:rsid w:val="00512ADD"/>
    <w:rsid w:val="005140A5"/>
    <w:rsid w:val="00516DAC"/>
    <w:rsid w:val="00517B78"/>
    <w:rsid w:val="00517FFB"/>
    <w:rsid w:val="00521EA7"/>
    <w:rsid w:val="00525519"/>
    <w:rsid w:val="0052678F"/>
    <w:rsid w:val="00527027"/>
    <w:rsid w:val="0053095C"/>
    <w:rsid w:val="00530F33"/>
    <w:rsid w:val="0053408A"/>
    <w:rsid w:val="005362E3"/>
    <w:rsid w:val="005379B3"/>
    <w:rsid w:val="00543342"/>
    <w:rsid w:val="005434A8"/>
    <w:rsid w:val="00546A35"/>
    <w:rsid w:val="00551A79"/>
    <w:rsid w:val="00554692"/>
    <w:rsid w:val="00554A84"/>
    <w:rsid w:val="00555FC2"/>
    <w:rsid w:val="005560CF"/>
    <w:rsid w:val="00560392"/>
    <w:rsid w:val="00561DC8"/>
    <w:rsid w:val="005625E1"/>
    <w:rsid w:val="00562D78"/>
    <w:rsid w:val="005639C7"/>
    <w:rsid w:val="00563A07"/>
    <w:rsid w:val="005676C1"/>
    <w:rsid w:val="00570CCE"/>
    <w:rsid w:val="00572CE5"/>
    <w:rsid w:val="00573AAF"/>
    <w:rsid w:val="0057439F"/>
    <w:rsid w:val="00574839"/>
    <w:rsid w:val="005749BE"/>
    <w:rsid w:val="00575789"/>
    <w:rsid w:val="005766FF"/>
    <w:rsid w:val="005767D3"/>
    <w:rsid w:val="005771D0"/>
    <w:rsid w:val="005810AD"/>
    <w:rsid w:val="00581B23"/>
    <w:rsid w:val="00583A02"/>
    <w:rsid w:val="00585073"/>
    <w:rsid w:val="005872A9"/>
    <w:rsid w:val="005900C1"/>
    <w:rsid w:val="005903F2"/>
    <w:rsid w:val="00590CD7"/>
    <w:rsid w:val="005939AC"/>
    <w:rsid w:val="00596E83"/>
    <w:rsid w:val="005A0923"/>
    <w:rsid w:val="005A0985"/>
    <w:rsid w:val="005A3EDA"/>
    <w:rsid w:val="005A45C3"/>
    <w:rsid w:val="005B7604"/>
    <w:rsid w:val="005C0DD5"/>
    <w:rsid w:val="005C1218"/>
    <w:rsid w:val="005C3ADE"/>
    <w:rsid w:val="005C3DCD"/>
    <w:rsid w:val="005C7005"/>
    <w:rsid w:val="005D0773"/>
    <w:rsid w:val="005D0D9D"/>
    <w:rsid w:val="005D146A"/>
    <w:rsid w:val="005D4E65"/>
    <w:rsid w:val="005D64D1"/>
    <w:rsid w:val="005D74C7"/>
    <w:rsid w:val="005E258B"/>
    <w:rsid w:val="005E2F26"/>
    <w:rsid w:val="005E6402"/>
    <w:rsid w:val="005E7CB7"/>
    <w:rsid w:val="005F391B"/>
    <w:rsid w:val="005F4BE3"/>
    <w:rsid w:val="005F55FB"/>
    <w:rsid w:val="005F7567"/>
    <w:rsid w:val="006000C6"/>
    <w:rsid w:val="00604FF2"/>
    <w:rsid w:val="006064F6"/>
    <w:rsid w:val="00614D35"/>
    <w:rsid w:val="0061665A"/>
    <w:rsid w:val="006227AF"/>
    <w:rsid w:val="00623492"/>
    <w:rsid w:val="00623D3C"/>
    <w:rsid w:val="00623EF8"/>
    <w:rsid w:val="006274A2"/>
    <w:rsid w:val="00627573"/>
    <w:rsid w:val="00633888"/>
    <w:rsid w:val="00635030"/>
    <w:rsid w:val="00635575"/>
    <w:rsid w:val="006369C6"/>
    <w:rsid w:val="00637542"/>
    <w:rsid w:val="00637ED8"/>
    <w:rsid w:val="00641943"/>
    <w:rsid w:val="00645AC4"/>
    <w:rsid w:val="00646249"/>
    <w:rsid w:val="00650747"/>
    <w:rsid w:val="006511EE"/>
    <w:rsid w:val="006528B2"/>
    <w:rsid w:val="00655133"/>
    <w:rsid w:val="00655EB3"/>
    <w:rsid w:val="00656C60"/>
    <w:rsid w:val="00656DBA"/>
    <w:rsid w:val="00663A70"/>
    <w:rsid w:val="0066559A"/>
    <w:rsid w:val="0066592A"/>
    <w:rsid w:val="0067079A"/>
    <w:rsid w:val="006745FB"/>
    <w:rsid w:val="00674996"/>
    <w:rsid w:val="00675A25"/>
    <w:rsid w:val="00682EFA"/>
    <w:rsid w:val="006834F9"/>
    <w:rsid w:val="0068487E"/>
    <w:rsid w:val="006910F3"/>
    <w:rsid w:val="00691602"/>
    <w:rsid w:val="00692422"/>
    <w:rsid w:val="006944BB"/>
    <w:rsid w:val="006951CD"/>
    <w:rsid w:val="00695C72"/>
    <w:rsid w:val="006960C7"/>
    <w:rsid w:val="00696BAB"/>
    <w:rsid w:val="006A0DF3"/>
    <w:rsid w:val="006A5849"/>
    <w:rsid w:val="006A6EE1"/>
    <w:rsid w:val="006B4CDF"/>
    <w:rsid w:val="006B52FA"/>
    <w:rsid w:val="006B688F"/>
    <w:rsid w:val="006C0CDF"/>
    <w:rsid w:val="006C43F6"/>
    <w:rsid w:val="006C56E6"/>
    <w:rsid w:val="006D19E7"/>
    <w:rsid w:val="006D5EA2"/>
    <w:rsid w:val="006D7323"/>
    <w:rsid w:val="006E04A7"/>
    <w:rsid w:val="006E0670"/>
    <w:rsid w:val="006E53C1"/>
    <w:rsid w:val="006F0D0F"/>
    <w:rsid w:val="006F0D9A"/>
    <w:rsid w:val="006F1CB2"/>
    <w:rsid w:val="006F208D"/>
    <w:rsid w:val="006F4E34"/>
    <w:rsid w:val="006F6C76"/>
    <w:rsid w:val="006F6FD1"/>
    <w:rsid w:val="00703C5B"/>
    <w:rsid w:val="00710D95"/>
    <w:rsid w:val="007122AF"/>
    <w:rsid w:val="007144B0"/>
    <w:rsid w:val="007148AA"/>
    <w:rsid w:val="007173FD"/>
    <w:rsid w:val="00717845"/>
    <w:rsid w:val="007211CC"/>
    <w:rsid w:val="00721280"/>
    <w:rsid w:val="00721C29"/>
    <w:rsid w:val="0072316D"/>
    <w:rsid w:val="00723260"/>
    <w:rsid w:val="0072571A"/>
    <w:rsid w:val="0073578D"/>
    <w:rsid w:val="00737D5D"/>
    <w:rsid w:val="00737E2E"/>
    <w:rsid w:val="00740C2D"/>
    <w:rsid w:val="007413D3"/>
    <w:rsid w:val="00742650"/>
    <w:rsid w:val="007430E1"/>
    <w:rsid w:val="0074366E"/>
    <w:rsid w:val="00744454"/>
    <w:rsid w:val="007454CA"/>
    <w:rsid w:val="00745B79"/>
    <w:rsid w:val="00750730"/>
    <w:rsid w:val="00750901"/>
    <w:rsid w:val="00754851"/>
    <w:rsid w:val="00757AF9"/>
    <w:rsid w:val="007610B9"/>
    <w:rsid w:val="00761D22"/>
    <w:rsid w:val="00766D41"/>
    <w:rsid w:val="00767209"/>
    <w:rsid w:val="00776B0E"/>
    <w:rsid w:val="00776C2D"/>
    <w:rsid w:val="00780054"/>
    <w:rsid w:val="007817D2"/>
    <w:rsid w:val="007830A7"/>
    <w:rsid w:val="00783488"/>
    <w:rsid w:val="00785F68"/>
    <w:rsid w:val="00786845"/>
    <w:rsid w:val="00787A65"/>
    <w:rsid w:val="00794895"/>
    <w:rsid w:val="00795D6F"/>
    <w:rsid w:val="007A1C92"/>
    <w:rsid w:val="007A2F0A"/>
    <w:rsid w:val="007A4AAF"/>
    <w:rsid w:val="007A5596"/>
    <w:rsid w:val="007A6A78"/>
    <w:rsid w:val="007A716C"/>
    <w:rsid w:val="007B1E7B"/>
    <w:rsid w:val="007B254D"/>
    <w:rsid w:val="007B29DA"/>
    <w:rsid w:val="007B3640"/>
    <w:rsid w:val="007B4CB8"/>
    <w:rsid w:val="007B4FD2"/>
    <w:rsid w:val="007B54EB"/>
    <w:rsid w:val="007B5B50"/>
    <w:rsid w:val="007B5F54"/>
    <w:rsid w:val="007B660A"/>
    <w:rsid w:val="007B66A0"/>
    <w:rsid w:val="007B708B"/>
    <w:rsid w:val="007B71B4"/>
    <w:rsid w:val="007B73A9"/>
    <w:rsid w:val="007C0497"/>
    <w:rsid w:val="007C3785"/>
    <w:rsid w:val="007D16DE"/>
    <w:rsid w:val="007D33F8"/>
    <w:rsid w:val="007D380E"/>
    <w:rsid w:val="007D429D"/>
    <w:rsid w:val="007D48CD"/>
    <w:rsid w:val="007E1CEC"/>
    <w:rsid w:val="007E28F0"/>
    <w:rsid w:val="007E4AE0"/>
    <w:rsid w:val="007E5B01"/>
    <w:rsid w:val="007E73F3"/>
    <w:rsid w:val="007F1C2E"/>
    <w:rsid w:val="007F2D87"/>
    <w:rsid w:val="007F318E"/>
    <w:rsid w:val="007F5E89"/>
    <w:rsid w:val="007F60D3"/>
    <w:rsid w:val="007F730B"/>
    <w:rsid w:val="00800CDD"/>
    <w:rsid w:val="00802D4A"/>
    <w:rsid w:val="00803CB3"/>
    <w:rsid w:val="0080431C"/>
    <w:rsid w:val="008116D3"/>
    <w:rsid w:val="00813694"/>
    <w:rsid w:val="00815301"/>
    <w:rsid w:val="0081641D"/>
    <w:rsid w:val="00823D46"/>
    <w:rsid w:val="00824402"/>
    <w:rsid w:val="00830F20"/>
    <w:rsid w:val="00833DCA"/>
    <w:rsid w:val="00840C7F"/>
    <w:rsid w:val="0084290B"/>
    <w:rsid w:val="00850815"/>
    <w:rsid w:val="0085150B"/>
    <w:rsid w:val="00852CC3"/>
    <w:rsid w:val="00857314"/>
    <w:rsid w:val="00860B70"/>
    <w:rsid w:val="00860D5F"/>
    <w:rsid w:val="00865D33"/>
    <w:rsid w:val="008661EA"/>
    <w:rsid w:val="00874A03"/>
    <w:rsid w:val="00874C2F"/>
    <w:rsid w:val="00874CF2"/>
    <w:rsid w:val="008761C1"/>
    <w:rsid w:val="008826A2"/>
    <w:rsid w:val="00886D03"/>
    <w:rsid w:val="00894529"/>
    <w:rsid w:val="0089655B"/>
    <w:rsid w:val="008A5D48"/>
    <w:rsid w:val="008B121A"/>
    <w:rsid w:val="008B3137"/>
    <w:rsid w:val="008B4CB1"/>
    <w:rsid w:val="008B667D"/>
    <w:rsid w:val="008B7147"/>
    <w:rsid w:val="008C1814"/>
    <w:rsid w:val="008D172E"/>
    <w:rsid w:val="008D5482"/>
    <w:rsid w:val="008D78FC"/>
    <w:rsid w:val="008D79EB"/>
    <w:rsid w:val="008E009D"/>
    <w:rsid w:val="008E0C36"/>
    <w:rsid w:val="008E0D4E"/>
    <w:rsid w:val="008E16D4"/>
    <w:rsid w:val="008E2677"/>
    <w:rsid w:val="008E410C"/>
    <w:rsid w:val="008E5EE5"/>
    <w:rsid w:val="008E6E5B"/>
    <w:rsid w:val="008F07C2"/>
    <w:rsid w:val="008F1C8B"/>
    <w:rsid w:val="008F3335"/>
    <w:rsid w:val="008F4867"/>
    <w:rsid w:val="008F7C5B"/>
    <w:rsid w:val="008F7EC5"/>
    <w:rsid w:val="00902651"/>
    <w:rsid w:val="00903744"/>
    <w:rsid w:val="00903C9E"/>
    <w:rsid w:val="0090462C"/>
    <w:rsid w:val="0090474E"/>
    <w:rsid w:val="00905186"/>
    <w:rsid w:val="00905644"/>
    <w:rsid w:val="009066F3"/>
    <w:rsid w:val="00906DA4"/>
    <w:rsid w:val="00911C86"/>
    <w:rsid w:val="009123C8"/>
    <w:rsid w:val="00912864"/>
    <w:rsid w:val="009143D5"/>
    <w:rsid w:val="009155AD"/>
    <w:rsid w:val="00915E6C"/>
    <w:rsid w:val="0091688B"/>
    <w:rsid w:val="00916ADD"/>
    <w:rsid w:val="0092137D"/>
    <w:rsid w:val="00924DC3"/>
    <w:rsid w:val="0092600C"/>
    <w:rsid w:val="00930609"/>
    <w:rsid w:val="00932E1B"/>
    <w:rsid w:val="00936119"/>
    <w:rsid w:val="00937F9D"/>
    <w:rsid w:val="0094108D"/>
    <w:rsid w:val="00941286"/>
    <w:rsid w:val="00941D2C"/>
    <w:rsid w:val="009429A2"/>
    <w:rsid w:val="00944954"/>
    <w:rsid w:val="00945CB6"/>
    <w:rsid w:val="0094655E"/>
    <w:rsid w:val="00950B14"/>
    <w:rsid w:val="0095193E"/>
    <w:rsid w:val="00951DF1"/>
    <w:rsid w:val="00954096"/>
    <w:rsid w:val="009550D1"/>
    <w:rsid w:val="009551FD"/>
    <w:rsid w:val="009574AE"/>
    <w:rsid w:val="00957574"/>
    <w:rsid w:val="00961B28"/>
    <w:rsid w:val="00962437"/>
    <w:rsid w:val="00964A41"/>
    <w:rsid w:val="0096519D"/>
    <w:rsid w:val="009677D5"/>
    <w:rsid w:val="0096785F"/>
    <w:rsid w:val="00970DFB"/>
    <w:rsid w:val="009712AD"/>
    <w:rsid w:val="00972743"/>
    <w:rsid w:val="00972E76"/>
    <w:rsid w:val="0097367B"/>
    <w:rsid w:val="00973CC9"/>
    <w:rsid w:val="009815A8"/>
    <w:rsid w:val="0098211F"/>
    <w:rsid w:val="00985885"/>
    <w:rsid w:val="00990351"/>
    <w:rsid w:val="00990CD0"/>
    <w:rsid w:val="009A03D9"/>
    <w:rsid w:val="009A2490"/>
    <w:rsid w:val="009A25AC"/>
    <w:rsid w:val="009A58DE"/>
    <w:rsid w:val="009B0699"/>
    <w:rsid w:val="009B0806"/>
    <w:rsid w:val="009B2767"/>
    <w:rsid w:val="009B2EEB"/>
    <w:rsid w:val="009B4AC8"/>
    <w:rsid w:val="009B6799"/>
    <w:rsid w:val="009B6B17"/>
    <w:rsid w:val="009B7BDA"/>
    <w:rsid w:val="009C1A8A"/>
    <w:rsid w:val="009C4089"/>
    <w:rsid w:val="009C4D19"/>
    <w:rsid w:val="009D2723"/>
    <w:rsid w:val="009D4EA9"/>
    <w:rsid w:val="009D58E6"/>
    <w:rsid w:val="009E28B1"/>
    <w:rsid w:val="009E3509"/>
    <w:rsid w:val="009E7803"/>
    <w:rsid w:val="009E780B"/>
    <w:rsid w:val="009F2700"/>
    <w:rsid w:val="009F58C9"/>
    <w:rsid w:val="00A01C92"/>
    <w:rsid w:val="00A023FA"/>
    <w:rsid w:val="00A0249F"/>
    <w:rsid w:val="00A03FEB"/>
    <w:rsid w:val="00A0461A"/>
    <w:rsid w:val="00A15B94"/>
    <w:rsid w:val="00A16606"/>
    <w:rsid w:val="00A16EDC"/>
    <w:rsid w:val="00A1799A"/>
    <w:rsid w:val="00A20847"/>
    <w:rsid w:val="00A22D21"/>
    <w:rsid w:val="00A33B07"/>
    <w:rsid w:val="00A43946"/>
    <w:rsid w:val="00A4497F"/>
    <w:rsid w:val="00A4629A"/>
    <w:rsid w:val="00A464D8"/>
    <w:rsid w:val="00A46E39"/>
    <w:rsid w:val="00A47026"/>
    <w:rsid w:val="00A531BC"/>
    <w:rsid w:val="00A54825"/>
    <w:rsid w:val="00A57147"/>
    <w:rsid w:val="00A57487"/>
    <w:rsid w:val="00A57C07"/>
    <w:rsid w:val="00A60A4A"/>
    <w:rsid w:val="00A65255"/>
    <w:rsid w:val="00A669F4"/>
    <w:rsid w:val="00A67544"/>
    <w:rsid w:val="00A70C93"/>
    <w:rsid w:val="00A75E93"/>
    <w:rsid w:val="00A75F97"/>
    <w:rsid w:val="00A81804"/>
    <w:rsid w:val="00A85227"/>
    <w:rsid w:val="00A87823"/>
    <w:rsid w:val="00A912CB"/>
    <w:rsid w:val="00A938B1"/>
    <w:rsid w:val="00A9393E"/>
    <w:rsid w:val="00A939F1"/>
    <w:rsid w:val="00A944D6"/>
    <w:rsid w:val="00A952F9"/>
    <w:rsid w:val="00A957F0"/>
    <w:rsid w:val="00A97B13"/>
    <w:rsid w:val="00AA1BCE"/>
    <w:rsid w:val="00AA281B"/>
    <w:rsid w:val="00AA2F8F"/>
    <w:rsid w:val="00AA444B"/>
    <w:rsid w:val="00AA7231"/>
    <w:rsid w:val="00AA7251"/>
    <w:rsid w:val="00AB16B3"/>
    <w:rsid w:val="00AB2C88"/>
    <w:rsid w:val="00AB36FC"/>
    <w:rsid w:val="00AB5C3B"/>
    <w:rsid w:val="00AB786F"/>
    <w:rsid w:val="00AC0C73"/>
    <w:rsid w:val="00AC2FD8"/>
    <w:rsid w:val="00AC3332"/>
    <w:rsid w:val="00AD33EE"/>
    <w:rsid w:val="00AD497F"/>
    <w:rsid w:val="00AD49F8"/>
    <w:rsid w:val="00AD50B4"/>
    <w:rsid w:val="00AD598E"/>
    <w:rsid w:val="00AD6DE8"/>
    <w:rsid w:val="00AD7B1F"/>
    <w:rsid w:val="00AE2020"/>
    <w:rsid w:val="00AE4128"/>
    <w:rsid w:val="00AE5306"/>
    <w:rsid w:val="00AE5B93"/>
    <w:rsid w:val="00AF0430"/>
    <w:rsid w:val="00AF0859"/>
    <w:rsid w:val="00AF0CDD"/>
    <w:rsid w:val="00AF0EE1"/>
    <w:rsid w:val="00AF138C"/>
    <w:rsid w:val="00AF1E33"/>
    <w:rsid w:val="00AF28C9"/>
    <w:rsid w:val="00AF37FB"/>
    <w:rsid w:val="00AF4E01"/>
    <w:rsid w:val="00AF5426"/>
    <w:rsid w:val="00AF635C"/>
    <w:rsid w:val="00B02336"/>
    <w:rsid w:val="00B0367E"/>
    <w:rsid w:val="00B04870"/>
    <w:rsid w:val="00B048C2"/>
    <w:rsid w:val="00B05CC1"/>
    <w:rsid w:val="00B06A77"/>
    <w:rsid w:val="00B06EE0"/>
    <w:rsid w:val="00B07586"/>
    <w:rsid w:val="00B07992"/>
    <w:rsid w:val="00B10E6F"/>
    <w:rsid w:val="00B147B0"/>
    <w:rsid w:val="00B2079E"/>
    <w:rsid w:val="00B225AF"/>
    <w:rsid w:val="00B22E6C"/>
    <w:rsid w:val="00B25E68"/>
    <w:rsid w:val="00B271CD"/>
    <w:rsid w:val="00B27E27"/>
    <w:rsid w:val="00B30EAD"/>
    <w:rsid w:val="00B32036"/>
    <w:rsid w:val="00B3300F"/>
    <w:rsid w:val="00B35B22"/>
    <w:rsid w:val="00B37F39"/>
    <w:rsid w:val="00B4521C"/>
    <w:rsid w:val="00B47BC9"/>
    <w:rsid w:val="00B50E85"/>
    <w:rsid w:val="00B511F6"/>
    <w:rsid w:val="00B526CB"/>
    <w:rsid w:val="00B53590"/>
    <w:rsid w:val="00B55D5A"/>
    <w:rsid w:val="00B6008D"/>
    <w:rsid w:val="00B64094"/>
    <w:rsid w:val="00B642BA"/>
    <w:rsid w:val="00B64DC6"/>
    <w:rsid w:val="00B65E3A"/>
    <w:rsid w:val="00B669A2"/>
    <w:rsid w:val="00B66D69"/>
    <w:rsid w:val="00B6700F"/>
    <w:rsid w:val="00B70FFE"/>
    <w:rsid w:val="00B743A5"/>
    <w:rsid w:val="00B770F5"/>
    <w:rsid w:val="00B773B0"/>
    <w:rsid w:val="00B83776"/>
    <w:rsid w:val="00B83C18"/>
    <w:rsid w:val="00B85D9C"/>
    <w:rsid w:val="00B86B02"/>
    <w:rsid w:val="00B87CB6"/>
    <w:rsid w:val="00B87D76"/>
    <w:rsid w:val="00B926B1"/>
    <w:rsid w:val="00B93554"/>
    <w:rsid w:val="00B94F8A"/>
    <w:rsid w:val="00B951FB"/>
    <w:rsid w:val="00B95C7F"/>
    <w:rsid w:val="00BA0AF7"/>
    <w:rsid w:val="00BA150D"/>
    <w:rsid w:val="00BA18AA"/>
    <w:rsid w:val="00BA284A"/>
    <w:rsid w:val="00BA54EA"/>
    <w:rsid w:val="00BA5A94"/>
    <w:rsid w:val="00BA6C85"/>
    <w:rsid w:val="00BB2777"/>
    <w:rsid w:val="00BB2A2B"/>
    <w:rsid w:val="00BB49C2"/>
    <w:rsid w:val="00BB7037"/>
    <w:rsid w:val="00BB7947"/>
    <w:rsid w:val="00BC4E7C"/>
    <w:rsid w:val="00BC5DCC"/>
    <w:rsid w:val="00BD0C3E"/>
    <w:rsid w:val="00BD30FB"/>
    <w:rsid w:val="00BD3D13"/>
    <w:rsid w:val="00BD4C4D"/>
    <w:rsid w:val="00BD540C"/>
    <w:rsid w:val="00BD64DA"/>
    <w:rsid w:val="00BD6DFD"/>
    <w:rsid w:val="00BE13C1"/>
    <w:rsid w:val="00BE1E8C"/>
    <w:rsid w:val="00BE26BA"/>
    <w:rsid w:val="00BE2F8E"/>
    <w:rsid w:val="00BE48E7"/>
    <w:rsid w:val="00BE648E"/>
    <w:rsid w:val="00BF08C5"/>
    <w:rsid w:val="00BF54B8"/>
    <w:rsid w:val="00BF5F28"/>
    <w:rsid w:val="00BF67DB"/>
    <w:rsid w:val="00C01E3B"/>
    <w:rsid w:val="00C02D6F"/>
    <w:rsid w:val="00C02F53"/>
    <w:rsid w:val="00C119F7"/>
    <w:rsid w:val="00C11D94"/>
    <w:rsid w:val="00C12571"/>
    <w:rsid w:val="00C13980"/>
    <w:rsid w:val="00C14716"/>
    <w:rsid w:val="00C160F1"/>
    <w:rsid w:val="00C164CE"/>
    <w:rsid w:val="00C16FCE"/>
    <w:rsid w:val="00C177F7"/>
    <w:rsid w:val="00C17CE1"/>
    <w:rsid w:val="00C20462"/>
    <w:rsid w:val="00C22E7B"/>
    <w:rsid w:val="00C23A0D"/>
    <w:rsid w:val="00C249A5"/>
    <w:rsid w:val="00C26E45"/>
    <w:rsid w:val="00C26FC9"/>
    <w:rsid w:val="00C3170E"/>
    <w:rsid w:val="00C33101"/>
    <w:rsid w:val="00C352FD"/>
    <w:rsid w:val="00C367FB"/>
    <w:rsid w:val="00C36A0B"/>
    <w:rsid w:val="00C37244"/>
    <w:rsid w:val="00C40879"/>
    <w:rsid w:val="00C41CFE"/>
    <w:rsid w:val="00C42FE9"/>
    <w:rsid w:val="00C430F5"/>
    <w:rsid w:val="00C46DD8"/>
    <w:rsid w:val="00C50EFF"/>
    <w:rsid w:val="00C51917"/>
    <w:rsid w:val="00C5288D"/>
    <w:rsid w:val="00C53725"/>
    <w:rsid w:val="00C5438D"/>
    <w:rsid w:val="00C555A1"/>
    <w:rsid w:val="00C612C8"/>
    <w:rsid w:val="00C61C1E"/>
    <w:rsid w:val="00C631BE"/>
    <w:rsid w:val="00C655F8"/>
    <w:rsid w:val="00C70A72"/>
    <w:rsid w:val="00C70F86"/>
    <w:rsid w:val="00C71C1F"/>
    <w:rsid w:val="00C74BA7"/>
    <w:rsid w:val="00C75489"/>
    <w:rsid w:val="00C76470"/>
    <w:rsid w:val="00C7693B"/>
    <w:rsid w:val="00C77D00"/>
    <w:rsid w:val="00C80888"/>
    <w:rsid w:val="00C82944"/>
    <w:rsid w:val="00C86FAB"/>
    <w:rsid w:val="00C9094A"/>
    <w:rsid w:val="00C9238C"/>
    <w:rsid w:val="00C95705"/>
    <w:rsid w:val="00C95CC0"/>
    <w:rsid w:val="00C96469"/>
    <w:rsid w:val="00C974D4"/>
    <w:rsid w:val="00C975D6"/>
    <w:rsid w:val="00CA0614"/>
    <w:rsid w:val="00CA0880"/>
    <w:rsid w:val="00CA10D3"/>
    <w:rsid w:val="00CA13B8"/>
    <w:rsid w:val="00CA2804"/>
    <w:rsid w:val="00CA2E58"/>
    <w:rsid w:val="00CA33DF"/>
    <w:rsid w:val="00CA393E"/>
    <w:rsid w:val="00CA7E4C"/>
    <w:rsid w:val="00CB1604"/>
    <w:rsid w:val="00CB1A95"/>
    <w:rsid w:val="00CB1B31"/>
    <w:rsid w:val="00CB1CE2"/>
    <w:rsid w:val="00CB1EB3"/>
    <w:rsid w:val="00CB24F7"/>
    <w:rsid w:val="00CB43A3"/>
    <w:rsid w:val="00CB5568"/>
    <w:rsid w:val="00CB7EBF"/>
    <w:rsid w:val="00CB7F7E"/>
    <w:rsid w:val="00CC098D"/>
    <w:rsid w:val="00CC0B3C"/>
    <w:rsid w:val="00CC0B9A"/>
    <w:rsid w:val="00CC23A6"/>
    <w:rsid w:val="00CC3E54"/>
    <w:rsid w:val="00CD0CD0"/>
    <w:rsid w:val="00CD1382"/>
    <w:rsid w:val="00CD1743"/>
    <w:rsid w:val="00CD5202"/>
    <w:rsid w:val="00CD5789"/>
    <w:rsid w:val="00CD5D24"/>
    <w:rsid w:val="00CD6D28"/>
    <w:rsid w:val="00CE0025"/>
    <w:rsid w:val="00CE24D1"/>
    <w:rsid w:val="00CE27AD"/>
    <w:rsid w:val="00CE3B4B"/>
    <w:rsid w:val="00CE41AA"/>
    <w:rsid w:val="00CE4E79"/>
    <w:rsid w:val="00CE5083"/>
    <w:rsid w:val="00CF0693"/>
    <w:rsid w:val="00CF192B"/>
    <w:rsid w:val="00CF5BE1"/>
    <w:rsid w:val="00CF603F"/>
    <w:rsid w:val="00CF7153"/>
    <w:rsid w:val="00D02565"/>
    <w:rsid w:val="00D025CC"/>
    <w:rsid w:val="00D03129"/>
    <w:rsid w:val="00D041FD"/>
    <w:rsid w:val="00D04A3E"/>
    <w:rsid w:val="00D05445"/>
    <w:rsid w:val="00D06B92"/>
    <w:rsid w:val="00D11B86"/>
    <w:rsid w:val="00D137EB"/>
    <w:rsid w:val="00D13AC7"/>
    <w:rsid w:val="00D14477"/>
    <w:rsid w:val="00D17081"/>
    <w:rsid w:val="00D178DA"/>
    <w:rsid w:val="00D22315"/>
    <w:rsid w:val="00D236F9"/>
    <w:rsid w:val="00D2433A"/>
    <w:rsid w:val="00D25C6A"/>
    <w:rsid w:val="00D25F46"/>
    <w:rsid w:val="00D2606A"/>
    <w:rsid w:val="00D269D9"/>
    <w:rsid w:val="00D26CA7"/>
    <w:rsid w:val="00D27F80"/>
    <w:rsid w:val="00D320DC"/>
    <w:rsid w:val="00D35781"/>
    <w:rsid w:val="00D3638F"/>
    <w:rsid w:val="00D364FF"/>
    <w:rsid w:val="00D368F1"/>
    <w:rsid w:val="00D452EA"/>
    <w:rsid w:val="00D50AE7"/>
    <w:rsid w:val="00D50BDC"/>
    <w:rsid w:val="00D52429"/>
    <w:rsid w:val="00D52F3D"/>
    <w:rsid w:val="00D53A58"/>
    <w:rsid w:val="00D53CD7"/>
    <w:rsid w:val="00D6172F"/>
    <w:rsid w:val="00D649C2"/>
    <w:rsid w:val="00D6561D"/>
    <w:rsid w:val="00D67D3D"/>
    <w:rsid w:val="00D70416"/>
    <w:rsid w:val="00D71923"/>
    <w:rsid w:val="00D71DE6"/>
    <w:rsid w:val="00D72004"/>
    <w:rsid w:val="00D73BF2"/>
    <w:rsid w:val="00D73FA1"/>
    <w:rsid w:val="00D745BC"/>
    <w:rsid w:val="00D74EE2"/>
    <w:rsid w:val="00D75C59"/>
    <w:rsid w:val="00D7634C"/>
    <w:rsid w:val="00D7787C"/>
    <w:rsid w:val="00D8040D"/>
    <w:rsid w:val="00D8152E"/>
    <w:rsid w:val="00D81D8C"/>
    <w:rsid w:val="00D8221A"/>
    <w:rsid w:val="00D82592"/>
    <w:rsid w:val="00D86219"/>
    <w:rsid w:val="00D86BD4"/>
    <w:rsid w:val="00D879EC"/>
    <w:rsid w:val="00D90A87"/>
    <w:rsid w:val="00D90CCC"/>
    <w:rsid w:val="00D91249"/>
    <w:rsid w:val="00D9137C"/>
    <w:rsid w:val="00D93DAD"/>
    <w:rsid w:val="00D96975"/>
    <w:rsid w:val="00DA06A3"/>
    <w:rsid w:val="00DA2313"/>
    <w:rsid w:val="00DA2638"/>
    <w:rsid w:val="00DA29C1"/>
    <w:rsid w:val="00DA4CD8"/>
    <w:rsid w:val="00DA62DC"/>
    <w:rsid w:val="00DB02A0"/>
    <w:rsid w:val="00DB1B3C"/>
    <w:rsid w:val="00DB2D43"/>
    <w:rsid w:val="00DB64C4"/>
    <w:rsid w:val="00DC0654"/>
    <w:rsid w:val="00DC259D"/>
    <w:rsid w:val="00DC3DA9"/>
    <w:rsid w:val="00DC3E7F"/>
    <w:rsid w:val="00DC52D4"/>
    <w:rsid w:val="00DC6A43"/>
    <w:rsid w:val="00DC7B11"/>
    <w:rsid w:val="00DD1148"/>
    <w:rsid w:val="00DD1288"/>
    <w:rsid w:val="00DD3B1D"/>
    <w:rsid w:val="00DE02EF"/>
    <w:rsid w:val="00DE2352"/>
    <w:rsid w:val="00DE39AE"/>
    <w:rsid w:val="00DE3C0A"/>
    <w:rsid w:val="00DE717E"/>
    <w:rsid w:val="00DF67D8"/>
    <w:rsid w:val="00E00C09"/>
    <w:rsid w:val="00E01D93"/>
    <w:rsid w:val="00E02483"/>
    <w:rsid w:val="00E02578"/>
    <w:rsid w:val="00E0443E"/>
    <w:rsid w:val="00E04945"/>
    <w:rsid w:val="00E04B67"/>
    <w:rsid w:val="00E12E22"/>
    <w:rsid w:val="00E13D2F"/>
    <w:rsid w:val="00E13FB3"/>
    <w:rsid w:val="00E14F3A"/>
    <w:rsid w:val="00E15BF1"/>
    <w:rsid w:val="00E1659F"/>
    <w:rsid w:val="00E170CA"/>
    <w:rsid w:val="00E17BF2"/>
    <w:rsid w:val="00E20152"/>
    <w:rsid w:val="00E2183D"/>
    <w:rsid w:val="00E234B8"/>
    <w:rsid w:val="00E24E40"/>
    <w:rsid w:val="00E30020"/>
    <w:rsid w:val="00E3661A"/>
    <w:rsid w:val="00E41B1C"/>
    <w:rsid w:val="00E42A35"/>
    <w:rsid w:val="00E44584"/>
    <w:rsid w:val="00E450EA"/>
    <w:rsid w:val="00E45BDC"/>
    <w:rsid w:val="00E46A1D"/>
    <w:rsid w:val="00E5022A"/>
    <w:rsid w:val="00E50E51"/>
    <w:rsid w:val="00E5126C"/>
    <w:rsid w:val="00E51B6C"/>
    <w:rsid w:val="00E53F90"/>
    <w:rsid w:val="00E5478B"/>
    <w:rsid w:val="00E56189"/>
    <w:rsid w:val="00E5696D"/>
    <w:rsid w:val="00E57AA1"/>
    <w:rsid w:val="00E60A76"/>
    <w:rsid w:val="00E64B40"/>
    <w:rsid w:val="00E70F1E"/>
    <w:rsid w:val="00E719C0"/>
    <w:rsid w:val="00E72FF0"/>
    <w:rsid w:val="00E73729"/>
    <w:rsid w:val="00E746A6"/>
    <w:rsid w:val="00E75A5A"/>
    <w:rsid w:val="00E7775B"/>
    <w:rsid w:val="00E87345"/>
    <w:rsid w:val="00E878C8"/>
    <w:rsid w:val="00E90261"/>
    <w:rsid w:val="00E907B5"/>
    <w:rsid w:val="00E91F3B"/>
    <w:rsid w:val="00E93401"/>
    <w:rsid w:val="00EA0A4A"/>
    <w:rsid w:val="00EA1766"/>
    <w:rsid w:val="00EA5353"/>
    <w:rsid w:val="00EA54F0"/>
    <w:rsid w:val="00EA5D98"/>
    <w:rsid w:val="00EA66E7"/>
    <w:rsid w:val="00EA675E"/>
    <w:rsid w:val="00EA6C61"/>
    <w:rsid w:val="00EA7355"/>
    <w:rsid w:val="00EB0774"/>
    <w:rsid w:val="00EB1B1F"/>
    <w:rsid w:val="00EB2F0D"/>
    <w:rsid w:val="00EB4F71"/>
    <w:rsid w:val="00EB52DB"/>
    <w:rsid w:val="00EB57D2"/>
    <w:rsid w:val="00EB5DF7"/>
    <w:rsid w:val="00EB73CC"/>
    <w:rsid w:val="00EB7959"/>
    <w:rsid w:val="00EC16A4"/>
    <w:rsid w:val="00EC1F22"/>
    <w:rsid w:val="00EC46A9"/>
    <w:rsid w:val="00EC6E28"/>
    <w:rsid w:val="00ED01A9"/>
    <w:rsid w:val="00ED148E"/>
    <w:rsid w:val="00ED40FA"/>
    <w:rsid w:val="00ED6D37"/>
    <w:rsid w:val="00EE0BD4"/>
    <w:rsid w:val="00EE5583"/>
    <w:rsid w:val="00EF4766"/>
    <w:rsid w:val="00EF52FF"/>
    <w:rsid w:val="00F01239"/>
    <w:rsid w:val="00F050ED"/>
    <w:rsid w:val="00F064B2"/>
    <w:rsid w:val="00F07874"/>
    <w:rsid w:val="00F11C2A"/>
    <w:rsid w:val="00F11FEE"/>
    <w:rsid w:val="00F1219F"/>
    <w:rsid w:val="00F12713"/>
    <w:rsid w:val="00F150D5"/>
    <w:rsid w:val="00F213BB"/>
    <w:rsid w:val="00F22E21"/>
    <w:rsid w:val="00F262E1"/>
    <w:rsid w:val="00F30774"/>
    <w:rsid w:val="00F30B12"/>
    <w:rsid w:val="00F31641"/>
    <w:rsid w:val="00F323F2"/>
    <w:rsid w:val="00F32BDF"/>
    <w:rsid w:val="00F32F2C"/>
    <w:rsid w:val="00F36A52"/>
    <w:rsid w:val="00F40780"/>
    <w:rsid w:val="00F42594"/>
    <w:rsid w:val="00F43817"/>
    <w:rsid w:val="00F44191"/>
    <w:rsid w:val="00F44B57"/>
    <w:rsid w:val="00F457CD"/>
    <w:rsid w:val="00F45B39"/>
    <w:rsid w:val="00F46036"/>
    <w:rsid w:val="00F46CC4"/>
    <w:rsid w:val="00F46FD4"/>
    <w:rsid w:val="00F51BD2"/>
    <w:rsid w:val="00F548E3"/>
    <w:rsid w:val="00F55B2D"/>
    <w:rsid w:val="00F5609A"/>
    <w:rsid w:val="00F56317"/>
    <w:rsid w:val="00F56B11"/>
    <w:rsid w:val="00F57F2D"/>
    <w:rsid w:val="00F6021B"/>
    <w:rsid w:val="00F60377"/>
    <w:rsid w:val="00F6041B"/>
    <w:rsid w:val="00F62BD3"/>
    <w:rsid w:val="00F64E37"/>
    <w:rsid w:val="00F64F77"/>
    <w:rsid w:val="00F72095"/>
    <w:rsid w:val="00F74025"/>
    <w:rsid w:val="00F8091C"/>
    <w:rsid w:val="00F80B03"/>
    <w:rsid w:val="00F81BB5"/>
    <w:rsid w:val="00F83E54"/>
    <w:rsid w:val="00F84E81"/>
    <w:rsid w:val="00F90C9A"/>
    <w:rsid w:val="00F92B2D"/>
    <w:rsid w:val="00F93002"/>
    <w:rsid w:val="00F94B5B"/>
    <w:rsid w:val="00F953DA"/>
    <w:rsid w:val="00F965D5"/>
    <w:rsid w:val="00F9782F"/>
    <w:rsid w:val="00F97A43"/>
    <w:rsid w:val="00FA1714"/>
    <w:rsid w:val="00FA20FE"/>
    <w:rsid w:val="00FA5182"/>
    <w:rsid w:val="00FA6245"/>
    <w:rsid w:val="00FB4B0F"/>
    <w:rsid w:val="00FC40BF"/>
    <w:rsid w:val="00FC4788"/>
    <w:rsid w:val="00FC6653"/>
    <w:rsid w:val="00FD1109"/>
    <w:rsid w:val="00FD1CB7"/>
    <w:rsid w:val="00FD23A8"/>
    <w:rsid w:val="00FD3C97"/>
    <w:rsid w:val="00FD41DA"/>
    <w:rsid w:val="00FD628C"/>
    <w:rsid w:val="00FD740D"/>
    <w:rsid w:val="00FD7E25"/>
    <w:rsid w:val="00FE182A"/>
    <w:rsid w:val="00FE2354"/>
    <w:rsid w:val="00FE3065"/>
    <w:rsid w:val="00FE54D1"/>
    <w:rsid w:val="00FE7B06"/>
    <w:rsid w:val="00FF0E9A"/>
    <w:rsid w:val="00FF1F75"/>
    <w:rsid w:val="00FF315F"/>
    <w:rsid w:val="00FF3D86"/>
    <w:rsid w:val="00FF4EF5"/>
    <w:rsid w:val="00FF60F3"/>
    <w:rsid w:val="00FF6345"/>
    <w:rsid w:val="00FF6F68"/>
    <w:rsid w:val="00FF72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FE6E419"/>
  <w15:docId w15:val="{C8A75C78-0850-48C7-8DE4-0FA55A06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0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aliases w:val="Footnote"/>
    <w:basedOn w:val="Normal"/>
    <w:next w:val="Normal"/>
    <w:link w:val="Heading6Char"/>
    <w:autoRedefine/>
    <w:uiPriority w:val="99"/>
    <w:qFormat/>
    <w:rsid w:val="001D759A"/>
    <w:pPr>
      <w:keepNext/>
      <w:keepLines/>
      <w:widowControl w:val="0"/>
      <w:tabs>
        <w:tab w:val="num" w:pos="0"/>
      </w:tabs>
      <w:suppressAutoHyphens/>
      <w:spacing w:after="0" w:line="240" w:lineRule="auto"/>
      <w:contextualSpacing/>
      <w:outlineLvl w:val="5"/>
    </w:pPr>
    <w:rPr>
      <w:rFonts w:ascii="Calibri" w:eastAsia="Times New Roman" w:hAnsi="Calibri" w:cs="Times New Roman"/>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056339"/>
    <w:pPr>
      <w:ind w:left="720"/>
      <w:contextualSpacing/>
    </w:pPr>
  </w:style>
  <w:style w:type="character" w:styleId="CommentReference">
    <w:name w:val="annotation reference"/>
    <w:basedOn w:val="DefaultParagraphFont"/>
    <w:uiPriority w:val="99"/>
    <w:semiHidden/>
    <w:unhideWhenUsed/>
    <w:rsid w:val="00056339"/>
    <w:rPr>
      <w:sz w:val="16"/>
      <w:szCs w:val="16"/>
    </w:rPr>
  </w:style>
  <w:style w:type="paragraph" w:styleId="CommentText">
    <w:name w:val="annotation text"/>
    <w:basedOn w:val="Normal"/>
    <w:link w:val="CommentTextChar"/>
    <w:uiPriority w:val="99"/>
    <w:semiHidden/>
    <w:unhideWhenUsed/>
    <w:rsid w:val="00056339"/>
    <w:pPr>
      <w:spacing w:line="240" w:lineRule="auto"/>
    </w:pPr>
    <w:rPr>
      <w:sz w:val="20"/>
      <w:szCs w:val="20"/>
    </w:rPr>
  </w:style>
  <w:style w:type="character" w:customStyle="1" w:styleId="CommentTextChar">
    <w:name w:val="Comment Text Char"/>
    <w:basedOn w:val="DefaultParagraphFont"/>
    <w:link w:val="CommentText"/>
    <w:uiPriority w:val="99"/>
    <w:semiHidden/>
    <w:rsid w:val="00056339"/>
    <w:rPr>
      <w:sz w:val="20"/>
      <w:szCs w:val="20"/>
    </w:rPr>
  </w:style>
  <w:style w:type="paragraph" w:styleId="CommentSubject">
    <w:name w:val="annotation subject"/>
    <w:basedOn w:val="CommentText"/>
    <w:next w:val="CommentText"/>
    <w:link w:val="CommentSubjectChar"/>
    <w:uiPriority w:val="99"/>
    <w:semiHidden/>
    <w:unhideWhenUsed/>
    <w:rsid w:val="00056339"/>
    <w:rPr>
      <w:b/>
      <w:bCs/>
    </w:rPr>
  </w:style>
  <w:style w:type="character" w:customStyle="1" w:styleId="CommentSubjectChar">
    <w:name w:val="Comment Subject Char"/>
    <w:basedOn w:val="CommentTextChar"/>
    <w:link w:val="CommentSubject"/>
    <w:uiPriority w:val="99"/>
    <w:semiHidden/>
    <w:rsid w:val="00056339"/>
    <w:rPr>
      <w:b/>
      <w:bCs/>
      <w:sz w:val="20"/>
      <w:szCs w:val="20"/>
    </w:rPr>
  </w:style>
  <w:style w:type="paragraph" w:styleId="BalloonText">
    <w:name w:val="Balloon Text"/>
    <w:basedOn w:val="Normal"/>
    <w:link w:val="BalloonTextChar"/>
    <w:uiPriority w:val="99"/>
    <w:semiHidden/>
    <w:unhideWhenUsed/>
    <w:rsid w:val="000563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339"/>
    <w:rPr>
      <w:rFonts w:ascii="Segoe UI" w:hAnsi="Segoe UI" w:cs="Segoe UI"/>
      <w:sz w:val="18"/>
      <w:szCs w:val="18"/>
    </w:rPr>
  </w:style>
  <w:style w:type="table" w:styleId="TableGrid">
    <w:name w:val="Table Grid"/>
    <w:basedOn w:val="TableNormal"/>
    <w:uiPriority w:val="59"/>
    <w:rsid w:val="00447C6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3554"/>
    <w:rPr>
      <w:color w:val="0000FF" w:themeColor="hyperlink"/>
      <w:u w:val="single"/>
    </w:rPr>
  </w:style>
  <w:style w:type="paragraph" w:styleId="Header">
    <w:name w:val="header"/>
    <w:basedOn w:val="Normal"/>
    <w:link w:val="HeaderChar"/>
    <w:uiPriority w:val="99"/>
    <w:unhideWhenUsed/>
    <w:rsid w:val="00186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F04"/>
  </w:style>
  <w:style w:type="paragraph" w:styleId="Footer">
    <w:name w:val="footer"/>
    <w:basedOn w:val="Normal"/>
    <w:link w:val="FooterChar"/>
    <w:uiPriority w:val="99"/>
    <w:unhideWhenUsed/>
    <w:rsid w:val="00186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F04"/>
  </w:style>
  <w:style w:type="character" w:customStyle="1" w:styleId="Heading6Char">
    <w:name w:val="Heading 6 Char"/>
    <w:aliases w:val="Footnote Char"/>
    <w:basedOn w:val="DefaultParagraphFont"/>
    <w:link w:val="Heading6"/>
    <w:uiPriority w:val="99"/>
    <w:rsid w:val="001D759A"/>
    <w:rPr>
      <w:rFonts w:ascii="Calibri" w:eastAsia="Times New Roman" w:hAnsi="Calibri" w:cs="Times New Roman"/>
      <w:iCs/>
      <w:sz w:val="18"/>
    </w:rPr>
  </w:style>
  <w:style w:type="character" w:styleId="FootnoteReference">
    <w:name w:val="footnote reference"/>
    <w:basedOn w:val="DefaultParagraphFont"/>
    <w:uiPriority w:val="99"/>
    <w:rsid w:val="001D759A"/>
    <w:rPr>
      <w:rFonts w:cs="Times New Roman"/>
      <w:vertAlign w:val="superscript"/>
    </w:rPr>
  </w:style>
  <w:style w:type="paragraph" w:styleId="FootnoteText">
    <w:name w:val="footnote text"/>
    <w:basedOn w:val="Normal"/>
    <w:link w:val="FootnoteTextChar1"/>
    <w:uiPriority w:val="99"/>
    <w:rsid w:val="00E75A5A"/>
    <w:pPr>
      <w:widowControl w:val="0"/>
      <w:suppressAutoHyphens/>
      <w:spacing w:after="120"/>
    </w:pPr>
    <w:rPr>
      <w:rFonts w:ascii="Times New Roman" w:eastAsia="Times New Roman" w:hAnsi="Times New Roman" w:cs="Calibri"/>
      <w:sz w:val="20"/>
      <w:szCs w:val="20"/>
    </w:rPr>
  </w:style>
  <w:style w:type="character" w:customStyle="1" w:styleId="FootnoteTextChar">
    <w:name w:val="Footnote Text Char"/>
    <w:basedOn w:val="DefaultParagraphFont"/>
    <w:uiPriority w:val="99"/>
    <w:semiHidden/>
    <w:rsid w:val="00E75A5A"/>
    <w:rPr>
      <w:sz w:val="20"/>
      <w:szCs w:val="20"/>
    </w:rPr>
  </w:style>
  <w:style w:type="character" w:customStyle="1" w:styleId="FootnoteTextChar1">
    <w:name w:val="Footnote Text Char1"/>
    <w:basedOn w:val="DefaultParagraphFont"/>
    <w:link w:val="FootnoteText"/>
    <w:uiPriority w:val="99"/>
    <w:rsid w:val="00E75A5A"/>
    <w:rPr>
      <w:rFonts w:ascii="Times New Roman" w:eastAsia="Times New Roman" w:hAnsi="Times New Roman" w:cs="Calibri"/>
      <w:sz w:val="20"/>
      <w:szCs w:val="20"/>
    </w:rPr>
  </w:style>
  <w:style w:type="paragraph" w:styleId="Revision">
    <w:name w:val="Revision"/>
    <w:hidden/>
    <w:uiPriority w:val="99"/>
    <w:semiHidden/>
    <w:rsid w:val="00460639"/>
    <w:pPr>
      <w:spacing w:after="0" w:line="240" w:lineRule="auto"/>
    </w:pPr>
  </w:style>
  <w:style w:type="character" w:customStyle="1" w:styleId="Heading1Char">
    <w:name w:val="Heading 1 Char"/>
    <w:basedOn w:val="DefaultParagraphFont"/>
    <w:link w:val="Heading1"/>
    <w:uiPriority w:val="9"/>
    <w:rsid w:val="000C30FD"/>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uiPriority w:val="99"/>
    <w:semiHidden/>
    <w:unhideWhenUsed/>
    <w:rsid w:val="003B64A4"/>
  </w:style>
  <w:style w:type="character" w:customStyle="1" w:styleId="ListParagraphChar">
    <w:name w:val="List Paragraph Char"/>
    <w:link w:val="ListParagraph"/>
    <w:uiPriority w:val="34"/>
    <w:rsid w:val="001427A5"/>
  </w:style>
  <w:style w:type="paragraph" w:styleId="NoSpacing">
    <w:name w:val="No Spacing"/>
    <w:uiPriority w:val="1"/>
    <w:qFormat/>
    <w:rsid w:val="00FA6245"/>
    <w:pPr>
      <w:widowControl w:val="0"/>
      <w:suppressAutoHyphens/>
      <w:spacing w:after="0" w:line="240" w:lineRule="auto"/>
    </w:pPr>
    <w:rPr>
      <w:rFonts w:ascii="Calibri" w:eastAsia="Times New Roman" w:hAnsi="Calibri" w:cs="Calibri"/>
      <w:lang w:val="en-US"/>
    </w:rPr>
  </w:style>
  <w:style w:type="character" w:customStyle="1" w:styleId="shorttext">
    <w:name w:val="short_text"/>
    <w:basedOn w:val="DefaultParagraphFont"/>
    <w:rsid w:val="003B48A7"/>
  </w:style>
  <w:style w:type="paragraph" w:customStyle="1" w:styleId="m-9122321016640388389p1">
    <w:name w:val="m_-9122321016640388389p1"/>
    <w:basedOn w:val="Normal"/>
    <w:rsid w:val="003F30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9122321016640388389s1">
    <w:name w:val="m_-9122321016640388389s1"/>
    <w:basedOn w:val="DefaultParagraphFont"/>
    <w:rsid w:val="003F30F3"/>
  </w:style>
  <w:style w:type="paragraph" w:customStyle="1" w:styleId="story-body-text">
    <w:name w:val="story-body-text"/>
    <w:basedOn w:val="Normal"/>
    <w:rsid w:val="00D7200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aption">
    <w:name w:val="caption"/>
    <w:basedOn w:val="Normal"/>
    <w:next w:val="Normal"/>
    <w:autoRedefine/>
    <w:uiPriority w:val="35"/>
    <w:qFormat/>
    <w:rsid w:val="00462E2F"/>
    <w:pPr>
      <w:keepNext/>
      <w:keepLines/>
      <w:spacing w:after="240" w:line="240" w:lineRule="auto"/>
    </w:pPr>
    <w:rPr>
      <w:rFonts w:eastAsia="Times New Roman" w:cstheme="minorHAnsi"/>
      <w:b/>
      <w:bCs/>
      <w:color w:val="1F497D" w:themeColor="text2"/>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9234">
      <w:bodyDiv w:val="1"/>
      <w:marLeft w:val="0"/>
      <w:marRight w:val="0"/>
      <w:marTop w:val="0"/>
      <w:marBottom w:val="0"/>
      <w:divBdr>
        <w:top w:val="none" w:sz="0" w:space="0" w:color="auto"/>
        <w:left w:val="none" w:sz="0" w:space="0" w:color="auto"/>
        <w:bottom w:val="none" w:sz="0" w:space="0" w:color="auto"/>
        <w:right w:val="none" w:sz="0" w:space="0" w:color="auto"/>
      </w:divBdr>
    </w:div>
    <w:div w:id="22176336">
      <w:bodyDiv w:val="1"/>
      <w:marLeft w:val="0"/>
      <w:marRight w:val="0"/>
      <w:marTop w:val="0"/>
      <w:marBottom w:val="0"/>
      <w:divBdr>
        <w:top w:val="none" w:sz="0" w:space="0" w:color="auto"/>
        <w:left w:val="none" w:sz="0" w:space="0" w:color="auto"/>
        <w:bottom w:val="none" w:sz="0" w:space="0" w:color="auto"/>
        <w:right w:val="none" w:sz="0" w:space="0" w:color="auto"/>
      </w:divBdr>
    </w:div>
    <w:div w:id="36514742">
      <w:bodyDiv w:val="1"/>
      <w:marLeft w:val="0"/>
      <w:marRight w:val="0"/>
      <w:marTop w:val="0"/>
      <w:marBottom w:val="0"/>
      <w:divBdr>
        <w:top w:val="none" w:sz="0" w:space="0" w:color="auto"/>
        <w:left w:val="none" w:sz="0" w:space="0" w:color="auto"/>
        <w:bottom w:val="none" w:sz="0" w:space="0" w:color="auto"/>
        <w:right w:val="none" w:sz="0" w:space="0" w:color="auto"/>
      </w:divBdr>
    </w:div>
    <w:div w:id="168328353">
      <w:bodyDiv w:val="1"/>
      <w:marLeft w:val="0"/>
      <w:marRight w:val="0"/>
      <w:marTop w:val="0"/>
      <w:marBottom w:val="0"/>
      <w:divBdr>
        <w:top w:val="none" w:sz="0" w:space="0" w:color="auto"/>
        <w:left w:val="none" w:sz="0" w:space="0" w:color="auto"/>
        <w:bottom w:val="none" w:sz="0" w:space="0" w:color="auto"/>
        <w:right w:val="none" w:sz="0" w:space="0" w:color="auto"/>
      </w:divBdr>
    </w:div>
    <w:div w:id="195584596">
      <w:bodyDiv w:val="1"/>
      <w:marLeft w:val="0"/>
      <w:marRight w:val="0"/>
      <w:marTop w:val="0"/>
      <w:marBottom w:val="0"/>
      <w:divBdr>
        <w:top w:val="none" w:sz="0" w:space="0" w:color="auto"/>
        <w:left w:val="none" w:sz="0" w:space="0" w:color="auto"/>
        <w:bottom w:val="none" w:sz="0" w:space="0" w:color="auto"/>
        <w:right w:val="none" w:sz="0" w:space="0" w:color="auto"/>
      </w:divBdr>
    </w:div>
    <w:div w:id="206989505">
      <w:bodyDiv w:val="1"/>
      <w:marLeft w:val="0"/>
      <w:marRight w:val="0"/>
      <w:marTop w:val="0"/>
      <w:marBottom w:val="0"/>
      <w:divBdr>
        <w:top w:val="none" w:sz="0" w:space="0" w:color="auto"/>
        <w:left w:val="none" w:sz="0" w:space="0" w:color="auto"/>
        <w:bottom w:val="none" w:sz="0" w:space="0" w:color="auto"/>
        <w:right w:val="none" w:sz="0" w:space="0" w:color="auto"/>
      </w:divBdr>
    </w:div>
    <w:div w:id="286204864">
      <w:bodyDiv w:val="1"/>
      <w:marLeft w:val="0"/>
      <w:marRight w:val="0"/>
      <w:marTop w:val="0"/>
      <w:marBottom w:val="0"/>
      <w:divBdr>
        <w:top w:val="none" w:sz="0" w:space="0" w:color="auto"/>
        <w:left w:val="none" w:sz="0" w:space="0" w:color="auto"/>
        <w:bottom w:val="none" w:sz="0" w:space="0" w:color="auto"/>
        <w:right w:val="none" w:sz="0" w:space="0" w:color="auto"/>
      </w:divBdr>
    </w:div>
    <w:div w:id="437875059">
      <w:bodyDiv w:val="1"/>
      <w:marLeft w:val="0"/>
      <w:marRight w:val="0"/>
      <w:marTop w:val="0"/>
      <w:marBottom w:val="0"/>
      <w:divBdr>
        <w:top w:val="none" w:sz="0" w:space="0" w:color="auto"/>
        <w:left w:val="none" w:sz="0" w:space="0" w:color="auto"/>
        <w:bottom w:val="none" w:sz="0" w:space="0" w:color="auto"/>
        <w:right w:val="none" w:sz="0" w:space="0" w:color="auto"/>
      </w:divBdr>
    </w:div>
    <w:div w:id="467629010">
      <w:bodyDiv w:val="1"/>
      <w:marLeft w:val="0"/>
      <w:marRight w:val="0"/>
      <w:marTop w:val="0"/>
      <w:marBottom w:val="0"/>
      <w:divBdr>
        <w:top w:val="none" w:sz="0" w:space="0" w:color="auto"/>
        <w:left w:val="none" w:sz="0" w:space="0" w:color="auto"/>
        <w:bottom w:val="none" w:sz="0" w:space="0" w:color="auto"/>
        <w:right w:val="none" w:sz="0" w:space="0" w:color="auto"/>
      </w:divBdr>
    </w:div>
    <w:div w:id="498471303">
      <w:bodyDiv w:val="1"/>
      <w:marLeft w:val="0"/>
      <w:marRight w:val="0"/>
      <w:marTop w:val="0"/>
      <w:marBottom w:val="0"/>
      <w:divBdr>
        <w:top w:val="none" w:sz="0" w:space="0" w:color="auto"/>
        <w:left w:val="none" w:sz="0" w:space="0" w:color="auto"/>
        <w:bottom w:val="none" w:sz="0" w:space="0" w:color="auto"/>
        <w:right w:val="none" w:sz="0" w:space="0" w:color="auto"/>
      </w:divBdr>
      <w:divsChild>
        <w:div w:id="2010522873">
          <w:marLeft w:val="0"/>
          <w:marRight w:val="0"/>
          <w:marTop w:val="0"/>
          <w:marBottom w:val="0"/>
          <w:divBdr>
            <w:top w:val="none" w:sz="0" w:space="0" w:color="auto"/>
            <w:left w:val="none" w:sz="0" w:space="0" w:color="auto"/>
            <w:bottom w:val="none" w:sz="0" w:space="0" w:color="auto"/>
            <w:right w:val="none" w:sz="0" w:space="0" w:color="auto"/>
          </w:divBdr>
        </w:div>
        <w:div w:id="2093579666">
          <w:marLeft w:val="0"/>
          <w:marRight w:val="0"/>
          <w:marTop w:val="0"/>
          <w:marBottom w:val="0"/>
          <w:divBdr>
            <w:top w:val="none" w:sz="0" w:space="0" w:color="auto"/>
            <w:left w:val="none" w:sz="0" w:space="0" w:color="auto"/>
            <w:bottom w:val="none" w:sz="0" w:space="0" w:color="auto"/>
            <w:right w:val="none" w:sz="0" w:space="0" w:color="auto"/>
          </w:divBdr>
        </w:div>
        <w:div w:id="117799375">
          <w:marLeft w:val="0"/>
          <w:marRight w:val="0"/>
          <w:marTop w:val="0"/>
          <w:marBottom w:val="0"/>
          <w:divBdr>
            <w:top w:val="none" w:sz="0" w:space="0" w:color="auto"/>
            <w:left w:val="none" w:sz="0" w:space="0" w:color="auto"/>
            <w:bottom w:val="none" w:sz="0" w:space="0" w:color="auto"/>
            <w:right w:val="none" w:sz="0" w:space="0" w:color="auto"/>
          </w:divBdr>
        </w:div>
      </w:divsChild>
    </w:div>
    <w:div w:id="507212817">
      <w:bodyDiv w:val="1"/>
      <w:marLeft w:val="0"/>
      <w:marRight w:val="0"/>
      <w:marTop w:val="0"/>
      <w:marBottom w:val="0"/>
      <w:divBdr>
        <w:top w:val="none" w:sz="0" w:space="0" w:color="auto"/>
        <w:left w:val="none" w:sz="0" w:space="0" w:color="auto"/>
        <w:bottom w:val="none" w:sz="0" w:space="0" w:color="auto"/>
        <w:right w:val="none" w:sz="0" w:space="0" w:color="auto"/>
      </w:divBdr>
    </w:div>
    <w:div w:id="545531217">
      <w:bodyDiv w:val="1"/>
      <w:marLeft w:val="0"/>
      <w:marRight w:val="0"/>
      <w:marTop w:val="0"/>
      <w:marBottom w:val="0"/>
      <w:divBdr>
        <w:top w:val="none" w:sz="0" w:space="0" w:color="auto"/>
        <w:left w:val="none" w:sz="0" w:space="0" w:color="auto"/>
        <w:bottom w:val="none" w:sz="0" w:space="0" w:color="auto"/>
        <w:right w:val="none" w:sz="0" w:space="0" w:color="auto"/>
      </w:divBdr>
      <w:divsChild>
        <w:div w:id="637107203">
          <w:marLeft w:val="0"/>
          <w:marRight w:val="0"/>
          <w:marTop w:val="0"/>
          <w:marBottom w:val="0"/>
          <w:divBdr>
            <w:top w:val="none" w:sz="0" w:space="0" w:color="auto"/>
            <w:left w:val="none" w:sz="0" w:space="0" w:color="auto"/>
            <w:bottom w:val="none" w:sz="0" w:space="0" w:color="auto"/>
            <w:right w:val="none" w:sz="0" w:space="0" w:color="auto"/>
          </w:divBdr>
          <w:divsChild>
            <w:div w:id="1154568565">
              <w:marLeft w:val="0"/>
              <w:marRight w:val="0"/>
              <w:marTop w:val="0"/>
              <w:marBottom w:val="0"/>
              <w:divBdr>
                <w:top w:val="none" w:sz="0" w:space="0" w:color="auto"/>
                <w:left w:val="none" w:sz="0" w:space="0" w:color="auto"/>
                <w:bottom w:val="none" w:sz="0" w:space="0" w:color="auto"/>
                <w:right w:val="none" w:sz="0" w:space="0" w:color="auto"/>
              </w:divBdr>
            </w:div>
          </w:divsChild>
        </w:div>
        <w:div w:id="881400547">
          <w:marLeft w:val="0"/>
          <w:marRight w:val="0"/>
          <w:marTop w:val="0"/>
          <w:marBottom w:val="0"/>
          <w:divBdr>
            <w:top w:val="none" w:sz="0" w:space="0" w:color="auto"/>
            <w:left w:val="none" w:sz="0" w:space="0" w:color="auto"/>
            <w:bottom w:val="none" w:sz="0" w:space="0" w:color="auto"/>
            <w:right w:val="none" w:sz="0" w:space="0" w:color="auto"/>
          </w:divBdr>
        </w:div>
        <w:div w:id="316157516">
          <w:marLeft w:val="0"/>
          <w:marRight w:val="0"/>
          <w:marTop w:val="0"/>
          <w:marBottom w:val="0"/>
          <w:divBdr>
            <w:top w:val="none" w:sz="0" w:space="0" w:color="auto"/>
            <w:left w:val="none" w:sz="0" w:space="0" w:color="auto"/>
            <w:bottom w:val="none" w:sz="0" w:space="0" w:color="auto"/>
            <w:right w:val="none" w:sz="0" w:space="0" w:color="auto"/>
          </w:divBdr>
        </w:div>
      </w:divsChild>
    </w:div>
    <w:div w:id="569461676">
      <w:bodyDiv w:val="1"/>
      <w:marLeft w:val="0"/>
      <w:marRight w:val="0"/>
      <w:marTop w:val="0"/>
      <w:marBottom w:val="0"/>
      <w:divBdr>
        <w:top w:val="none" w:sz="0" w:space="0" w:color="auto"/>
        <w:left w:val="none" w:sz="0" w:space="0" w:color="auto"/>
        <w:bottom w:val="none" w:sz="0" w:space="0" w:color="auto"/>
        <w:right w:val="none" w:sz="0" w:space="0" w:color="auto"/>
      </w:divBdr>
    </w:div>
    <w:div w:id="577790470">
      <w:bodyDiv w:val="1"/>
      <w:marLeft w:val="0"/>
      <w:marRight w:val="0"/>
      <w:marTop w:val="0"/>
      <w:marBottom w:val="0"/>
      <w:divBdr>
        <w:top w:val="none" w:sz="0" w:space="0" w:color="auto"/>
        <w:left w:val="none" w:sz="0" w:space="0" w:color="auto"/>
        <w:bottom w:val="none" w:sz="0" w:space="0" w:color="auto"/>
        <w:right w:val="none" w:sz="0" w:space="0" w:color="auto"/>
      </w:divBdr>
    </w:div>
    <w:div w:id="588586863">
      <w:bodyDiv w:val="1"/>
      <w:marLeft w:val="0"/>
      <w:marRight w:val="0"/>
      <w:marTop w:val="0"/>
      <w:marBottom w:val="0"/>
      <w:divBdr>
        <w:top w:val="none" w:sz="0" w:space="0" w:color="auto"/>
        <w:left w:val="none" w:sz="0" w:space="0" w:color="auto"/>
        <w:bottom w:val="none" w:sz="0" w:space="0" w:color="auto"/>
        <w:right w:val="none" w:sz="0" w:space="0" w:color="auto"/>
      </w:divBdr>
    </w:div>
    <w:div w:id="600796831">
      <w:bodyDiv w:val="1"/>
      <w:marLeft w:val="0"/>
      <w:marRight w:val="0"/>
      <w:marTop w:val="0"/>
      <w:marBottom w:val="0"/>
      <w:divBdr>
        <w:top w:val="none" w:sz="0" w:space="0" w:color="auto"/>
        <w:left w:val="none" w:sz="0" w:space="0" w:color="auto"/>
        <w:bottom w:val="none" w:sz="0" w:space="0" w:color="auto"/>
        <w:right w:val="none" w:sz="0" w:space="0" w:color="auto"/>
      </w:divBdr>
    </w:div>
    <w:div w:id="646132157">
      <w:bodyDiv w:val="1"/>
      <w:marLeft w:val="0"/>
      <w:marRight w:val="0"/>
      <w:marTop w:val="0"/>
      <w:marBottom w:val="0"/>
      <w:divBdr>
        <w:top w:val="none" w:sz="0" w:space="0" w:color="auto"/>
        <w:left w:val="none" w:sz="0" w:space="0" w:color="auto"/>
        <w:bottom w:val="none" w:sz="0" w:space="0" w:color="auto"/>
        <w:right w:val="none" w:sz="0" w:space="0" w:color="auto"/>
      </w:divBdr>
    </w:div>
    <w:div w:id="650059167">
      <w:bodyDiv w:val="1"/>
      <w:marLeft w:val="0"/>
      <w:marRight w:val="0"/>
      <w:marTop w:val="0"/>
      <w:marBottom w:val="0"/>
      <w:divBdr>
        <w:top w:val="none" w:sz="0" w:space="0" w:color="auto"/>
        <w:left w:val="none" w:sz="0" w:space="0" w:color="auto"/>
        <w:bottom w:val="none" w:sz="0" w:space="0" w:color="auto"/>
        <w:right w:val="none" w:sz="0" w:space="0" w:color="auto"/>
      </w:divBdr>
    </w:div>
    <w:div w:id="659887875">
      <w:bodyDiv w:val="1"/>
      <w:marLeft w:val="0"/>
      <w:marRight w:val="0"/>
      <w:marTop w:val="0"/>
      <w:marBottom w:val="0"/>
      <w:divBdr>
        <w:top w:val="none" w:sz="0" w:space="0" w:color="auto"/>
        <w:left w:val="none" w:sz="0" w:space="0" w:color="auto"/>
        <w:bottom w:val="none" w:sz="0" w:space="0" w:color="auto"/>
        <w:right w:val="none" w:sz="0" w:space="0" w:color="auto"/>
      </w:divBdr>
    </w:div>
    <w:div w:id="668482189">
      <w:bodyDiv w:val="1"/>
      <w:marLeft w:val="0"/>
      <w:marRight w:val="0"/>
      <w:marTop w:val="0"/>
      <w:marBottom w:val="0"/>
      <w:divBdr>
        <w:top w:val="none" w:sz="0" w:space="0" w:color="auto"/>
        <w:left w:val="none" w:sz="0" w:space="0" w:color="auto"/>
        <w:bottom w:val="none" w:sz="0" w:space="0" w:color="auto"/>
        <w:right w:val="none" w:sz="0" w:space="0" w:color="auto"/>
      </w:divBdr>
    </w:div>
    <w:div w:id="720133656">
      <w:bodyDiv w:val="1"/>
      <w:marLeft w:val="0"/>
      <w:marRight w:val="0"/>
      <w:marTop w:val="0"/>
      <w:marBottom w:val="0"/>
      <w:divBdr>
        <w:top w:val="none" w:sz="0" w:space="0" w:color="auto"/>
        <w:left w:val="none" w:sz="0" w:space="0" w:color="auto"/>
        <w:bottom w:val="none" w:sz="0" w:space="0" w:color="auto"/>
        <w:right w:val="none" w:sz="0" w:space="0" w:color="auto"/>
      </w:divBdr>
    </w:div>
    <w:div w:id="776369541">
      <w:bodyDiv w:val="1"/>
      <w:marLeft w:val="0"/>
      <w:marRight w:val="0"/>
      <w:marTop w:val="0"/>
      <w:marBottom w:val="0"/>
      <w:divBdr>
        <w:top w:val="none" w:sz="0" w:space="0" w:color="auto"/>
        <w:left w:val="none" w:sz="0" w:space="0" w:color="auto"/>
        <w:bottom w:val="none" w:sz="0" w:space="0" w:color="auto"/>
        <w:right w:val="none" w:sz="0" w:space="0" w:color="auto"/>
      </w:divBdr>
    </w:div>
    <w:div w:id="798839205">
      <w:bodyDiv w:val="1"/>
      <w:marLeft w:val="0"/>
      <w:marRight w:val="0"/>
      <w:marTop w:val="0"/>
      <w:marBottom w:val="0"/>
      <w:divBdr>
        <w:top w:val="none" w:sz="0" w:space="0" w:color="auto"/>
        <w:left w:val="none" w:sz="0" w:space="0" w:color="auto"/>
        <w:bottom w:val="none" w:sz="0" w:space="0" w:color="auto"/>
        <w:right w:val="none" w:sz="0" w:space="0" w:color="auto"/>
      </w:divBdr>
    </w:div>
    <w:div w:id="827526315">
      <w:bodyDiv w:val="1"/>
      <w:marLeft w:val="0"/>
      <w:marRight w:val="0"/>
      <w:marTop w:val="0"/>
      <w:marBottom w:val="0"/>
      <w:divBdr>
        <w:top w:val="none" w:sz="0" w:space="0" w:color="auto"/>
        <w:left w:val="none" w:sz="0" w:space="0" w:color="auto"/>
        <w:bottom w:val="none" w:sz="0" w:space="0" w:color="auto"/>
        <w:right w:val="none" w:sz="0" w:space="0" w:color="auto"/>
      </w:divBdr>
    </w:div>
    <w:div w:id="931085301">
      <w:bodyDiv w:val="1"/>
      <w:marLeft w:val="0"/>
      <w:marRight w:val="0"/>
      <w:marTop w:val="0"/>
      <w:marBottom w:val="0"/>
      <w:divBdr>
        <w:top w:val="none" w:sz="0" w:space="0" w:color="auto"/>
        <w:left w:val="none" w:sz="0" w:space="0" w:color="auto"/>
        <w:bottom w:val="none" w:sz="0" w:space="0" w:color="auto"/>
        <w:right w:val="none" w:sz="0" w:space="0" w:color="auto"/>
      </w:divBdr>
    </w:div>
    <w:div w:id="974067848">
      <w:bodyDiv w:val="1"/>
      <w:marLeft w:val="0"/>
      <w:marRight w:val="0"/>
      <w:marTop w:val="0"/>
      <w:marBottom w:val="0"/>
      <w:divBdr>
        <w:top w:val="none" w:sz="0" w:space="0" w:color="auto"/>
        <w:left w:val="none" w:sz="0" w:space="0" w:color="auto"/>
        <w:bottom w:val="none" w:sz="0" w:space="0" w:color="auto"/>
        <w:right w:val="none" w:sz="0" w:space="0" w:color="auto"/>
      </w:divBdr>
    </w:div>
    <w:div w:id="1051423701">
      <w:bodyDiv w:val="1"/>
      <w:marLeft w:val="0"/>
      <w:marRight w:val="0"/>
      <w:marTop w:val="0"/>
      <w:marBottom w:val="0"/>
      <w:divBdr>
        <w:top w:val="none" w:sz="0" w:space="0" w:color="auto"/>
        <w:left w:val="none" w:sz="0" w:space="0" w:color="auto"/>
        <w:bottom w:val="none" w:sz="0" w:space="0" w:color="auto"/>
        <w:right w:val="none" w:sz="0" w:space="0" w:color="auto"/>
      </w:divBdr>
    </w:div>
    <w:div w:id="1056126720">
      <w:bodyDiv w:val="1"/>
      <w:marLeft w:val="0"/>
      <w:marRight w:val="0"/>
      <w:marTop w:val="0"/>
      <w:marBottom w:val="0"/>
      <w:divBdr>
        <w:top w:val="none" w:sz="0" w:space="0" w:color="auto"/>
        <w:left w:val="none" w:sz="0" w:space="0" w:color="auto"/>
        <w:bottom w:val="none" w:sz="0" w:space="0" w:color="auto"/>
        <w:right w:val="none" w:sz="0" w:space="0" w:color="auto"/>
      </w:divBdr>
    </w:div>
    <w:div w:id="1094059106">
      <w:bodyDiv w:val="1"/>
      <w:marLeft w:val="0"/>
      <w:marRight w:val="0"/>
      <w:marTop w:val="0"/>
      <w:marBottom w:val="0"/>
      <w:divBdr>
        <w:top w:val="none" w:sz="0" w:space="0" w:color="auto"/>
        <w:left w:val="none" w:sz="0" w:space="0" w:color="auto"/>
        <w:bottom w:val="none" w:sz="0" w:space="0" w:color="auto"/>
        <w:right w:val="none" w:sz="0" w:space="0" w:color="auto"/>
      </w:divBdr>
    </w:div>
    <w:div w:id="1096561134">
      <w:bodyDiv w:val="1"/>
      <w:marLeft w:val="0"/>
      <w:marRight w:val="0"/>
      <w:marTop w:val="0"/>
      <w:marBottom w:val="0"/>
      <w:divBdr>
        <w:top w:val="none" w:sz="0" w:space="0" w:color="auto"/>
        <w:left w:val="none" w:sz="0" w:space="0" w:color="auto"/>
        <w:bottom w:val="none" w:sz="0" w:space="0" w:color="auto"/>
        <w:right w:val="none" w:sz="0" w:space="0" w:color="auto"/>
      </w:divBdr>
    </w:div>
    <w:div w:id="1208642598">
      <w:bodyDiv w:val="1"/>
      <w:marLeft w:val="0"/>
      <w:marRight w:val="0"/>
      <w:marTop w:val="0"/>
      <w:marBottom w:val="0"/>
      <w:divBdr>
        <w:top w:val="none" w:sz="0" w:space="0" w:color="auto"/>
        <w:left w:val="none" w:sz="0" w:space="0" w:color="auto"/>
        <w:bottom w:val="none" w:sz="0" w:space="0" w:color="auto"/>
        <w:right w:val="none" w:sz="0" w:space="0" w:color="auto"/>
      </w:divBdr>
    </w:div>
    <w:div w:id="1238704987">
      <w:bodyDiv w:val="1"/>
      <w:marLeft w:val="0"/>
      <w:marRight w:val="0"/>
      <w:marTop w:val="0"/>
      <w:marBottom w:val="0"/>
      <w:divBdr>
        <w:top w:val="none" w:sz="0" w:space="0" w:color="auto"/>
        <w:left w:val="none" w:sz="0" w:space="0" w:color="auto"/>
        <w:bottom w:val="none" w:sz="0" w:space="0" w:color="auto"/>
        <w:right w:val="none" w:sz="0" w:space="0" w:color="auto"/>
      </w:divBdr>
    </w:div>
    <w:div w:id="1272516533">
      <w:bodyDiv w:val="1"/>
      <w:marLeft w:val="0"/>
      <w:marRight w:val="0"/>
      <w:marTop w:val="0"/>
      <w:marBottom w:val="0"/>
      <w:divBdr>
        <w:top w:val="none" w:sz="0" w:space="0" w:color="auto"/>
        <w:left w:val="none" w:sz="0" w:space="0" w:color="auto"/>
        <w:bottom w:val="none" w:sz="0" w:space="0" w:color="auto"/>
        <w:right w:val="none" w:sz="0" w:space="0" w:color="auto"/>
      </w:divBdr>
    </w:div>
    <w:div w:id="1289169869">
      <w:bodyDiv w:val="1"/>
      <w:marLeft w:val="0"/>
      <w:marRight w:val="0"/>
      <w:marTop w:val="0"/>
      <w:marBottom w:val="0"/>
      <w:divBdr>
        <w:top w:val="none" w:sz="0" w:space="0" w:color="auto"/>
        <w:left w:val="none" w:sz="0" w:space="0" w:color="auto"/>
        <w:bottom w:val="none" w:sz="0" w:space="0" w:color="auto"/>
        <w:right w:val="none" w:sz="0" w:space="0" w:color="auto"/>
      </w:divBdr>
    </w:div>
    <w:div w:id="1313173291">
      <w:bodyDiv w:val="1"/>
      <w:marLeft w:val="0"/>
      <w:marRight w:val="0"/>
      <w:marTop w:val="0"/>
      <w:marBottom w:val="0"/>
      <w:divBdr>
        <w:top w:val="none" w:sz="0" w:space="0" w:color="auto"/>
        <w:left w:val="none" w:sz="0" w:space="0" w:color="auto"/>
        <w:bottom w:val="none" w:sz="0" w:space="0" w:color="auto"/>
        <w:right w:val="none" w:sz="0" w:space="0" w:color="auto"/>
      </w:divBdr>
    </w:div>
    <w:div w:id="1483810027">
      <w:bodyDiv w:val="1"/>
      <w:marLeft w:val="0"/>
      <w:marRight w:val="0"/>
      <w:marTop w:val="0"/>
      <w:marBottom w:val="0"/>
      <w:divBdr>
        <w:top w:val="none" w:sz="0" w:space="0" w:color="auto"/>
        <w:left w:val="none" w:sz="0" w:space="0" w:color="auto"/>
        <w:bottom w:val="none" w:sz="0" w:space="0" w:color="auto"/>
        <w:right w:val="none" w:sz="0" w:space="0" w:color="auto"/>
      </w:divBdr>
    </w:div>
    <w:div w:id="1516534570">
      <w:bodyDiv w:val="1"/>
      <w:marLeft w:val="0"/>
      <w:marRight w:val="0"/>
      <w:marTop w:val="0"/>
      <w:marBottom w:val="0"/>
      <w:divBdr>
        <w:top w:val="none" w:sz="0" w:space="0" w:color="auto"/>
        <w:left w:val="none" w:sz="0" w:space="0" w:color="auto"/>
        <w:bottom w:val="none" w:sz="0" w:space="0" w:color="auto"/>
        <w:right w:val="none" w:sz="0" w:space="0" w:color="auto"/>
      </w:divBdr>
    </w:div>
    <w:div w:id="1516924361">
      <w:bodyDiv w:val="1"/>
      <w:marLeft w:val="0"/>
      <w:marRight w:val="0"/>
      <w:marTop w:val="0"/>
      <w:marBottom w:val="0"/>
      <w:divBdr>
        <w:top w:val="none" w:sz="0" w:space="0" w:color="auto"/>
        <w:left w:val="none" w:sz="0" w:space="0" w:color="auto"/>
        <w:bottom w:val="none" w:sz="0" w:space="0" w:color="auto"/>
        <w:right w:val="none" w:sz="0" w:space="0" w:color="auto"/>
      </w:divBdr>
    </w:div>
    <w:div w:id="1548227209">
      <w:bodyDiv w:val="1"/>
      <w:marLeft w:val="0"/>
      <w:marRight w:val="0"/>
      <w:marTop w:val="0"/>
      <w:marBottom w:val="0"/>
      <w:divBdr>
        <w:top w:val="none" w:sz="0" w:space="0" w:color="auto"/>
        <w:left w:val="none" w:sz="0" w:space="0" w:color="auto"/>
        <w:bottom w:val="none" w:sz="0" w:space="0" w:color="auto"/>
        <w:right w:val="none" w:sz="0" w:space="0" w:color="auto"/>
      </w:divBdr>
    </w:div>
    <w:div w:id="1772969192">
      <w:bodyDiv w:val="1"/>
      <w:marLeft w:val="0"/>
      <w:marRight w:val="0"/>
      <w:marTop w:val="0"/>
      <w:marBottom w:val="0"/>
      <w:divBdr>
        <w:top w:val="none" w:sz="0" w:space="0" w:color="auto"/>
        <w:left w:val="none" w:sz="0" w:space="0" w:color="auto"/>
        <w:bottom w:val="none" w:sz="0" w:space="0" w:color="auto"/>
        <w:right w:val="none" w:sz="0" w:space="0" w:color="auto"/>
      </w:divBdr>
    </w:div>
    <w:div w:id="1809082600">
      <w:bodyDiv w:val="1"/>
      <w:marLeft w:val="0"/>
      <w:marRight w:val="0"/>
      <w:marTop w:val="0"/>
      <w:marBottom w:val="0"/>
      <w:divBdr>
        <w:top w:val="none" w:sz="0" w:space="0" w:color="auto"/>
        <w:left w:val="none" w:sz="0" w:space="0" w:color="auto"/>
        <w:bottom w:val="none" w:sz="0" w:space="0" w:color="auto"/>
        <w:right w:val="none" w:sz="0" w:space="0" w:color="auto"/>
      </w:divBdr>
    </w:div>
    <w:div w:id="1848858553">
      <w:bodyDiv w:val="1"/>
      <w:marLeft w:val="0"/>
      <w:marRight w:val="0"/>
      <w:marTop w:val="0"/>
      <w:marBottom w:val="0"/>
      <w:divBdr>
        <w:top w:val="none" w:sz="0" w:space="0" w:color="auto"/>
        <w:left w:val="none" w:sz="0" w:space="0" w:color="auto"/>
        <w:bottom w:val="none" w:sz="0" w:space="0" w:color="auto"/>
        <w:right w:val="none" w:sz="0" w:space="0" w:color="auto"/>
      </w:divBdr>
    </w:div>
    <w:div w:id="1885214717">
      <w:bodyDiv w:val="1"/>
      <w:marLeft w:val="0"/>
      <w:marRight w:val="0"/>
      <w:marTop w:val="0"/>
      <w:marBottom w:val="0"/>
      <w:divBdr>
        <w:top w:val="none" w:sz="0" w:space="0" w:color="auto"/>
        <w:left w:val="none" w:sz="0" w:space="0" w:color="auto"/>
        <w:bottom w:val="none" w:sz="0" w:space="0" w:color="auto"/>
        <w:right w:val="none" w:sz="0" w:space="0" w:color="auto"/>
      </w:divBdr>
    </w:div>
    <w:div w:id="1917085243">
      <w:bodyDiv w:val="1"/>
      <w:marLeft w:val="0"/>
      <w:marRight w:val="0"/>
      <w:marTop w:val="0"/>
      <w:marBottom w:val="0"/>
      <w:divBdr>
        <w:top w:val="none" w:sz="0" w:space="0" w:color="auto"/>
        <w:left w:val="none" w:sz="0" w:space="0" w:color="auto"/>
        <w:bottom w:val="none" w:sz="0" w:space="0" w:color="auto"/>
        <w:right w:val="none" w:sz="0" w:space="0" w:color="auto"/>
      </w:divBdr>
    </w:div>
    <w:div w:id="2030718790">
      <w:bodyDiv w:val="1"/>
      <w:marLeft w:val="0"/>
      <w:marRight w:val="0"/>
      <w:marTop w:val="0"/>
      <w:marBottom w:val="0"/>
      <w:divBdr>
        <w:top w:val="none" w:sz="0" w:space="0" w:color="auto"/>
        <w:left w:val="none" w:sz="0" w:space="0" w:color="auto"/>
        <w:bottom w:val="none" w:sz="0" w:space="0" w:color="auto"/>
        <w:right w:val="none" w:sz="0" w:space="0" w:color="auto"/>
      </w:divBdr>
    </w:div>
    <w:div w:id="204972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worldcoal.org/pages/content/index.asp?PageID=404" TargetMode="External"/><Relationship Id="rId3" Type="http://schemas.openxmlformats.org/officeDocument/2006/relationships/hyperlink" Target="https://oilandgasuk.co.uk/wp-content/uploads/2019/03/OGUK-Workforce-Report-2018.pdf" TargetMode="External"/><Relationship Id="rId7" Type="http://schemas.openxmlformats.org/officeDocument/2006/relationships/hyperlink" Target="http://www.bgs.ac.uk/mineralsuk/statistics/UKStatistics.html" TargetMode="External"/><Relationship Id="rId12" Type="http://schemas.openxmlformats.org/officeDocument/2006/relationships/hyperlink" Target="https://www.cbi.org/project/eiti-board-cso/" TargetMode="External"/><Relationship Id="rId2" Type="http://schemas.openxmlformats.org/officeDocument/2006/relationships/hyperlink" Target="https://www.gov.uk/guidance/oil-and-gas-infrastructure" TargetMode="External"/><Relationship Id="rId1" Type="http://schemas.openxmlformats.org/officeDocument/2006/relationships/hyperlink" Target="https://eiti.org/document/validation-schedule-decisions" TargetMode="External"/><Relationship Id="rId6" Type="http://schemas.openxmlformats.org/officeDocument/2006/relationships/hyperlink" Target="https://www.ogauthority.co.uk/media/5391/oga_projections_of_uk_oil_and_gas_production_and_expenditure.pdf" TargetMode="External"/><Relationship Id="rId11" Type="http://schemas.openxmlformats.org/officeDocument/2006/relationships/hyperlink" Target="http://goxi.org/profiles/blogs/pwyp-walks-out-of-ukeiti-again" TargetMode="External"/><Relationship Id="rId5" Type="http://schemas.openxmlformats.org/officeDocument/2006/relationships/hyperlink" Target="https://oilandgasuk.co.uk/wp-content/uploads/2019/03/OGUK-Economic-Report-2018.pdf" TargetMode="External"/><Relationship Id="rId10" Type="http://schemas.openxmlformats.org/officeDocument/2006/relationships/hyperlink" Target="https://eiti.org/blog/former-eiti-chair-rt-hon-clare-short-reflects" TargetMode="External"/><Relationship Id="rId4" Type="http://schemas.openxmlformats.org/officeDocument/2006/relationships/hyperlink" Target="https://oilandgasuk.co.uk/wp-content/uploads/2019/03/OGUK-Economic-Report-2018.pdf" TargetMode="External"/><Relationship Id="rId9" Type="http://schemas.openxmlformats.org/officeDocument/2006/relationships/hyperlink" Target="https://www.economist.com/business/2016/02/25/flare-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90C4493E99B54591FF033CB29A0A1F" ma:contentTypeVersion="13" ma:contentTypeDescription="Create a new document." ma:contentTypeScope="" ma:versionID="df1f7b273fc7b792b04747bca7e13499">
  <xsd:schema xmlns:xsd="http://www.w3.org/2001/XMLSchema" xmlns:xs="http://www.w3.org/2001/XMLSchema" xmlns:p="http://schemas.microsoft.com/office/2006/metadata/properties" xmlns:ns3="752436a3-9700-4879-921b-ca80fb4e33f1" xmlns:ns4="62e161b0-29ed-4b5f-9407-ee5ab8bd369f" targetNamespace="http://schemas.microsoft.com/office/2006/metadata/properties" ma:root="true" ma:fieldsID="49603f1898326b8a87df617d324b19d7" ns3:_="" ns4:_="">
    <xsd:import namespace="752436a3-9700-4879-921b-ca80fb4e33f1"/>
    <xsd:import namespace="62e161b0-29ed-4b5f-9407-ee5ab8bd36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436a3-9700-4879-921b-ca80fb4e3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161b0-29ed-4b5f-9407-ee5ab8bd36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b:Source>
    <b:Tag>PHE1642</b:Tag>
    <b:SourceType>InternetSite</b:SourceType>
    <b:Guid>{E8E924D0-C9BB-D84E-9CFD-8C05DEEE256F}</b:Guid>
    <b:Author>
      <b:Author>
        <b:Corporate>PH-EITI</b:Corporate>
      </b:Author>
    </b:Author>
    <b:Title>PH-EITI Presentation to the 63rd Annual National Mine Safety and Environment Conference Minerals Industry Symposium</b:Title>
    <b:Year>2016</b:Year>
    <b:URL>unpublished, provided the PH-EITI Secretariat</b:URL>
    <b:Month>November</b:Month>
    <b:Day>17</b:Day>
    <b:YearAccessed>2017</b:YearAccessed>
    <b:MonthAccessed>February</b:MonthAccessed>
    <b:RefOrder>1</b:RefOrder>
  </b:Source>
  <b:Source>
    <b:Tag>Bus16</b:Tag>
    <b:SourceType>InternetSite</b:SourceType>
    <b:Guid>{CC3ADAC9-7692-234A-9035-C65F1E25CBF6}</b:Guid>
    <b:Author>
      <b:Author>
        <b:Corporate>BusinessWorld</b:Corporate>
      </b:Author>
    </b:Author>
    <b:Title>PHL sees oil, gas potential as EITI efforts lauded</b:Title>
    <b:URL>http://www.bworldonline.com/content.php?section=Economy&amp;title=phl-sees-oil-gas-potential-as-eiti-efforts-lauded&amp;id=123663</b:URL>
    <b:Year>2016</b:Year>
    <b:Month>February</b:Month>
    <b:Day>26</b:Day>
    <b:YearAccessed>2017</b:YearAccessed>
    <b:MonthAccessed>February</b:MonthAccessed>
    <b:RefOrder>2</b:RefOrder>
  </b:Source>
  <b:Source>
    <b:Tag>Min161</b:Tag>
    <b:SourceType>InternetSite</b:SourceType>
    <b:Guid>{E852BD1C-4913-F046-A42C-1310A47013CD}</b:Guid>
    <b:Author>
      <b:Author>
        <b:Corporate>Mines and Geosciences Bureau</b:Corporate>
      </b:Author>
    </b:Author>
    <b:Title>Mineral Resource Inventory</b:Title>
    <b:URL>http://www.mgb.gov.ph/2015-05-13-01-44-56/2015-05-13-01-47-51#</b:URL>
    <b:Year>2016</b:Year>
    <b:YearAccessed>2016</b:YearAccessed>
    <b:MonthAccessed>October</b:MonthAccessed>
    <b:RefOrder>3</b:RefOrder>
  </b:Source>
  <b:Source>
    <b:Tag>PHE156</b:Tag>
    <b:SourceType>DocumentFromInternetSite</b:SourceType>
    <b:Guid>{B6460EE1-35AF-7546-83B5-07FBDDF8FE7E}</b:Guid>
    <b:Author>
      <b:Author>
        <b:Corporate>PH-EITI</b:Corporate>
      </b:Author>
    </b:Author>
    <b:Title>The 2nd PH-EITI Country Report (FY2013) - Executive Summary</b:Title>
    <b:URL>http://ph-eiti.org/document/EITI-Report/Second-Country-Report/Executive%20Summary_2015.pdf</b:URL>
    <b:Year>2015</b:Year>
    <b:Month>December</b:Month>
    <b:YearAccessed>2016</b:YearAccessed>
    <b:MonthAccessed>September</b:MonthAccessed>
    <b:RefOrder>4</b:RefOrder>
  </b:Source>
  <b:Source>
    <b:Tag>Reu16</b:Tag>
    <b:SourceType>DocumentFromInternetSite</b:SourceType>
    <b:Guid>{BDD6010E-B972-354A-8F58-0E1CAD3ABAB3}</b:Guid>
    <b:Author>
      <b:Author>
        <b:Corporate>Reuters</b:Corporate>
      </b:Author>
    </b:Author>
    <b:Title>The Philippines Will Suspend More Mines Over Environmental Violations</b:Title>
    <b:Year>2016</b:Year>
    <b:URL>http://fortune.com/2016/09/05/philippines-mines-suspend/</b:URL>
    <b:Month>September</b:Month>
    <b:Day>5</b:Day>
    <b:YearAccessed>2016</b:YearAccessed>
    <b:MonthAccessed>September</b:MonthAccessed>
    <b:RefOrder>5</b:RefOrder>
  </b:Source>
  <b:Source>
    <b:Tag>EIT162</b:Tag>
    <b:SourceType>InternetSite</b:SourceType>
    <b:Guid>{4E21543C-9CAF-134D-A132-629099C36A65}</b:Guid>
    <b:Author>
      <b:Author>
        <b:Corporate>EITI</b:Corporate>
      </b:Author>
    </b:Author>
    <b:Title>Philippines country page</b:Title>
    <b:URL>https://eiti.org/implementing_country/2</b:URL>
    <b:YearAccessed>2016</b:YearAccessed>
    <b:MonthAccessed>November</b:MonthAccessed>
    <b:Year>2016</b:Year>
    <b:RefOrder>6</b:RefOrder>
  </b:Source>
</b:Sources>
</file>

<file path=customXml/itemProps1.xml><?xml version="1.0" encoding="utf-8"?>
<ds:datastoreItem xmlns:ds="http://schemas.openxmlformats.org/officeDocument/2006/customXml" ds:itemID="{86B7C6DF-6A21-4ED3-A396-E119604F8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436a3-9700-4879-921b-ca80fb4e33f1"/>
    <ds:schemaRef ds:uri="62e161b0-29ed-4b5f-9407-ee5ab8bd3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C034BE-E83A-48AF-AEF5-B209087972D2}">
  <ds:schemaRefs>
    <ds:schemaRef ds:uri="http://schemas.microsoft.com/sharepoint/v3/contenttype/forms"/>
  </ds:schemaRefs>
</ds:datastoreItem>
</file>

<file path=customXml/itemProps3.xml><?xml version="1.0" encoding="utf-8"?>
<ds:datastoreItem xmlns:ds="http://schemas.openxmlformats.org/officeDocument/2006/customXml" ds:itemID="{39F2E629-B06D-4F3D-A693-A6133ABF51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012314-76E6-4CF9-91CE-F561438DB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3609</Words>
  <Characters>20574</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EITI International Secretariat_4</dc:creator>
  <cp:keywords/>
  <dc:description/>
  <cp:lastModifiedBy>Nash, Michael (Business Frameworks)</cp:lastModifiedBy>
  <cp:revision>2</cp:revision>
  <dcterms:created xsi:type="dcterms:W3CDTF">2020-03-19T16:02:00Z</dcterms:created>
  <dcterms:modified xsi:type="dcterms:W3CDTF">2020-03-19T16:02:00Z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2020-03-19T16:02:49Z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1ab15bd1-3981-4623-99bd-000083b9490d</vt:lpwstr>
  </property>
  <property fmtid="{D5CDD505-2E9C-101B-9397-08002B2CF9AE}" pid="8" name="MSIP_Label_ba62f585-b40f-4ab9-bafe-39150f03d124_ContentBits">
    <vt:lpwstr>0</vt:lpwstr>
  </property>
  <property fmtid="{D5CDD505-2E9C-101B-9397-08002B2CF9AE}" pid="9" name="ContentTypeId">
    <vt:lpwstr>0x0101002F90C4493E99B54591FF033CB29A0A1F</vt:lpwstr>
  </property>
</Properties>
</file>