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A2A78" w14:textId="77777777" w:rsidR="00564C7C" w:rsidRPr="008C4F82" w:rsidRDefault="00564C7C" w:rsidP="00942492">
      <w:pPr>
        <w:pStyle w:val="Heading1"/>
        <w:keepNext w:val="0"/>
        <w:keepLines w:val="0"/>
        <w:pageBreakBefore/>
        <w:numPr>
          <w:ilvl w:val="0"/>
          <w:numId w:val="13"/>
        </w:numPr>
        <w:shd w:val="clear" w:color="auto" w:fill="1F4E79"/>
        <w:tabs>
          <w:tab w:val="clear" w:pos="567"/>
        </w:tabs>
        <w:spacing w:line="276" w:lineRule="auto"/>
        <w:ind w:left="567" w:hanging="567"/>
        <w:rPr>
          <w:rFonts w:cs="Arial"/>
          <w:szCs w:val="24"/>
          <w:lang w:val="en-GB"/>
        </w:rPr>
      </w:pPr>
      <w:bookmarkStart w:id="0" w:name="_Toc478377609"/>
      <w:bookmarkStart w:id="1" w:name="_Toc513063209"/>
      <w:bookmarkStart w:id="2" w:name="_Hlk536610787"/>
      <w:bookmarkStart w:id="3" w:name="_GoBack"/>
      <w:bookmarkEnd w:id="3"/>
      <w:r w:rsidRPr="008C4F82">
        <w:rPr>
          <w:rFonts w:cs="Arial"/>
          <w:szCs w:val="24"/>
          <w:lang w:val="en-GB"/>
        </w:rPr>
        <w:t>APPROACH AND METHODOLOGY</w:t>
      </w:r>
      <w:bookmarkEnd w:id="0"/>
      <w:bookmarkEnd w:id="1"/>
    </w:p>
    <w:bookmarkEnd w:id="2"/>
    <w:p w14:paraId="677BF56A" w14:textId="77777777" w:rsidR="00564C7C" w:rsidRPr="00595CB3" w:rsidRDefault="00564C7C" w:rsidP="00575A3C">
      <w:pPr>
        <w:pStyle w:val="Default"/>
        <w:keepNext/>
        <w:rPr>
          <w:rFonts w:ascii="Arial" w:hAnsi="Arial" w:cs="Arial"/>
          <w:b/>
          <w:bCs/>
          <w:sz w:val="22"/>
          <w:szCs w:val="22"/>
          <w:highlight w:val="yellow"/>
        </w:rPr>
      </w:pPr>
    </w:p>
    <w:p w14:paraId="1982C9B6" w14:textId="77777777" w:rsidR="00564C7C" w:rsidRPr="008C4F82" w:rsidRDefault="00564C7C" w:rsidP="00942492">
      <w:pPr>
        <w:pStyle w:val="Heading2"/>
        <w:keepLines w:val="0"/>
        <w:numPr>
          <w:ilvl w:val="1"/>
          <w:numId w:val="37"/>
        </w:numPr>
        <w:shd w:val="clear" w:color="auto" w:fill="BFBFBF"/>
        <w:tabs>
          <w:tab w:val="clear" w:pos="567"/>
        </w:tabs>
        <w:spacing w:after="180" w:line="276" w:lineRule="auto"/>
        <w:ind w:left="567" w:hanging="567"/>
        <w:rPr>
          <w:rFonts w:cs="Arial"/>
          <w:szCs w:val="24"/>
        </w:rPr>
      </w:pPr>
      <w:bookmarkStart w:id="4" w:name="_Toc478377610"/>
      <w:bookmarkStart w:id="5" w:name="_Toc513063210"/>
      <w:r w:rsidRPr="008C4F82">
        <w:rPr>
          <w:rFonts w:cs="Arial"/>
          <w:szCs w:val="24"/>
        </w:rPr>
        <w:t>Payment S</w:t>
      </w:r>
      <w:r w:rsidRPr="008C4F82">
        <w:rPr>
          <w:rFonts w:cs="Arial"/>
          <w:color w:val="auto"/>
          <w:szCs w:val="24"/>
        </w:rPr>
        <w:t>treams</w:t>
      </w:r>
      <w:bookmarkEnd w:id="4"/>
      <w:bookmarkEnd w:id="5"/>
    </w:p>
    <w:p w14:paraId="08AE0662" w14:textId="4D90DCB8" w:rsidR="00474094" w:rsidRPr="00474094" w:rsidRDefault="0018722F" w:rsidP="00942492">
      <w:pPr>
        <w:pStyle w:val="Default"/>
        <w:keepNext/>
        <w:spacing w:after="180" w:line="276" w:lineRule="auto"/>
        <w:rPr>
          <w:rFonts w:ascii="Arial" w:hAnsi="Arial" w:cs="Arial"/>
          <w:bCs/>
        </w:rPr>
      </w:pPr>
      <w:r w:rsidRPr="00474094">
        <w:rPr>
          <w:rFonts w:ascii="Arial" w:hAnsi="Arial" w:cs="Arial"/>
          <w:bCs/>
        </w:rPr>
        <w:t>The approach and methodol</w:t>
      </w:r>
      <w:r w:rsidR="001F1CB5" w:rsidRPr="00474094">
        <w:rPr>
          <w:rFonts w:ascii="Arial" w:hAnsi="Arial" w:cs="Arial"/>
          <w:bCs/>
        </w:rPr>
        <w:t>o</w:t>
      </w:r>
      <w:r w:rsidRPr="00474094">
        <w:rPr>
          <w:rFonts w:ascii="Arial" w:hAnsi="Arial" w:cs="Arial"/>
          <w:bCs/>
        </w:rPr>
        <w:t>gy</w:t>
      </w:r>
      <w:r w:rsidR="001F1CB5" w:rsidRPr="00474094">
        <w:rPr>
          <w:rFonts w:ascii="Arial" w:hAnsi="Arial" w:cs="Arial"/>
          <w:bCs/>
        </w:rPr>
        <w:t xml:space="preserve"> </w:t>
      </w:r>
      <w:r w:rsidR="004C3ECE">
        <w:rPr>
          <w:rFonts w:ascii="Arial" w:hAnsi="Arial" w:cs="Arial"/>
          <w:bCs/>
        </w:rPr>
        <w:t xml:space="preserve">have </w:t>
      </w:r>
      <w:r w:rsidR="001F1CB5" w:rsidRPr="00474094">
        <w:rPr>
          <w:rFonts w:ascii="Arial" w:hAnsi="Arial" w:cs="Arial"/>
          <w:bCs/>
        </w:rPr>
        <w:t xml:space="preserve">evolved over time and </w:t>
      </w:r>
      <w:r w:rsidR="004C3ECE">
        <w:rPr>
          <w:rFonts w:ascii="Arial" w:hAnsi="Arial" w:cs="Arial"/>
          <w:bCs/>
        </w:rPr>
        <w:t xml:space="preserve">are </w:t>
      </w:r>
      <w:r w:rsidR="001F1CB5" w:rsidRPr="00474094">
        <w:rPr>
          <w:rFonts w:ascii="Arial" w:hAnsi="Arial" w:cs="Arial"/>
          <w:bCs/>
        </w:rPr>
        <w:t>kept under review</w:t>
      </w:r>
      <w:r w:rsidR="002620AF" w:rsidRPr="00474094">
        <w:rPr>
          <w:rFonts w:ascii="Arial" w:hAnsi="Arial" w:cs="Arial"/>
          <w:bCs/>
        </w:rPr>
        <w:t xml:space="preserve"> by the MSG. The MSG decided that the following</w:t>
      </w:r>
      <w:r w:rsidR="00E77D29" w:rsidRPr="00474094">
        <w:rPr>
          <w:rFonts w:ascii="Arial" w:hAnsi="Arial" w:cs="Arial"/>
          <w:bCs/>
        </w:rPr>
        <w:t xml:space="preserve"> </w:t>
      </w:r>
      <w:r w:rsidR="002F1D9F">
        <w:rPr>
          <w:rFonts w:ascii="Arial" w:hAnsi="Arial" w:cs="Arial"/>
          <w:bCs/>
        </w:rPr>
        <w:t>payment</w:t>
      </w:r>
      <w:r w:rsidR="00E77D29" w:rsidRPr="00474094">
        <w:rPr>
          <w:rFonts w:ascii="Arial" w:hAnsi="Arial" w:cs="Arial"/>
          <w:bCs/>
        </w:rPr>
        <w:t xml:space="preserve"> streams should be in</w:t>
      </w:r>
      <w:r w:rsidR="00F10811">
        <w:rPr>
          <w:rFonts w:ascii="Arial" w:hAnsi="Arial" w:cs="Arial"/>
          <w:bCs/>
        </w:rPr>
        <w:t xml:space="preserve"> </w:t>
      </w:r>
      <w:r w:rsidR="00E77D29" w:rsidRPr="00474094">
        <w:rPr>
          <w:rFonts w:ascii="Arial" w:hAnsi="Arial" w:cs="Arial"/>
          <w:bCs/>
        </w:rPr>
        <w:t>scope for the 2017</w:t>
      </w:r>
      <w:r w:rsidR="00474094">
        <w:rPr>
          <w:rFonts w:ascii="Arial" w:hAnsi="Arial" w:cs="Arial"/>
          <w:bCs/>
        </w:rPr>
        <w:t xml:space="preserve"> </w:t>
      </w:r>
      <w:r w:rsidR="00E77D29" w:rsidRPr="00474094">
        <w:rPr>
          <w:rFonts w:ascii="Arial" w:hAnsi="Arial" w:cs="Arial"/>
          <w:bCs/>
        </w:rPr>
        <w:t>process.</w:t>
      </w:r>
    </w:p>
    <w:p w14:paraId="73DC9BD4" w14:textId="2E5EDF6C" w:rsidR="00564C7C" w:rsidRPr="008C4F82" w:rsidRDefault="00564C7C" w:rsidP="009C0014">
      <w:pPr>
        <w:pStyle w:val="Heading3"/>
        <w:keepNext/>
        <w:numPr>
          <w:ilvl w:val="2"/>
          <w:numId w:val="18"/>
        </w:numPr>
        <w:spacing w:line="276" w:lineRule="auto"/>
        <w:ind w:left="1225" w:hanging="505"/>
        <w:jc w:val="left"/>
        <w:rPr>
          <w:sz w:val="24"/>
          <w:szCs w:val="24"/>
        </w:rPr>
      </w:pPr>
      <w:r w:rsidRPr="008C4F82">
        <w:rPr>
          <w:sz w:val="24"/>
          <w:szCs w:val="24"/>
        </w:rPr>
        <w:t>Oil and gas sector</w:t>
      </w:r>
    </w:p>
    <w:p w14:paraId="7153194F" w14:textId="77777777" w:rsidR="00564C7C" w:rsidRPr="008C4F82" w:rsidRDefault="00564C7C" w:rsidP="00564C7C">
      <w:pPr>
        <w:pStyle w:val="Default"/>
        <w:keepNext/>
        <w:spacing w:after="120" w:line="276" w:lineRule="auto"/>
        <w:rPr>
          <w:rFonts w:ascii="Arial" w:hAnsi="Arial" w:cs="Arial"/>
          <w:bCs/>
        </w:rPr>
      </w:pPr>
      <w:r w:rsidRPr="008C4F82">
        <w:rPr>
          <w:rFonts w:ascii="Arial" w:hAnsi="Arial" w:cs="Arial"/>
          <w:bCs/>
        </w:rPr>
        <w:t>The following revenue streams specific to UK oil and gas production are within scope for UK EITI:</w:t>
      </w:r>
    </w:p>
    <w:p w14:paraId="1BFEF14D" w14:textId="5EE3E5E0" w:rsidR="004D6F8B" w:rsidRPr="008C4F82" w:rsidRDefault="004D6F8B" w:rsidP="004D6F8B">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A combined total for Ring Fence Corporation Tax (RFCT) and the Supplementary Charge (SC);</w:t>
      </w:r>
    </w:p>
    <w:p w14:paraId="1E7BC55B" w14:textId="77777777" w:rsidR="004D6F8B" w:rsidRPr="008C4F82" w:rsidRDefault="004D6F8B" w:rsidP="004D6F8B">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Petroleum Revenue Tax (PRT), including any Advance Petroleum Revenue Tax (APRT) repayments received (by field);</w:t>
      </w:r>
    </w:p>
    <w:p w14:paraId="0D4EF83F" w14:textId="77777777" w:rsidR="004D6F8B" w:rsidRPr="008C4F82" w:rsidRDefault="004D6F8B" w:rsidP="004D6F8B">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Petroleum Licence Fees (by licence);</w:t>
      </w:r>
    </w:p>
    <w:p w14:paraId="2996479A" w14:textId="77777777" w:rsidR="004D6F8B" w:rsidRPr="008C4F82" w:rsidRDefault="004D6F8B" w:rsidP="004D6F8B">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the OGA Levy; and</w:t>
      </w:r>
    </w:p>
    <w:p w14:paraId="0545BA10" w14:textId="314EF075" w:rsidR="004D6F8B" w:rsidRPr="008C4F82" w:rsidRDefault="004D6F8B" w:rsidP="00BD5B28">
      <w:pPr>
        <w:pStyle w:val="Default"/>
        <w:numPr>
          <w:ilvl w:val="0"/>
          <w:numId w:val="22"/>
        </w:numPr>
        <w:spacing w:after="180" w:line="276" w:lineRule="auto"/>
        <w:ind w:left="714" w:hanging="357"/>
        <w:rPr>
          <w:rFonts w:ascii="Arial" w:hAnsi="Arial" w:cs="Arial"/>
          <w:color w:val="auto"/>
        </w:rPr>
      </w:pPr>
      <w:r w:rsidRPr="008C4F82">
        <w:rPr>
          <w:rFonts w:ascii="Arial" w:hAnsi="Arial" w:cs="Arial"/>
          <w:color w:val="auto"/>
        </w:rPr>
        <w:t xml:space="preserve">Payments to The Crown Estate </w:t>
      </w:r>
      <w:r w:rsidR="007A1D8D">
        <w:rPr>
          <w:rFonts w:ascii="Arial" w:hAnsi="Arial" w:cs="Arial"/>
          <w:color w:val="auto"/>
        </w:rPr>
        <w:t xml:space="preserve">and Crown </w:t>
      </w:r>
      <w:r w:rsidR="00F10811">
        <w:rPr>
          <w:rFonts w:ascii="Arial" w:hAnsi="Arial" w:cs="Arial"/>
          <w:color w:val="auto"/>
        </w:rPr>
        <w:t>E</w:t>
      </w:r>
      <w:r w:rsidR="007A1D8D">
        <w:rPr>
          <w:rFonts w:ascii="Arial" w:hAnsi="Arial" w:cs="Arial"/>
          <w:color w:val="auto"/>
        </w:rPr>
        <w:t>state Scotland</w:t>
      </w:r>
      <w:r w:rsidR="00F06296">
        <w:rPr>
          <w:rFonts w:ascii="Arial" w:hAnsi="Arial" w:cs="Arial"/>
          <w:color w:val="auto"/>
        </w:rPr>
        <w:t xml:space="preserve"> </w:t>
      </w:r>
      <w:r w:rsidR="00F06296" w:rsidRPr="00F06296">
        <w:rPr>
          <w:rFonts w:ascii="Arial" w:hAnsi="Arial" w:cs="Arial"/>
          <w:color w:val="auto"/>
          <w:highlight w:val="yellow"/>
        </w:rPr>
        <w:t>(Interim</w:t>
      </w:r>
      <w:r w:rsidR="00F06296">
        <w:rPr>
          <w:rFonts w:ascii="Arial" w:hAnsi="Arial" w:cs="Arial"/>
          <w:color w:val="auto"/>
        </w:rPr>
        <w:t xml:space="preserve"> </w:t>
      </w:r>
      <w:r w:rsidR="00F06296" w:rsidRPr="00F06296">
        <w:rPr>
          <w:rFonts w:ascii="Arial" w:hAnsi="Arial" w:cs="Arial"/>
          <w:color w:val="auto"/>
          <w:highlight w:val="yellow"/>
        </w:rPr>
        <w:t>Management)</w:t>
      </w:r>
      <w:r w:rsidR="007A1D8D">
        <w:rPr>
          <w:rFonts w:ascii="Arial" w:hAnsi="Arial" w:cs="Arial"/>
          <w:color w:val="auto"/>
        </w:rPr>
        <w:t xml:space="preserve"> </w:t>
      </w:r>
      <w:r w:rsidRPr="008C4F82">
        <w:rPr>
          <w:rFonts w:ascii="Arial" w:hAnsi="Arial" w:cs="Arial"/>
          <w:color w:val="auto"/>
        </w:rPr>
        <w:t>in respect of pipelines operated by companies that are engaged in UK extractive activities.</w:t>
      </w:r>
    </w:p>
    <w:p w14:paraId="0D1FB69C" w14:textId="75CDEA2A" w:rsidR="00D96C6E" w:rsidRPr="008C4F82" w:rsidRDefault="00D96C6E" w:rsidP="00564C7C">
      <w:pPr>
        <w:pStyle w:val="Default"/>
        <w:spacing w:after="180" w:line="276" w:lineRule="auto"/>
        <w:rPr>
          <w:rFonts w:ascii="Arial" w:hAnsi="Arial" w:cs="Arial"/>
        </w:rPr>
      </w:pPr>
      <w:r>
        <w:rPr>
          <w:rFonts w:ascii="Arial" w:hAnsi="Arial" w:cs="Arial"/>
        </w:rPr>
        <w:t xml:space="preserve">There are a number of specific issues to note in relation </w:t>
      </w:r>
      <w:r w:rsidR="003C6FC4">
        <w:rPr>
          <w:rFonts w:ascii="Arial" w:hAnsi="Arial" w:cs="Arial"/>
        </w:rPr>
        <w:t xml:space="preserve">to </w:t>
      </w:r>
      <w:r w:rsidR="00665E36">
        <w:rPr>
          <w:rFonts w:ascii="Arial" w:hAnsi="Arial" w:cs="Arial"/>
        </w:rPr>
        <w:t xml:space="preserve">some of </w:t>
      </w:r>
      <w:r w:rsidR="003C6FC4">
        <w:rPr>
          <w:rFonts w:ascii="Arial" w:hAnsi="Arial" w:cs="Arial"/>
        </w:rPr>
        <w:t>these payment streams.</w:t>
      </w:r>
    </w:p>
    <w:p w14:paraId="10A30FD6" w14:textId="06529B7E" w:rsidR="00564C7C" w:rsidRPr="008C4F82" w:rsidRDefault="00564C7C" w:rsidP="00564C7C">
      <w:pPr>
        <w:pStyle w:val="Default"/>
        <w:spacing w:after="180" w:line="276" w:lineRule="auto"/>
        <w:rPr>
          <w:rFonts w:ascii="Arial" w:hAnsi="Arial" w:cs="Arial"/>
        </w:rPr>
      </w:pPr>
      <w:r w:rsidRPr="008C4F82">
        <w:rPr>
          <w:rFonts w:ascii="Arial" w:hAnsi="Arial" w:cs="Arial"/>
        </w:rPr>
        <w:t>Larger oil and gas companies pay mainstream CT, RFCT and SC in instalments “in-year” (based on estimates). A number of these instalments will consist of a single payment covering all three taxes, which are allocated only at a later date, too late to be included within the reconciliation</w:t>
      </w:r>
      <w:r w:rsidR="00665E36">
        <w:rPr>
          <w:rFonts w:ascii="Arial" w:hAnsi="Arial" w:cs="Arial"/>
        </w:rPr>
        <w:t xml:space="preserve"> which is on a cash basis</w:t>
      </w:r>
      <w:r w:rsidRPr="008C4F82">
        <w:rPr>
          <w:rFonts w:ascii="Arial" w:hAnsi="Arial" w:cs="Arial"/>
        </w:rPr>
        <w:t xml:space="preserve">. All three taxes are taxes on profits so </w:t>
      </w:r>
      <w:r w:rsidR="00665E36">
        <w:rPr>
          <w:rFonts w:ascii="Arial" w:hAnsi="Arial" w:cs="Arial"/>
        </w:rPr>
        <w:t xml:space="preserve">could </w:t>
      </w:r>
      <w:r w:rsidRPr="008C4F82">
        <w:rPr>
          <w:rFonts w:ascii="Arial" w:hAnsi="Arial" w:cs="Arial"/>
        </w:rPr>
        <w:t>be treated as a single revenue stream for EITI purposes but mainstream corporation tax paid by oil and gas producers is not related to their UK extractive activities and is therefore out of scope of the UK EITI so should not be reported.</w:t>
      </w:r>
    </w:p>
    <w:p w14:paraId="5AA332F9" w14:textId="5796C3AC" w:rsidR="004850B8" w:rsidRPr="008C4F82" w:rsidRDefault="00571149" w:rsidP="00564C7C">
      <w:pPr>
        <w:pStyle w:val="Default"/>
        <w:spacing w:after="180" w:line="276" w:lineRule="auto"/>
        <w:rPr>
          <w:rFonts w:ascii="Arial" w:hAnsi="Arial" w:cs="Arial"/>
        </w:rPr>
      </w:pPr>
      <w:r>
        <w:rPr>
          <w:rFonts w:ascii="Arial" w:hAnsi="Arial" w:cs="Arial"/>
        </w:rPr>
        <w:t>When making their payments to HMRC, c</w:t>
      </w:r>
      <w:r w:rsidR="00564C7C" w:rsidRPr="008C4F82">
        <w:rPr>
          <w:rFonts w:ascii="Arial" w:hAnsi="Arial" w:cs="Arial"/>
        </w:rPr>
        <w:t xml:space="preserve">ompanies </w:t>
      </w:r>
      <w:r w:rsidR="00436D3A">
        <w:rPr>
          <w:rFonts w:ascii="Arial" w:hAnsi="Arial" w:cs="Arial"/>
        </w:rPr>
        <w:t>may</w:t>
      </w:r>
      <w:r w:rsidR="00564C7C" w:rsidRPr="008C4F82">
        <w:rPr>
          <w:rFonts w:ascii="Arial" w:hAnsi="Arial" w:cs="Arial"/>
        </w:rPr>
        <w:t xml:space="preserve"> </w:t>
      </w:r>
      <w:r w:rsidR="005F6019">
        <w:rPr>
          <w:rFonts w:ascii="Arial" w:hAnsi="Arial" w:cs="Arial"/>
        </w:rPr>
        <w:t xml:space="preserve">elect </w:t>
      </w:r>
      <w:r w:rsidR="00564C7C" w:rsidRPr="008C4F82">
        <w:rPr>
          <w:rFonts w:ascii="Arial" w:hAnsi="Arial" w:cs="Arial"/>
        </w:rPr>
        <w:t>to confirm the split between in-scope and out-of-scope payments</w:t>
      </w:r>
      <w:r w:rsidR="00DF6862" w:rsidRPr="008C4F82">
        <w:rPr>
          <w:rFonts w:ascii="Arial" w:hAnsi="Arial" w:cs="Arial"/>
        </w:rPr>
        <w:t xml:space="preserve"> (respectively RFCT and SC </w:t>
      </w:r>
      <w:r>
        <w:rPr>
          <w:rFonts w:ascii="Arial" w:hAnsi="Arial" w:cs="Arial"/>
        </w:rPr>
        <w:t xml:space="preserve">on the one hand </w:t>
      </w:r>
      <w:r w:rsidR="00DF6862" w:rsidRPr="008C4F82">
        <w:rPr>
          <w:rFonts w:ascii="Arial" w:hAnsi="Arial" w:cs="Arial"/>
        </w:rPr>
        <w:t>and mainstream</w:t>
      </w:r>
      <w:r>
        <w:rPr>
          <w:rFonts w:ascii="Arial" w:hAnsi="Arial" w:cs="Arial"/>
        </w:rPr>
        <w:t xml:space="preserve"> CT on the other</w:t>
      </w:r>
      <w:r w:rsidR="00DF6862" w:rsidRPr="008C4F82">
        <w:rPr>
          <w:rFonts w:ascii="Arial" w:hAnsi="Arial" w:cs="Arial"/>
        </w:rPr>
        <w:t>)</w:t>
      </w:r>
      <w:r w:rsidR="00564C7C" w:rsidRPr="008C4F82">
        <w:rPr>
          <w:rFonts w:ascii="Arial" w:hAnsi="Arial" w:cs="Arial"/>
        </w:rPr>
        <w:t>.</w:t>
      </w:r>
    </w:p>
    <w:p w14:paraId="41E75712" w14:textId="2D252670" w:rsidR="004850B8" w:rsidRPr="008C4F82" w:rsidRDefault="003A70BD" w:rsidP="00564C7C">
      <w:pPr>
        <w:pStyle w:val="Default"/>
        <w:spacing w:after="180" w:line="276" w:lineRule="auto"/>
        <w:rPr>
          <w:rFonts w:ascii="Arial" w:hAnsi="Arial" w:cs="Arial"/>
          <w:highlight w:val="yellow"/>
        </w:rPr>
      </w:pPr>
      <w:r>
        <w:rPr>
          <w:rFonts w:ascii="Arial" w:hAnsi="Arial" w:cs="Arial"/>
        </w:rPr>
        <w:t>I</w:t>
      </w:r>
      <w:r w:rsidR="004850B8" w:rsidRPr="008C4F82">
        <w:rPr>
          <w:rFonts w:ascii="Arial" w:hAnsi="Arial" w:cs="Arial"/>
        </w:rPr>
        <w:t xml:space="preserve">f </w:t>
      </w:r>
      <w:r>
        <w:rPr>
          <w:rFonts w:ascii="Arial" w:hAnsi="Arial" w:cs="Arial"/>
        </w:rPr>
        <w:t xml:space="preserve">a </w:t>
      </w:r>
      <w:r w:rsidR="004850B8" w:rsidRPr="008C4F82">
        <w:rPr>
          <w:rFonts w:ascii="Arial" w:hAnsi="Arial" w:cs="Arial"/>
        </w:rPr>
        <w:t xml:space="preserve">company/group has not tagged its RFCT/SC payments as distinct from its mainstream CT payments under the </w:t>
      </w:r>
      <w:r w:rsidR="00A92BE3" w:rsidRPr="008C4F82">
        <w:rPr>
          <w:rFonts w:ascii="Arial" w:hAnsi="Arial" w:cs="Arial"/>
        </w:rPr>
        <w:t xml:space="preserve">group payment arrangement </w:t>
      </w:r>
      <w:r w:rsidR="002362FD" w:rsidRPr="008C4F82">
        <w:rPr>
          <w:rFonts w:ascii="Arial" w:hAnsi="Arial" w:cs="Arial"/>
        </w:rPr>
        <w:t xml:space="preserve">(GPA) </w:t>
      </w:r>
      <w:r w:rsidR="004850B8" w:rsidRPr="008C4F82">
        <w:rPr>
          <w:rFonts w:ascii="Arial" w:hAnsi="Arial" w:cs="Arial"/>
        </w:rPr>
        <w:t xml:space="preserve">then they </w:t>
      </w:r>
      <w:r w:rsidR="0013676D" w:rsidRPr="008C4F82">
        <w:rPr>
          <w:rFonts w:ascii="Arial" w:hAnsi="Arial" w:cs="Arial"/>
        </w:rPr>
        <w:t>report</w:t>
      </w:r>
      <w:r w:rsidR="004850B8" w:rsidRPr="008C4F82">
        <w:rPr>
          <w:rFonts w:ascii="Arial" w:hAnsi="Arial" w:cs="Arial"/>
        </w:rPr>
        <w:t xml:space="preserve"> the total payment</w:t>
      </w:r>
      <w:r>
        <w:rPr>
          <w:rFonts w:ascii="Arial" w:hAnsi="Arial" w:cs="Arial"/>
        </w:rPr>
        <w:t>s</w:t>
      </w:r>
      <w:r w:rsidR="004850B8" w:rsidRPr="008C4F82">
        <w:rPr>
          <w:rFonts w:ascii="Arial" w:hAnsi="Arial" w:cs="Arial"/>
        </w:rPr>
        <w:t xml:space="preserve"> made in the period. If tagging has been </w:t>
      </w:r>
      <w:r w:rsidR="0013676D" w:rsidRPr="008C4F82">
        <w:rPr>
          <w:rFonts w:ascii="Arial" w:hAnsi="Arial" w:cs="Arial"/>
        </w:rPr>
        <w:t>used,</w:t>
      </w:r>
      <w:r w:rsidR="004850B8" w:rsidRPr="008C4F82">
        <w:rPr>
          <w:rFonts w:ascii="Arial" w:hAnsi="Arial" w:cs="Arial"/>
        </w:rPr>
        <w:t xml:space="preserve"> </w:t>
      </w:r>
      <w:r w:rsidR="0013676D" w:rsidRPr="008C4F82">
        <w:rPr>
          <w:rFonts w:ascii="Arial" w:hAnsi="Arial" w:cs="Arial"/>
        </w:rPr>
        <w:t>they report</w:t>
      </w:r>
      <w:r w:rsidR="004850B8" w:rsidRPr="008C4F82">
        <w:rPr>
          <w:rFonts w:ascii="Arial" w:hAnsi="Arial" w:cs="Arial"/>
        </w:rPr>
        <w:t xml:space="preserve"> only the total tagged RFCT/SC payment</w:t>
      </w:r>
      <w:r>
        <w:rPr>
          <w:rFonts w:ascii="Arial" w:hAnsi="Arial" w:cs="Arial"/>
        </w:rPr>
        <w:t>s</w:t>
      </w:r>
      <w:r w:rsidR="004850B8" w:rsidRPr="008C4F82">
        <w:rPr>
          <w:rFonts w:ascii="Arial" w:hAnsi="Arial" w:cs="Arial"/>
        </w:rPr>
        <w:t>.</w:t>
      </w:r>
    </w:p>
    <w:p w14:paraId="6304147F" w14:textId="452FE005" w:rsidR="00564C7C" w:rsidRPr="008C4F82" w:rsidRDefault="00564C7C" w:rsidP="00564C7C">
      <w:pPr>
        <w:pStyle w:val="Default"/>
        <w:spacing w:after="180" w:line="276" w:lineRule="auto"/>
        <w:rPr>
          <w:rFonts w:ascii="Arial" w:hAnsi="Arial" w:cs="Arial"/>
        </w:rPr>
      </w:pPr>
      <w:r w:rsidRPr="008C4F82">
        <w:rPr>
          <w:rFonts w:ascii="Arial" w:hAnsi="Arial" w:cs="Arial"/>
        </w:rPr>
        <w:t>The MSG decided that PRT should be reported at the project level (i.e.</w:t>
      </w:r>
      <w:r w:rsidR="00034091">
        <w:rPr>
          <w:rFonts w:ascii="Arial" w:hAnsi="Arial" w:cs="Arial"/>
        </w:rPr>
        <w:t xml:space="preserve"> </w:t>
      </w:r>
      <w:r w:rsidRPr="008C4F82">
        <w:rPr>
          <w:rFonts w:ascii="Arial" w:hAnsi="Arial" w:cs="Arial"/>
        </w:rPr>
        <w:t>by field). However, in practice</w:t>
      </w:r>
      <w:r w:rsidR="00034091">
        <w:rPr>
          <w:rFonts w:ascii="Arial" w:hAnsi="Arial" w:cs="Arial"/>
        </w:rPr>
        <w:t>,</w:t>
      </w:r>
      <w:r w:rsidRPr="008C4F82">
        <w:rPr>
          <w:rFonts w:ascii="Arial" w:hAnsi="Arial" w:cs="Arial"/>
        </w:rPr>
        <w:t xml:space="preserve"> many companies pay the liability for a number of fields in one payment, covering numerous projects. To accommodate the MSG’s decision, HMRC </w:t>
      </w:r>
      <w:r w:rsidRPr="008C4F82">
        <w:rPr>
          <w:rFonts w:ascii="Arial" w:hAnsi="Arial" w:cs="Arial"/>
        </w:rPr>
        <w:lastRenderedPageBreak/>
        <w:t>agreed to provide a breakdown of the cash payments received by company and by field and to provide these data to the IA.</w:t>
      </w:r>
    </w:p>
    <w:p w14:paraId="2E932680" w14:textId="77777777" w:rsidR="00564C7C" w:rsidRPr="008C4F82" w:rsidRDefault="00564C7C" w:rsidP="00BC7065">
      <w:pPr>
        <w:pStyle w:val="Heading3"/>
        <w:keepNext/>
        <w:numPr>
          <w:ilvl w:val="2"/>
          <w:numId w:val="18"/>
        </w:numPr>
        <w:spacing w:line="276" w:lineRule="auto"/>
        <w:ind w:left="1225" w:hanging="505"/>
        <w:jc w:val="left"/>
        <w:rPr>
          <w:sz w:val="24"/>
          <w:szCs w:val="24"/>
        </w:rPr>
      </w:pPr>
      <w:bookmarkStart w:id="6" w:name="_Hlk512337949"/>
      <w:r w:rsidRPr="00942492">
        <w:rPr>
          <w:sz w:val="24"/>
          <w:szCs w:val="24"/>
        </w:rPr>
        <w:t xml:space="preserve"> </w:t>
      </w:r>
      <w:r w:rsidRPr="008C4F82">
        <w:rPr>
          <w:sz w:val="24"/>
          <w:szCs w:val="24"/>
        </w:rPr>
        <w:t>Mining and quarrying sector</w:t>
      </w:r>
    </w:p>
    <w:bookmarkEnd w:id="6"/>
    <w:p w14:paraId="5E38D896" w14:textId="77777777" w:rsidR="00564C7C" w:rsidRPr="008C4F82" w:rsidRDefault="00564C7C" w:rsidP="00564C7C">
      <w:pPr>
        <w:pStyle w:val="Default"/>
        <w:keepNext/>
        <w:spacing w:after="120" w:line="276" w:lineRule="auto"/>
        <w:rPr>
          <w:rFonts w:ascii="Arial" w:hAnsi="Arial" w:cs="Arial"/>
          <w:bCs/>
        </w:rPr>
      </w:pPr>
      <w:r w:rsidRPr="008C4F82">
        <w:rPr>
          <w:rFonts w:ascii="Arial" w:hAnsi="Arial" w:cs="Arial"/>
          <w:bCs/>
        </w:rPr>
        <w:t>The following revenue streams for the Mining and Quarrying sector are included within the scope for UK EITI:</w:t>
      </w:r>
    </w:p>
    <w:p w14:paraId="45D9D566" w14:textId="77777777" w:rsidR="00564C7C" w:rsidRPr="008C4F82" w:rsidRDefault="00564C7C" w:rsidP="00564C7C">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Corporation Tax;</w:t>
      </w:r>
    </w:p>
    <w:p w14:paraId="50DC7AE7" w14:textId="77777777" w:rsidR="00564C7C" w:rsidRPr="008C4F82" w:rsidRDefault="00564C7C" w:rsidP="00564C7C">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Payments to the Coal Authority;</w:t>
      </w:r>
    </w:p>
    <w:p w14:paraId="3563C962" w14:textId="2E151972" w:rsidR="00564C7C" w:rsidRPr="008C4F82" w:rsidRDefault="00564C7C" w:rsidP="00564C7C">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Payments to The Crown Estate</w:t>
      </w:r>
      <w:r w:rsidR="00034091" w:rsidRPr="00034091">
        <w:rPr>
          <w:rFonts w:ascii="Arial" w:hAnsi="Arial" w:cs="Arial"/>
          <w:color w:val="auto"/>
        </w:rPr>
        <w:t xml:space="preserve"> </w:t>
      </w:r>
      <w:r w:rsidR="00034091">
        <w:rPr>
          <w:rFonts w:ascii="Arial" w:hAnsi="Arial" w:cs="Arial"/>
          <w:color w:val="auto"/>
        </w:rPr>
        <w:t>and Crown Estate Scotland</w:t>
      </w:r>
      <w:r w:rsidR="00F06296">
        <w:rPr>
          <w:rFonts w:ascii="Arial" w:hAnsi="Arial" w:cs="Arial"/>
          <w:color w:val="auto"/>
        </w:rPr>
        <w:t xml:space="preserve"> </w:t>
      </w:r>
      <w:r w:rsidR="00F06296" w:rsidRPr="00F06296">
        <w:rPr>
          <w:rFonts w:ascii="Arial" w:hAnsi="Arial" w:cs="Arial"/>
          <w:color w:val="auto"/>
          <w:highlight w:val="yellow"/>
        </w:rPr>
        <w:t>(Interim</w:t>
      </w:r>
      <w:r w:rsidR="00F06296">
        <w:rPr>
          <w:rFonts w:ascii="Arial" w:hAnsi="Arial" w:cs="Arial"/>
          <w:color w:val="auto"/>
        </w:rPr>
        <w:t xml:space="preserve"> </w:t>
      </w:r>
      <w:r w:rsidR="00F06296" w:rsidRPr="00F06296">
        <w:rPr>
          <w:rFonts w:ascii="Arial" w:hAnsi="Arial" w:cs="Arial"/>
          <w:color w:val="auto"/>
          <w:highlight w:val="yellow"/>
        </w:rPr>
        <w:t>Management)</w:t>
      </w:r>
      <w:r w:rsidRPr="008C4F82">
        <w:rPr>
          <w:rFonts w:ascii="Arial" w:hAnsi="Arial" w:cs="Arial"/>
          <w:color w:val="auto"/>
        </w:rPr>
        <w:t>; and</w:t>
      </w:r>
    </w:p>
    <w:p w14:paraId="503189CB" w14:textId="77777777" w:rsidR="00564C7C" w:rsidRPr="008C4F82" w:rsidRDefault="00564C7C" w:rsidP="00564C7C">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Monetary payments to Local Planning Authorities as part of planning obligations.</w:t>
      </w:r>
    </w:p>
    <w:p w14:paraId="17801EBE" w14:textId="088819F8" w:rsidR="00564C7C" w:rsidRPr="008C4F82" w:rsidRDefault="00564C7C" w:rsidP="00564C7C">
      <w:pPr>
        <w:pStyle w:val="Default"/>
        <w:spacing w:before="180" w:after="180" w:line="276" w:lineRule="auto"/>
        <w:rPr>
          <w:rFonts w:ascii="Arial" w:hAnsi="Arial" w:cs="Arial"/>
          <w:highlight w:val="yellow"/>
        </w:rPr>
      </w:pPr>
      <w:r w:rsidRPr="008C4F82">
        <w:rPr>
          <w:rFonts w:ascii="Arial" w:hAnsi="Arial" w:cs="Arial"/>
        </w:rPr>
        <w:t>As there is no central record of planning obligation payments, the MSG agreed these payments should be reported unilaterally by companies.</w:t>
      </w:r>
      <w:r w:rsidR="00E070DF">
        <w:rPr>
          <w:rFonts w:ascii="Arial" w:hAnsi="Arial" w:cs="Arial"/>
        </w:rPr>
        <w:t xml:space="preserve"> </w:t>
      </w:r>
    </w:p>
    <w:p w14:paraId="0514DF3D" w14:textId="77777777" w:rsidR="00416178" w:rsidRPr="008C4F82" w:rsidRDefault="00416178" w:rsidP="00942492">
      <w:pPr>
        <w:pStyle w:val="Heading3"/>
        <w:keepNext/>
        <w:numPr>
          <w:ilvl w:val="2"/>
          <w:numId w:val="18"/>
        </w:numPr>
        <w:spacing w:line="276" w:lineRule="auto"/>
        <w:ind w:left="1225" w:hanging="505"/>
        <w:jc w:val="left"/>
        <w:rPr>
          <w:sz w:val="24"/>
          <w:szCs w:val="24"/>
        </w:rPr>
      </w:pPr>
      <w:r w:rsidRPr="008C4F82">
        <w:rPr>
          <w:sz w:val="24"/>
          <w:szCs w:val="24"/>
        </w:rPr>
        <w:t>Miscellaneous</w:t>
      </w:r>
    </w:p>
    <w:p w14:paraId="0CC4E714" w14:textId="77777777" w:rsidR="00416178" w:rsidRPr="008C4F82" w:rsidRDefault="00416178" w:rsidP="00BB7731">
      <w:pPr>
        <w:pStyle w:val="Default"/>
        <w:keepNext/>
        <w:spacing w:after="120" w:line="276" w:lineRule="auto"/>
        <w:rPr>
          <w:rFonts w:ascii="Arial" w:hAnsi="Arial" w:cs="Arial"/>
          <w:bCs/>
        </w:rPr>
      </w:pPr>
      <w:r w:rsidRPr="008C4F82">
        <w:rPr>
          <w:rFonts w:ascii="Arial" w:hAnsi="Arial" w:cs="Arial"/>
          <w:bCs/>
        </w:rPr>
        <w:t>For the avoidance of doubt, it is confirmed that the following categories of payment are not present in the context of the UK extractives sector:</w:t>
      </w:r>
    </w:p>
    <w:p w14:paraId="78E19B6A" w14:textId="77777777" w:rsidR="00416178" w:rsidRPr="008C4F82" w:rsidRDefault="00416178" w:rsidP="00BB7731">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in-kind revenues;</w:t>
      </w:r>
    </w:p>
    <w:p w14:paraId="021437B5" w14:textId="77777777" w:rsidR="00416178" w:rsidRPr="008C4F82" w:rsidRDefault="00416178" w:rsidP="00BB7731">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infrastructure provisions;</w:t>
      </w:r>
    </w:p>
    <w:p w14:paraId="5CA9DA84" w14:textId="237A676F" w:rsidR="00416178" w:rsidRPr="008C4F82" w:rsidRDefault="00416178" w:rsidP="00BB7731">
      <w:pPr>
        <w:pStyle w:val="Default"/>
        <w:numPr>
          <w:ilvl w:val="0"/>
          <w:numId w:val="22"/>
        </w:numPr>
        <w:spacing w:after="80" w:line="276" w:lineRule="auto"/>
        <w:ind w:left="714" w:hanging="357"/>
        <w:rPr>
          <w:rFonts w:ascii="Arial" w:hAnsi="Arial" w:cs="Arial"/>
          <w:color w:val="auto"/>
        </w:rPr>
      </w:pPr>
      <w:r w:rsidRPr="008C4F82">
        <w:rPr>
          <w:rFonts w:ascii="Arial" w:hAnsi="Arial" w:cs="Arial"/>
          <w:color w:val="auto"/>
        </w:rPr>
        <w:t>barter arrangements;</w:t>
      </w:r>
      <w:r w:rsidR="00134A4A">
        <w:rPr>
          <w:rFonts w:ascii="Arial" w:hAnsi="Arial" w:cs="Arial"/>
          <w:color w:val="auto"/>
        </w:rPr>
        <w:t xml:space="preserve"> and</w:t>
      </w:r>
    </w:p>
    <w:p w14:paraId="04AEB3B5" w14:textId="78E509A4" w:rsidR="001A1CF0" w:rsidRDefault="00416178" w:rsidP="001A1CF0">
      <w:pPr>
        <w:pStyle w:val="Default"/>
        <w:numPr>
          <w:ilvl w:val="0"/>
          <w:numId w:val="22"/>
        </w:numPr>
        <w:spacing w:after="180" w:line="276" w:lineRule="auto"/>
        <w:ind w:left="714" w:hanging="357"/>
        <w:rPr>
          <w:rFonts w:ascii="Arial" w:hAnsi="Arial" w:cs="Arial"/>
          <w:color w:val="auto"/>
        </w:rPr>
      </w:pPr>
      <w:r w:rsidRPr="008C4F82">
        <w:rPr>
          <w:rFonts w:ascii="Arial" w:hAnsi="Arial" w:cs="Arial"/>
          <w:color w:val="auto"/>
        </w:rPr>
        <w:t>transportation payments.</w:t>
      </w:r>
    </w:p>
    <w:p w14:paraId="00AA0355" w14:textId="77777777" w:rsidR="00201FAE" w:rsidRPr="008C4F82" w:rsidRDefault="00201FAE" w:rsidP="00355AAD">
      <w:pPr>
        <w:pStyle w:val="Default"/>
        <w:spacing w:after="180" w:line="276" w:lineRule="auto"/>
        <w:rPr>
          <w:rFonts w:ascii="Arial" w:hAnsi="Arial" w:cs="Arial"/>
        </w:rPr>
      </w:pPr>
      <w:r w:rsidRPr="008C4F82">
        <w:rPr>
          <w:rFonts w:ascii="Arial" w:hAnsi="Arial" w:cs="Arial"/>
        </w:rPr>
        <w:t>The MSG decided that any interest or penalty payments should be included as an element of the payment with which they are associated.</w:t>
      </w:r>
    </w:p>
    <w:p w14:paraId="1E89F546" w14:textId="4019047C" w:rsidR="00564C7C" w:rsidRPr="00BD0549" w:rsidRDefault="00564C7C" w:rsidP="00D01277">
      <w:pPr>
        <w:pStyle w:val="Heading2"/>
        <w:keepLines w:val="0"/>
        <w:numPr>
          <w:ilvl w:val="1"/>
          <w:numId w:val="37"/>
        </w:numPr>
        <w:shd w:val="clear" w:color="auto" w:fill="BFBFBF"/>
        <w:tabs>
          <w:tab w:val="clear" w:pos="567"/>
        </w:tabs>
        <w:spacing w:after="180" w:line="276" w:lineRule="auto"/>
        <w:ind w:left="567" w:hanging="567"/>
        <w:rPr>
          <w:rFonts w:cs="Arial"/>
          <w:szCs w:val="24"/>
        </w:rPr>
      </w:pPr>
      <w:bookmarkStart w:id="7" w:name="_Toc478377611"/>
      <w:bookmarkStart w:id="8" w:name="_Toc513063211"/>
      <w:r w:rsidRPr="00BD0549">
        <w:rPr>
          <w:rFonts w:cs="Arial"/>
          <w:szCs w:val="24"/>
        </w:rPr>
        <w:t>Government Agencies</w:t>
      </w:r>
      <w:bookmarkEnd w:id="7"/>
      <w:bookmarkEnd w:id="8"/>
    </w:p>
    <w:p w14:paraId="2D93344E" w14:textId="18932B34" w:rsidR="00564C7C" w:rsidRPr="00BD0549" w:rsidRDefault="00564C7C" w:rsidP="00564C7C">
      <w:pPr>
        <w:pStyle w:val="Default"/>
        <w:keepNext/>
        <w:spacing w:after="120" w:line="276" w:lineRule="auto"/>
        <w:rPr>
          <w:rFonts w:ascii="Arial" w:hAnsi="Arial" w:cs="Arial"/>
        </w:rPr>
      </w:pPr>
      <w:r w:rsidRPr="00BD0549">
        <w:rPr>
          <w:rFonts w:ascii="Arial" w:hAnsi="Arial" w:cs="Arial"/>
        </w:rPr>
        <w:t xml:space="preserve">The Government Agencies </w:t>
      </w:r>
      <w:r w:rsidR="00715494">
        <w:rPr>
          <w:rFonts w:ascii="Arial" w:hAnsi="Arial" w:cs="Arial"/>
        </w:rPr>
        <w:t>currently</w:t>
      </w:r>
      <w:r w:rsidRPr="00BD0549">
        <w:rPr>
          <w:rFonts w:ascii="Arial" w:hAnsi="Arial" w:cs="Arial"/>
        </w:rPr>
        <w:t xml:space="preserve"> to report for UK EITI </w:t>
      </w:r>
      <w:r w:rsidR="00F52442">
        <w:rPr>
          <w:rFonts w:ascii="Arial" w:hAnsi="Arial" w:cs="Arial"/>
        </w:rPr>
        <w:t>are</w:t>
      </w:r>
      <w:r w:rsidRPr="00BD0549">
        <w:rPr>
          <w:rFonts w:ascii="Arial" w:hAnsi="Arial" w:cs="Arial"/>
        </w:rPr>
        <w:t>:</w:t>
      </w:r>
    </w:p>
    <w:p w14:paraId="034A5ED2" w14:textId="77777777" w:rsidR="00564C7C" w:rsidRPr="00BD0549" w:rsidRDefault="00564C7C" w:rsidP="00564C7C">
      <w:pPr>
        <w:pStyle w:val="Default"/>
        <w:numPr>
          <w:ilvl w:val="0"/>
          <w:numId w:val="22"/>
        </w:numPr>
        <w:spacing w:after="80" w:line="276" w:lineRule="auto"/>
        <w:ind w:left="714" w:hanging="357"/>
        <w:rPr>
          <w:rFonts w:ascii="Arial" w:hAnsi="Arial" w:cs="Arial"/>
          <w:color w:val="auto"/>
        </w:rPr>
      </w:pPr>
      <w:r w:rsidRPr="00BD0549">
        <w:rPr>
          <w:rFonts w:ascii="Arial" w:hAnsi="Arial" w:cs="Arial"/>
          <w:color w:val="auto"/>
        </w:rPr>
        <w:t>Her Majesty’s Revenue and Customs (HMRC);</w:t>
      </w:r>
    </w:p>
    <w:p w14:paraId="57244088" w14:textId="77777777" w:rsidR="00564C7C" w:rsidRPr="00BD0549" w:rsidRDefault="007C7D7F" w:rsidP="00564C7C">
      <w:pPr>
        <w:pStyle w:val="Default"/>
        <w:numPr>
          <w:ilvl w:val="0"/>
          <w:numId w:val="22"/>
        </w:numPr>
        <w:spacing w:after="80" w:line="276" w:lineRule="auto"/>
        <w:ind w:left="714" w:hanging="357"/>
        <w:rPr>
          <w:rFonts w:ascii="Arial" w:hAnsi="Arial" w:cs="Arial"/>
          <w:color w:val="auto"/>
        </w:rPr>
      </w:pPr>
      <w:r w:rsidRPr="00BD0549">
        <w:rPr>
          <w:rFonts w:ascii="Arial" w:hAnsi="Arial" w:cs="Arial"/>
          <w:color w:val="auto"/>
        </w:rPr>
        <w:t xml:space="preserve">The </w:t>
      </w:r>
      <w:r w:rsidR="00564C7C" w:rsidRPr="00BD0549">
        <w:rPr>
          <w:rFonts w:ascii="Arial" w:hAnsi="Arial" w:cs="Arial"/>
          <w:color w:val="auto"/>
        </w:rPr>
        <w:t>Oil and Gas Authority (OGA)</w:t>
      </w:r>
      <w:r w:rsidR="00B24D38" w:rsidRPr="00BD0549">
        <w:rPr>
          <w:rFonts w:ascii="Arial" w:hAnsi="Arial" w:cs="Arial"/>
          <w:color w:val="auto"/>
        </w:rPr>
        <w:t>;</w:t>
      </w:r>
    </w:p>
    <w:p w14:paraId="7CF26D4B" w14:textId="0421A4F8" w:rsidR="00F52442" w:rsidRDefault="00564C7C" w:rsidP="00564C7C">
      <w:pPr>
        <w:pStyle w:val="Default"/>
        <w:numPr>
          <w:ilvl w:val="0"/>
          <w:numId w:val="22"/>
        </w:numPr>
        <w:spacing w:after="80" w:line="276" w:lineRule="auto"/>
        <w:ind w:left="714" w:hanging="357"/>
        <w:rPr>
          <w:rFonts w:ascii="Arial" w:hAnsi="Arial" w:cs="Arial"/>
          <w:color w:val="auto"/>
        </w:rPr>
      </w:pPr>
      <w:r w:rsidRPr="00BD0549">
        <w:rPr>
          <w:rFonts w:ascii="Arial" w:hAnsi="Arial" w:cs="Arial"/>
          <w:color w:val="auto"/>
        </w:rPr>
        <w:t>The Crown Estate (TCE);</w:t>
      </w:r>
    </w:p>
    <w:p w14:paraId="24CC7BA0" w14:textId="22FF9736" w:rsidR="00564C7C" w:rsidRPr="00BD0549" w:rsidRDefault="00F52442" w:rsidP="00564C7C">
      <w:pPr>
        <w:pStyle w:val="Default"/>
        <w:numPr>
          <w:ilvl w:val="0"/>
          <w:numId w:val="22"/>
        </w:numPr>
        <w:spacing w:after="80" w:line="276" w:lineRule="auto"/>
        <w:ind w:left="714" w:hanging="357"/>
        <w:rPr>
          <w:rFonts w:ascii="Arial" w:hAnsi="Arial" w:cs="Arial"/>
          <w:color w:val="auto"/>
        </w:rPr>
      </w:pPr>
      <w:r>
        <w:rPr>
          <w:rFonts w:ascii="Arial" w:hAnsi="Arial" w:cs="Arial"/>
          <w:color w:val="auto"/>
        </w:rPr>
        <w:t>Crown Estate Scotland</w:t>
      </w:r>
      <w:r w:rsidR="00F06296">
        <w:rPr>
          <w:rFonts w:ascii="Arial" w:hAnsi="Arial" w:cs="Arial"/>
          <w:color w:val="auto"/>
        </w:rPr>
        <w:t xml:space="preserve"> </w:t>
      </w:r>
      <w:r w:rsidR="00F06296" w:rsidRPr="00F06296">
        <w:rPr>
          <w:rFonts w:ascii="Arial" w:hAnsi="Arial" w:cs="Arial"/>
          <w:color w:val="auto"/>
          <w:highlight w:val="yellow"/>
        </w:rPr>
        <w:t>(Interim Management)</w:t>
      </w:r>
      <w:r>
        <w:rPr>
          <w:rFonts w:ascii="Arial" w:hAnsi="Arial" w:cs="Arial"/>
          <w:color w:val="auto"/>
        </w:rPr>
        <w:t xml:space="preserve"> </w:t>
      </w:r>
      <w:r w:rsidR="00B56AEF">
        <w:rPr>
          <w:rFonts w:ascii="Arial" w:hAnsi="Arial" w:cs="Arial"/>
          <w:color w:val="auto"/>
        </w:rPr>
        <w:t>(CES)</w:t>
      </w:r>
      <w:r w:rsidR="00E070DF">
        <w:rPr>
          <w:rFonts w:ascii="Arial" w:hAnsi="Arial" w:cs="Arial"/>
          <w:color w:val="auto"/>
        </w:rPr>
        <w:t>;</w:t>
      </w:r>
      <w:r w:rsidR="00DD2074">
        <w:rPr>
          <w:rFonts w:ascii="Arial" w:hAnsi="Arial" w:cs="Arial"/>
          <w:color w:val="auto"/>
        </w:rPr>
        <w:t xml:space="preserve"> </w:t>
      </w:r>
      <w:r w:rsidR="00564C7C" w:rsidRPr="00BD0549">
        <w:rPr>
          <w:rFonts w:ascii="Arial" w:hAnsi="Arial" w:cs="Arial"/>
          <w:color w:val="auto"/>
        </w:rPr>
        <w:t>and</w:t>
      </w:r>
    </w:p>
    <w:p w14:paraId="53AF67EA" w14:textId="5F374A19" w:rsidR="00564C7C" w:rsidRDefault="00564C7C" w:rsidP="00B24D38">
      <w:pPr>
        <w:pStyle w:val="Default"/>
        <w:numPr>
          <w:ilvl w:val="0"/>
          <w:numId w:val="22"/>
        </w:numPr>
        <w:spacing w:after="180" w:line="276" w:lineRule="auto"/>
        <w:ind w:left="714" w:hanging="357"/>
        <w:rPr>
          <w:rFonts w:ascii="Arial" w:hAnsi="Arial" w:cs="Arial"/>
          <w:color w:val="auto"/>
        </w:rPr>
      </w:pPr>
      <w:r w:rsidRPr="00BD0549">
        <w:rPr>
          <w:rFonts w:ascii="Arial" w:hAnsi="Arial" w:cs="Arial"/>
          <w:color w:val="auto"/>
        </w:rPr>
        <w:t>The Coal Authority.</w:t>
      </w:r>
    </w:p>
    <w:p w14:paraId="0B325E18" w14:textId="77777777" w:rsidR="00564C7C" w:rsidRPr="00BD0549" w:rsidRDefault="00564C7C" w:rsidP="00D01277">
      <w:pPr>
        <w:pStyle w:val="Heading2"/>
        <w:keepLines w:val="0"/>
        <w:numPr>
          <w:ilvl w:val="1"/>
          <w:numId w:val="37"/>
        </w:numPr>
        <w:shd w:val="clear" w:color="auto" w:fill="BFBFBF"/>
        <w:tabs>
          <w:tab w:val="clear" w:pos="567"/>
        </w:tabs>
        <w:spacing w:after="180" w:line="276" w:lineRule="auto"/>
        <w:ind w:left="567" w:hanging="567"/>
        <w:rPr>
          <w:rFonts w:cs="Arial"/>
          <w:szCs w:val="24"/>
        </w:rPr>
      </w:pPr>
      <w:bookmarkStart w:id="9" w:name="_Toc478377612"/>
      <w:bookmarkStart w:id="10" w:name="_Toc513063212"/>
      <w:r w:rsidRPr="00BD0549">
        <w:rPr>
          <w:rFonts w:cs="Arial"/>
          <w:szCs w:val="24"/>
        </w:rPr>
        <w:t>Materiality Threshold</w:t>
      </w:r>
      <w:bookmarkEnd w:id="9"/>
      <w:bookmarkEnd w:id="10"/>
    </w:p>
    <w:p w14:paraId="26506948" w14:textId="48A9BE67" w:rsidR="00564C7C" w:rsidRPr="00BD0549" w:rsidRDefault="00564C7C" w:rsidP="00564C7C">
      <w:pPr>
        <w:pStyle w:val="Default"/>
        <w:spacing w:after="180" w:line="276" w:lineRule="auto"/>
        <w:rPr>
          <w:rFonts w:ascii="Arial" w:hAnsi="Arial" w:cs="Arial"/>
        </w:rPr>
      </w:pPr>
      <w:r w:rsidRPr="00BD0549">
        <w:rPr>
          <w:rFonts w:ascii="Arial" w:hAnsi="Arial" w:cs="Arial"/>
        </w:rPr>
        <w:t>The MSG took an early decision to shadow the Reports on Payments to Governments Regulations 2014 where practicable.</w:t>
      </w:r>
      <w:r w:rsidRPr="00BD0549">
        <w:rPr>
          <w:rStyle w:val="FootnoteReference"/>
          <w:rFonts w:ascii="Arial" w:hAnsi="Arial" w:cs="Arial"/>
        </w:rPr>
        <w:footnoteReference w:id="1"/>
      </w:r>
      <w:r w:rsidRPr="00BD0549">
        <w:rPr>
          <w:rFonts w:ascii="Arial" w:hAnsi="Arial" w:cs="Arial"/>
        </w:rPr>
        <w:t xml:space="preserve"> These regulations implement </w:t>
      </w:r>
      <w:r w:rsidRPr="00BD0549">
        <w:rPr>
          <w:rFonts w:ascii="Arial" w:hAnsi="Arial" w:cs="Arial"/>
        </w:rPr>
        <w:lastRenderedPageBreak/>
        <w:t>the 2013 EU Accounting Directive</w:t>
      </w:r>
      <w:r w:rsidR="00F127D8">
        <w:rPr>
          <w:rFonts w:ascii="Arial" w:hAnsi="Arial" w:cs="Arial"/>
        </w:rPr>
        <w:t>,</w:t>
      </w:r>
      <w:r w:rsidR="00AE2916">
        <w:rPr>
          <w:rStyle w:val="FootnoteReference"/>
          <w:rFonts w:ascii="Arial" w:hAnsi="Arial" w:cs="Arial"/>
        </w:rPr>
        <w:footnoteReference w:id="2"/>
      </w:r>
      <w:r w:rsidRPr="00BD0549">
        <w:rPr>
          <w:rFonts w:ascii="Arial" w:hAnsi="Arial" w:cs="Arial"/>
        </w:rPr>
        <w:t xml:space="preserve"> which requires all EU large and publicly listed extractives companies to publish the payments they make to governments in all the countries where they operate.</w:t>
      </w:r>
    </w:p>
    <w:p w14:paraId="75E3A939" w14:textId="23E6254B" w:rsidR="00564C7C" w:rsidRPr="00BD0549" w:rsidRDefault="00564C7C" w:rsidP="001833E3">
      <w:pPr>
        <w:pStyle w:val="Default"/>
        <w:spacing w:after="180" w:line="276" w:lineRule="auto"/>
        <w:rPr>
          <w:rFonts w:ascii="Arial" w:hAnsi="Arial" w:cs="Arial"/>
          <w:highlight w:val="yellow"/>
        </w:rPr>
      </w:pPr>
      <w:r w:rsidRPr="00BD0549">
        <w:rPr>
          <w:rFonts w:ascii="Arial" w:hAnsi="Arial" w:cs="Arial"/>
        </w:rPr>
        <w:t xml:space="preserve">For the UK EITI, in line with the above regulations, the materiality threshold is set at £86,000 </w:t>
      </w:r>
      <w:r w:rsidR="00F127D8">
        <w:rPr>
          <w:rFonts w:ascii="Arial" w:hAnsi="Arial" w:cs="Arial"/>
        </w:rPr>
        <w:t xml:space="preserve">(€100,000) </w:t>
      </w:r>
      <w:r w:rsidRPr="00BD0549">
        <w:rPr>
          <w:rFonts w:ascii="Arial" w:hAnsi="Arial" w:cs="Arial"/>
        </w:rPr>
        <w:t xml:space="preserve">and will apply to each revenue stream at group level. The threshold applies to the </w:t>
      </w:r>
      <w:r w:rsidR="00E82465" w:rsidRPr="00BD0549">
        <w:rPr>
          <w:rFonts w:ascii="Arial" w:hAnsi="Arial" w:cs="Arial"/>
        </w:rPr>
        <w:t xml:space="preserve">net </w:t>
      </w:r>
      <w:r w:rsidRPr="00BD0549">
        <w:rPr>
          <w:rFonts w:ascii="Arial" w:hAnsi="Arial" w:cs="Arial"/>
        </w:rPr>
        <w:t>total of payments and repayments – once the threshold has been reached in a revenue stream, then all individual payments within that stream will be included. This means that individual payments below £86,000 are included within the revenue stream total once the threshold has been reached.</w:t>
      </w:r>
    </w:p>
    <w:p w14:paraId="39DFE725" w14:textId="77777777" w:rsidR="00564C7C" w:rsidRPr="00BD0549" w:rsidRDefault="00564C7C" w:rsidP="00D01277">
      <w:pPr>
        <w:pStyle w:val="Heading2"/>
        <w:keepLines w:val="0"/>
        <w:numPr>
          <w:ilvl w:val="1"/>
          <w:numId w:val="37"/>
        </w:numPr>
        <w:shd w:val="clear" w:color="auto" w:fill="BFBFBF"/>
        <w:tabs>
          <w:tab w:val="clear" w:pos="567"/>
        </w:tabs>
        <w:spacing w:after="180" w:line="276" w:lineRule="auto"/>
        <w:ind w:left="567" w:hanging="567"/>
        <w:rPr>
          <w:rFonts w:cs="Arial"/>
          <w:szCs w:val="24"/>
        </w:rPr>
      </w:pPr>
      <w:bookmarkStart w:id="11" w:name="_Toc478377613"/>
      <w:bookmarkStart w:id="12" w:name="_Toc513063213"/>
      <w:r w:rsidRPr="00BD0549">
        <w:rPr>
          <w:rFonts w:cs="Arial"/>
          <w:szCs w:val="24"/>
        </w:rPr>
        <w:t>Data Collection, Completeness and Reliability</w:t>
      </w:r>
      <w:bookmarkEnd w:id="11"/>
      <w:bookmarkEnd w:id="12"/>
    </w:p>
    <w:p w14:paraId="5DB33E99" w14:textId="77777777" w:rsidR="00564C7C" w:rsidRPr="00BD0549" w:rsidRDefault="00564C7C" w:rsidP="001833E3">
      <w:pPr>
        <w:pStyle w:val="Heading3"/>
        <w:keepNext/>
        <w:numPr>
          <w:ilvl w:val="2"/>
          <w:numId w:val="19"/>
        </w:numPr>
        <w:spacing w:line="276" w:lineRule="auto"/>
        <w:ind w:left="1225" w:hanging="505"/>
        <w:jc w:val="left"/>
        <w:rPr>
          <w:sz w:val="24"/>
          <w:szCs w:val="24"/>
        </w:rPr>
      </w:pPr>
      <w:r w:rsidRPr="00BD0549">
        <w:rPr>
          <w:sz w:val="24"/>
          <w:szCs w:val="24"/>
        </w:rPr>
        <w:t>Taxpayer confidentiality</w:t>
      </w:r>
    </w:p>
    <w:p w14:paraId="40754A59" w14:textId="546E39BD" w:rsidR="00564C7C" w:rsidRPr="00BD0549" w:rsidRDefault="00564C7C" w:rsidP="00564C7C">
      <w:pPr>
        <w:pStyle w:val="Default"/>
        <w:spacing w:after="180" w:line="276" w:lineRule="auto"/>
        <w:rPr>
          <w:rFonts w:ascii="Arial" w:hAnsi="Arial" w:cs="Arial"/>
        </w:rPr>
      </w:pPr>
      <w:r w:rsidRPr="00BD0549">
        <w:rPr>
          <w:rFonts w:ascii="Arial" w:hAnsi="Arial" w:cs="Arial"/>
        </w:rPr>
        <w:t xml:space="preserve">Many countries have taxpayer confidentiality provisions within their legal frameworks. In the UK these provisions are set out in the Commissioners for Revenue and Customs Act 2005. The EITI </w:t>
      </w:r>
      <w:r w:rsidR="00B04687">
        <w:rPr>
          <w:rFonts w:ascii="Arial" w:hAnsi="Arial" w:cs="Arial"/>
        </w:rPr>
        <w:t xml:space="preserve">International </w:t>
      </w:r>
      <w:r w:rsidRPr="00BD0549">
        <w:rPr>
          <w:rFonts w:ascii="Arial" w:hAnsi="Arial" w:cs="Arial"/>
        </w:rPr>
        <w:t>Secretariat publishes guidance on how to address the issue of taxpayer confidentiality</w:t>
      </w:r>
      <w:r w:rsidR="004E0F40">
        <w:rPr>
          <w:rFonts w:ascii="Arial" w:hAnsi="Arial" w:cs="Arial"/>
        </w:rPr>
        <w:t>.</w:t>
      </w:r>
      <w:r w:rsidR="00133D25">
        <w:rPr>
          <w:rFonts w:ascii="Arial" w:hAnsi="Arial" w:cs="Arial"/>
        </w:rPr>
        <w:t xml:space="preserve">  </w:t>
      </w:r>
      <w:proofErr w:type="gramStart"/>
      <w:r w:rsidR="00133D25">
        <w:rPr>
          <w:rFonts w:ascii="Arial" w:hAnsi="Arial" w:cs="Arial"/>
        </w:rPr>
        <w:t>In light of</w:t>
      </w:r>
      <w:proofErr w:type="gramEnd"/>
      <w:r w:rsidR="00133D25">
        <w:rPr>
          <w:rFonts w:ascii="Arial" w:hAnsi="Arial" w:cs="Arial"/>
        </w:rPr>
        <w:t xml:space="preserve"> this guidance, the MSG determined at an early stage to adopt </w:t>
      </w:r>
      <w:r w:rsidR="00961421">
        <w:rPr>
          <w:rFonts w:ascii="Arial" w:hAnsi="Arial" w:cs="Arial"/>
        </w:rPr>
        <w:t>a standard taxpayer waiver</w:t>
      </w:r>
      <w:r w:rsidR="00220CB0">
        <w:rPr>
          <w:rFonts w:ascii="Arial" w:hAnsi="Arial" w:cs="Arial"/>
        </w:rPr>
        <w:t xml:space="preserve"> </w:t>
      </w:r>
      <w:r w:rsidR="00961421">
        <w:rPr>
          <w:rFonts w:ascii="Arial" w:hAnsi="Arial" w:cs="Arial"/>
        </w:rPr>
        <w:t>approac</w:t>
      </w:r>
      <w:r w:rsidR="00220CB0">
        <w:rPr>
          <w:rFonts w:ascii="Arial" w:hAnsi="Arial" w:cs="Arial"/>
        </w:rPr>
        <w:t>h in accordance with which voluntar</w:t>
      </w:r>
      <w:r w:rsidR="007931D7">
        <w:rPr>
          <w:rFonts w:ascii="Arial" w:hAnsi="Arial" w:cs="Arial"/>
        </w:rPr>
        <w:t xml:space="preserve">ily participating companies provide the </w:t>
      </w:r>
      <w:r w:rsidR="00371FAC" w:rsidRPr="00371FAC">
        <w:rPr>
          <w:rFonts w:ascii="Arial" w:hAnsi="Arial" w:cs="Arial"/>
        </w:rPr>
        <w:t>Independent Administrator (IA)</w:t>
      </w:r>
      <w:r w:rsidR="007931D7">
        <w:rPr>
          <w:rFonts w:ascii="Arial" w:hAnsi="Arial" w:cs="Arial"/>
        </w:rPr>
        <w:t xml:space="preserve"> with confidentiality waivers</w:t>
      </w:r>
      <w:r w:rsidR="00961421">
        <w:rPr>
          <w:rFonts w:ascii="Arial" w:hAnsi="Arial" w:cs="Arial"/>
        </w:rPr>
        <w:t>.</w:t>
      </w:r>
    </w:p>
    <w:p w14:paraId="6EB21F35" w14:textId="771FC421" w:rsidR="00564C7C" w:rsidRPr="00BD0549" w:rsidRDefault="00564C7C" w:rsidP="00564C7C">
      <w:pPr>
        <w:pStyle w:val="Default"/>
        <w:spacing w:after="180" w:line="276" w:lineRule="auto"/>
        <w:rPr>
          <w:rFonts w:ascii="Arial" w:hAnsi="Arial" w:cs="Arial"/>
        </w:rPr>
      </w:pPr>
      <w:r w:rsidRPr="00BD0549">
        <w:rPr>
          <w:rFonts w:ascii="Arial" w:hAnsi="Arial" w:cs="Arial"/>
        </w:rPr>
        <w:t xml:space="preserve">The waivers </w:t>
      </w:r>
      <w:r w:rsidR="00E166BD">
        <w:rPr>
          <w:rFonts w:ascii="Arial" w:hAnsi="Arial" w:cs="Arial"/>
        </w:rPr>
        <w:t>are</w:t>
      </w:r>
      <w:r w:rsidRPr="00BD0549">
        <w:rPr>
          <w:rFonts w:ascii="Arial" w:hAnsi="Arial" w:cs="Arial"/>
        </w:rPr>
        <w:t xml:space="preserve"> drafted to allow for their continued use in subsequent years and remain valid until withdrawn by the company. This means that new waivers are required only for companies that are participating in UK EITI for the first time.</w:t>
      </w:r>
    </w:p>
    <w:p w14:paraId="42641D27" w14:textId="77777777" w:rsidR="00564C7C" w:rsidRPr="00BD0549" w:rsidRDefault="00564C7C" w:rsidP="00BC7065">
      <w:pPr>
        <w:pStyle w:val="Heading3"/>
        <w:keepNext/>
        <w:numPr>
          <w:ilvl w:val="2"/>
          <w:numId w:val="19"/>
        </w:numPr>
        <w:spacing w:line="276" w:lineRule="auto"/>
        <w:ind w:left="1225" w:hanging="505"/>
        <w:jc w:val="left"/>
        <w:rPr>
          <w:sz w:val="24"/>
          <w:szCs w:val="24"/>
        </w:rPr>
      </w:pPr>
      <w:r w:rsidRPr="00BD0549">
        <w:rPr>
          <w:sz w:val="24"/>
          <w:szCs w:val="24"/>
        </w:rPr>
        <w:t>Identification of in-scope companies</w:t>
      </w:r>
    </w:p>
    <w:p w14:paraId="15BF4666" w14:textId="665F56B1" w:rsidR="00564C7C" w:rsidRPr="00BD0549" w:rsidRDefault="00A068E4" w:rsidP="00564C7C">
      <w:pPr>
        <w:pStyle w:val="Default"/>
        <w:spacing w:after="180" w:line="276" w:lineRule="auto"/>
        <w:rPr>
          <w:rFonts w:ascii="Arial" w:hAnsi="Arial" w:cs="Arial"/>
        </w:rPr>
      </w:pPr>
      <w:r>
        <w:rPr>
          <w:rFonts w:ascii="Arial" w:hAnsi="Arial" w:cs="Arial"/>
        </w:rPr>
        <w:t>At present, the MSG adopt a two</w:t>
      </w:r>
      <w:r w:rsidR="00104DEE">
        <w:rPr>
          <w:rFonts w:ascii="Arial" w:hAnsi="Arial" w:cs="Arial"/>
        </w:rPr>
        <w:t>-pronged approach</w:t>
      </w:r>
      <w:r w:rsidR="00564C7C" w:rsidRPr="00BD0549">
        <w:rPr>
          <w:rFonts w:ascii="Arial" w:hAnsi="Arial" w:cs="Arial"/>
        </w:rPr>
        <w:t xml:space="preserve"> for the identification of in-scope companies, the first relating to the oil and gas sector, the second relating to </w:t>
      </w:r>
      <w:r w:rsidR="006D5DB1" w:rsidRPr="00BD0549">
        <w:rPr>
          <w:rFonts w:ascii="Arial" w:hAnsi="Arial" w:cs="Arial"/>
        </w:rPr>
        <w:t xml:space="preserve">the </w:t>
      </w:r>
      <w:r w:rsidR="00564C7C" w:rsidRPr="00BD0549">
        <w:rPr>
          <w:rFonts w:ascii="Arial" w:hAnsi="Arial" w:cs="Arial"/>
        </w:rPr>
        <w:t>mining and quarrying sector.</w:t>
      </w:r>
    </w:p>
    <w:p w14:paraId="65FC79BD" w14:textId="77777777" w:rsidR="00564C7C" w:rsidRPr="00BD0549" w:rsidRDefault="00564C7C" w:rsidP="00BC7065">
      <w:pPr>
        <w:keepNext/>
        <w:autoSpaceDE w:val="0"/>
        <w:autoSpaceDN w:val="0"/>
        <w:adjustRightInd w:val="0"/>
        <w:spacing w:after="180"/>
        <w:outlineLvl w:val="0"/>
        <w:rPr>
          <w:b/>
          <w:bCs/>
          <w:szCs w:val="24"/>
        </w:rPr>
      </w:pPr>
      <w:r w:rsidRPr="00BD0549">
        <w:rPr>
          <w:b/>
          <w:bCs/>
          <w:szCs w:val="24"/>
        </w:rPr>
        <w:t>Oil and gas companies</w:t>
      </w:r>
    </w:p>
    <w:p w14:paraId="21D73AD4" w14:textId="6F396931" w:rsidR="00564C7C" w:rsidRPr="00BD0549" w:rsidRDefault="00564C7C" w:rsidP="00564C7C">
      <w:pPr>
        <w:pStyle w:val="Default"/>
        <w:spacing w:after="180" w:line="276" w:lineRule="auto"/>
        <w:rPr>
          <w:rFonts w:ascii="Arial" w:hAnsi="Arial" w:cs="Arial"/>
        </w:rPr>
      </w:pPr>
      <w:r w:rsidRPr="00BD0549">
        <w:rPr>
          <w:rFonts w:ascii="Arial" w:hAnsi="Arial" w:cs="Arial"/>
        </w:rPr>
        <w:t>HMRC</w:t>
      </w:r>
      <w:r w:rsidR="00D71601">
        <w:rPr>
          <w:rFonts w:ascii="Arial" w:hAnsi="Arial" w:cs="Arial"/>
        </w:rPr>
        <w:t>, TCE and CES</w:t>
      </w:r>
      <w:r w:rsidRPr="00BD0549">
        <w:rPr>
          <w:rFonts w:ascii="Arial" w:hAnsi="Arial" w:cs="Arial"/>
        </w:rPr>
        <w:t xml:space="preserve"> provide the IA with a list of oil and gas groups that ha</w:t>
      </w:r>
      <w:r w:rsidR="001D77C5">
        <w:rPr>
          <w:rFonts w:ascii="Arial" w:hAnsi="Arial" w:cs="Arial"/>
        </w:rPr>
        <w:t>ve</w:t>
      </w:r>
      <w:r w:rsidRPr="00BD0549">
        <w:rPr>
          <w:rFonts w:ascii="Arial" w:hAnsi="Arial" w:cs="Arial"/>
        </w:rPr>
        <w:t xml:space="preserve"> made material payments </w:t>
      </w:r>
      <w:r w:rsidR="006D5DB1" w:rsidRPr="00BD0549">
        <w:rPr>
          <w:rFonts w:ascii="Arial" w:hAnsi="Arial" w:cs="Arial"/>
        </w:rPr>
        <w:t xml:space="preserve">or received material repayments </w:t>
      </w:r>
      <w:r w:rsidR="00371767" w:rsidRPr="00BD0549">
        <w:rPr>
          <w:rFonts w:ascii="Arial" w:hAnsi="Arial" w:cs="Arial"/>
        </w:rPr>
        <w:t xml:space="preserve">during </w:t>
      </w:r>
      <w:r w:rsidR="001D77C5">
        <w:rPr>
          <w:rFonts w:ascii="Arial" w:hAnsi="Arial" w:cs="Arial"/>
        </w:rPr>
        <w:t>the reconciliation period</w:t>
      </w:r>
      <w:r w:rsidR="00371767" w:rsidRPr="00BD0549">
        <w:rPr>
          <w:rFonts w:ascii="Arial" w:hAnsi="Arial" w:cs="Arial"/>
        </w:rPr>
        <w:t xml:space="preserve"> </w:t>
      </w:r>
      <w:r w:rsidR="006D5DB1" w:rsidRPr="00BD0549">
        <w:rPr>
          <w:rFonts w:ascii="Arial" w:hAnsi="Arial" w:cs="Arial"/>
        </w:rPr>
        <w:t xml:space="preserve">relating to their </w:t>
      </w:r>
      <w:r w:rsidRPr="00BD0549">
        <w:rPr>
          <w:rFonts w:ascii="Arial" w:hAnsi="Arial" w:cs="Arial"/>
        </w:rPr>
        <w:t>upstream activities.</w:t>
      </w:r>
    </w:p>
    <w:p w14:paraId="52F1296B" w14:textId="77777777" w:rsidR="00564C7C" w:rsidRPr="00BD0549" w:rsidRDefault="00564C7C" w:rsidP="00BC7065">
      <w:pPr>
        <w:keepNext/>
        <w:autoSpaceDE w:val="0"/>
        <w:autoSpaceDN w:val="0"/>
        <w:adjustRightInd w:val="0"/>
        <w:spacing w:after="180"/>
        <w:outlineLvl w:val="0"/>
        <w:rPr>
          <w:b/>
          <w:bCs/>
          <w:szCs w:val="24"/>
        </w:rPr>
      </w:pPr>
      <w:r w:rsidRPr="00BD0549">
        <w:rPr>
          <w:b/>
          <w:bCs/>
          <w:szCs w:val="24"/>
        </w:rPr>
        <w:t>Mining and quarrying companies</w:t>
      </w:r>
    </w:p>
    <w:p w14:paraId="08CEC7A4" w14:textId="6F92D3B4" w:rsidR="00564C7C" w:rsidRDefault="00564C7C" w:rsidP="00564C7C">
      <w:pPr>
        <w:pStyle w:val="Default"/>
        <w:spacing w:after="180" w:line="276" w:lineRule="auto"/>
        <w:rPr>
          <w:rFonts w:ascii="Arial" w:hAnsi="Arial" w:cs="Arial"/>
        </w:rPr>
      </w:pPr>
      <w:r w:rsidRPr="00BD0549">
        <w:rPr>
          <w:rFonts w:ascii="Arial" w:hAnsi="Arial" w:cs="Arial"/>
        </w:rPr>
        <w:t xml:space="preserve">Oil and gas production apart, there is no specific tax regime for the minerals sector in the UK. This means that mining and quarrying companies pay mainstream corporation tax on all their profits with no requirement to identify separately the tax paid on their extractive activities. Therefore, HMRC </w:t>
      </w:r>
      <w:r w:rsidR="00235172">
        <w:rPr>
          <w:rFonts w:ascii="Arial" w:hAnsi="Arial" w:cs="Arial"/>
        </w:rPr>
        <w:t>are</w:t>
      </w:r>
      <w:r w:rsidR="004D214B" w:rsidRPr="00BD0549">
        <w:rPr>
          <w:rFonts w:ascii="Arial" w:hAnsi="Arial" w:cs="Arial"/>
        </w:rPr>
        <w:t xml:space="preserve"> not</w:t>
      </w:r>
      <w:r w:rsidR="00A956E2" w:rsidRPr="00BD0549">
        <w:rPr>
          <w:rFonts w:ascii="Arial" w:hAnsi="Arial" w:cs="Arial"/>
        </w:rPr>
        <w:t xml:space="preserve"> </w:t>
      </w:r>
      <w:r w:rsidRPr="00BD0549">
        <w:rPr>
          <w:rFonts w:ascii="Arial" w:hAnsi="Arial" w:cs="Arial"/>
        </w:rPr>
        <w:t xml:space="preserve">able to provide the IA with a list of mining and quarrying companies that </w:t>
      </w:r>
      <w:r w:rsidR="00893E3E">
        <w:rPr>
          <w:rFonts w:ascii="Arial" w:hAnsi="Arial" w:cs="Arial"/>
        </w:rPr>
        <w:t xml:space="preserve">make material payments </w:t>
      </w:r>
      <w:r w:rsidRPr="00BD0549">
        <w:rPr>
          <w:rFonts w:ascii="Arial" w:hAnsi="Arial" w:cs="Arial"/>
        </w:rPr>
        <w:t>for extractive activities, because the amounts paid to HMRC will often include a significant proportion of taxes on non-extractive activities.</w:t>
      </w:r>
    </w:p>
    <w:p w14:paraId="782FC138" w14:textId="62F4792D" w:rsidR="00E00DF6" w:rsidRPr="00BD0549" w:rsidRDefault="00E00DF6" w:rsidP="00564C7C">
      <w:pPr>
        <w:pStyle w:val="Default"/>
        <w:spacing w:after="180" w:line="276" w:lineRule="auto"/>
        <w:rPr>
          <w:rFonts w:ascii="Arial" w:hAnsi="Arial" w:cs="Arial"/>
        </w:rPr>
      </w:pPr>
      <w:r>
        <w:rPr>
          <w:rFonts w:ascii="Arial" w:hAnsi="Arial" w:cs="Arial"/>
        </w:rPr>
        <w:t>On that basis, the MSG ha</w:t>
      </w:r>
      <w:r w:rsidR="004D1D72">
        <w:rPr>
          <w:rFonts w:ascii="Arial" w:hAnsi="Arial" w:cs="Arial"/>
        </w:rPr>
        <w:t>s</w:t>
      </w:r>
      <w:r>
        <w:rPr>
          <w:rFonts w:ascii="Arial" w:hAnsi="Arial" w:cs="Arial"/>
        </w:rPr>
        <w:t xml:space="preserve"> adopted an approach </w:t>
      </w:r>
      <w:r w:rsidR="00C2478F">
        <w:rPr>
          <w:rFonts w:ascii="Arial" w:hAnsi="Arial" w:cs="Arial"/>
        </w:rPr>
        <w:t>which identifies</w:t>
      </w:r>
      <w:r w:rsidR="00FF4BE9">
        <w:rPr>
          <w:rFonts w:ascii="Arial" w:hAnsi="Arial" w:cs="Arial"/>
        </w:rPr>
        <w:t>:</w:t>
      </w:r>
    </w:p>
    <w:p w14:paraId="43C20E4D" w14:textId="3F5AB1AE" w:rsidR="009204E1" w:rsidRPr="007B2337" w:rsidRDefault="009204E1" w:rsidP="007B2337">
      <w:pPr>
        <w:pStyle w:val="Default"/>
        <w:numPr>
          <w:ilvl w:val="0"/>
          <w:numId w:val="22"/>
        </w:numPr>
        <w:spacing w:after="80" w:line="276" w:lineRule="auto"/>
        <w:ind w:left="714" w:hanging="357"/>
        <w:rPr>
          <w:rFonts w:ascii="Arial" w:hAnsi="Arial" w:cs="Arial"/>
          <w:color w:val="auto"/>
        </w:rPr>
      </w:pPr>
      <w:r w:rsidRPr="007B2337">
        <w:rPr>
          <w:rFonts w:ascii="Arial" w:hAnsi="Arial" w:cs="Arial"/>
          <w:color w:val="auto"/>
        </w:rPr>
        <w:t>companies that made material payments to TCE</w:t>
      </w:r>
      <w:r w:rsidR="004F6D90">
        <w:rPr>
          <w:rFonts w:ascii="Arial" w:hAnsi="Arial" w:cs="Arial"/>
          <w:color w:val="auto"/>
        </w:rPr>
        <w:t xml:space="preserve"> or CES</w:t>
      </w:r>
      <w:r w:rsidRPr="007B2337">
        <w:rPr>
          <w:rFonts w:ascii="Arial" w:hAnsi="Arial" w:cs="Arial"/>
          <w:color w:val="auto"/>
        </w:rPr>
        <w:t xml:space="preserve"> (as confirmed by TCE</w:t>
      </w:r>
      <w:r w:rsidR="004F6D90">
        <w:rPr>
          <w:rFonts w:ascii="Arial" w:hAnsi="Arial" w:cs="Arial"/>
          <w:color w:val="auto"/>
        </w:rPr>
        <w:t xml:space="preserve"> or CES</w:t>
      </w:r>
      <w:r w:rsidRPr="007B2337">
        <w:rPr>
          <w:rFonts w:ascii="Arial" w:hAnsi="Arial" w:cs="Arial"/>
          <w:color w:val="auto"/>
        </w:rPr>
        <w:t>);</w:t>
      </w:r>
    </w:p>
    <w:p w14:paraId="06AB7FCF" w14:textId="0E1CE09D" w:rsidR="009204E1" w:rsidRPr="007B2337" w:rsidRDefault="009204E1" w:rsidP="007B2337">
      <w:pPr>
        <w:pStyle w:val="Default"/>
        <w:numPr>
          <w:ilvl w:val="0"/>
          <w:numId w:val="22"/>
        </w:numPr>
        <w:spacing w:after="80" w:line="276" w:lineRule="auto"/>
        <w:ind w:left="714" w:hanging="357"/>
        <w:rPr>
          <w:rFonts w:ascii="Arial" w:hAnsi="Arial" w:cs="Arial"/>
          <w:color w:val="auto"/>
        </w:rPr>
      </w:pPr>
      <w:r w:rsidRPr="007B2337">
        <w:rPr>
          <w:rFonts w:ascii="Arial" w:hAnsi="Arial" w:cs="Arial"/>
          <w:color w:val="auto"/>
        </w:rPr>
        <w:t>companies that made material payments to the Coal Authority (as confirmed by the Coal Authority); and</w:t>
      </w:r>
    </w:p>
    <w:p w14:paraId="7C52E7E3" w14:textId="40E7FDA2" w:rsidR="009204E1" w:rsidRDefault="009204E1" w:rsidP="00942492">
      <w:pPr>
        <w:pStyle w:val="Default"/>
        <w:numPr>
          <w:ilvl w:val="0"/>
          <w:numId w:val="22"/>
        </w:numPr>
        <w:spacing w:after="180" w:line="276" w:lineRule="auto"/>
        <w:ind w:left="714" w:hanging="357"/>
        <w:rPr>
          <w:rFonts w:ascii="Arial" w:hAnsi="Arial" w:cs="Arial"/>
          <w:color w:val="auto"/>
        </w:rPr>
      </w:pPr>
      <w:r w:rsidRPr="007B2337">
        <w:rPr>
          <w:rFonts w:ascii="Arial" w:hAnsi="Arial" w:cs="Arial"/>
          <w:color w:val="auto"/>
        </w:rPr>
        <w:t xml:space="preserve">companies </w:t>
      </w:r>
      <w:r w:rsidR="007F0499" w:rsidRPr="007B2337">
        <w:rPr>
          <w:rFonts w:ascii="Arial" w:hAnsi="Arial" w:cs="Arial"/>
          <w:color w:val="auto"/>
        </w:rPr>
        <w:t>adjudged</w:t>
      </w:r>
      <w:r w:rsidRPr="007B2337">
        <w:rPr>
          <w:rFonts w:ascii="Arial" w:hAnsi="Arial" w:cs="Arial"/>
          <w:color w:val="auto"/>
        </w:rPr>
        <w:t xml:space="preserve"> by the MPA </w:t>
      </w:r>
      <w:r w:rsidR="001965E2" w:rsidRPr="007B2337">
        <w:rPr>
          <w:rFonts w:ascii="Arial" w:hAnsi="Arial" w:cs="Arial"/>
          <w:color w:val="auto"/>
        </w:rPr>
        <w:t xml:space="preserve">(the sector’s trade association) </w:t>
      </w:r>
      <w:r w:rsidRPr="007B2337">
        <w:rPr>
          <w:rFonts w:ascii="Arial" w:hAnsi="Arial" w:cs="Arial"/>
          <w:color w:val="auto"/>
        </w:rPr>
        <w:t>as being the largest companies operating in the aggregates sector.</w:t>
      </w:r>
    </w:p>
    <w:p w14:paraId="1EFA1648" w14:textId="37639980" w:rsidR="00F80921" w:rsidRPr="007B2337" w:rsidRDefault="00F80921" w:rsidP="00942492">
      <w:pPr>
        <w:pStyle w:val="Default"/>
        <w:numPr>
          <w:ilvl w:val="0"/>
          <w:numId w:val="22"/>
        </w:numPr>
        <w:spacing w:after="180" w:line="276" w:lineRule="auto"/>
        <w:ind w:left="714" w:hanging="357"/>
        <w:rPr>
          <w:rFonts w:ascii="Arial" w:hAnsi="Arial" w:cs="Arial"/>
          <w:color w:val="auto"/>
        </w:rPr>
      </w:pPr>
      <w:r>
        <w:rPr>
          <w:rFonts w:ascii="Arial" w:hAnsi="Arial" w:cs="Arial"/>
          <w:color w:val="auto"/>
        </w:rPr>
        <w:t>Guidance and templates were made available on-line on the UK EITI website in May 2018 for companies that self-assessed that they were in-scope for 2017.</w:t>
      </w:r>
    </w:p>
    <w:p w14:paraId="58C1A8DD" w14:textId="77777777" w:rsidR="00564C7C" w:rsidRPr="00AB6F58" w:rsidRDefault="00564C7C" w:rsidP="00BC7065">
      <w:pPr>
        <w:pStyle w:val="Heading3"/>
        <w:keepNext/>
        <w:numPr>
          <w:ilvl w:val="2"/>
          <w:numId w:val="19"/>
        </w:numPr>
        <w:spacing w:line="276" w:lineRule="auto"/>
        <w:ind w:left="1225" w:hanging="505"/>
        <w:jc w:val="left"/>
        <w:rPr>
          <w:sz w:val="24"/>
          <w:szCs w:val="24"/>
        </w:rPr>
      </w:pPr>
      <w:r w:rsidRPr="00AB6F58">
        <w:rPr>
          <w:sz w:val="24"/>
          <w:szCs w:val="24"/>
        </w:rPr>
        <w:t>Collection of company payment data</w:t>
      </w:r>
    </w:p>
    <w:p w14:paraId="18780C6A" w14:textId="77777777" w:rsidR="00564C7C" w:rsidRPr="00AB6F58" w:rsidRDefault="00564C7C" w:rsidP="00564C7C">
      <w:pPr>
        <w:autoSpaceDE w:val="0"/>
        <w:autoSpaceDN w:val="0"/>
        <w:adjustRightInd w:val="0"/>
        <w:spacing w:after="180" w:line="276" w:lineRule="auto"/>
        <w:rPr>
          <w:szCs w:val="24"/>
        </w:rPr>
      </w:pPr>
      <w:r w:rsidRPr="00AB6F58">
        <w:rPr>
          <w:szCs w:val="24"/>
        </w:rPr>
        <w:t xml:space="preserve">The MSG developed instructions for reporting companies, including templates and guidelines, which can be found here: </w:t>
      </w:r>
      <w:hyperlink r:id="rId8" w:history="1">
        <w:r w:rsidRPr="00AB6F58">
          <w:rPr>
            <w:rStyle w:val="Hyperlink"/>
            <w:szCs w:val="24"/>
          </w:rPr>
          <w:t>https://www.gov.uk/guidance/extractive-industries-transparency-initiative</w:t>
        </w:r>
      </w:hyperlink>
      <w:r w:rsidRPr="00AB6F58">
        <w:rPr>
          <w:rStyle w:val="Hyperlink"/>
          <w:szCs w:val="24"/>
        </w:rPr>
        <w:t>.</w:t>
      </w:r>
    </w:p>
    <w:p w14:paraId="50810816" w14:textId="098546E5" w:rsidR="00564C7C" w:rsidRPr="00AB6F58" w:rsidRDefault="00564C7C" w:rsidP="00564C7C">
      <w:pPr>
        <w:autoSpaceDE w:val="0"/>
        <w:autoSpaceDN w:val="0"/>
        <w:adjustRightInd w:val="0"/>
        <w:spacing w:after="120" w:line="276" w:lineRule="auto"/>
        <w:rPr>
          <w:szCs w:val="24"/>
        </w:rPr>
      </w:pPr>
      <w:r w:rsidRPr="00AB6F58">
        <w:rPr>
          <w:szCs w:val="24"/>
        </w:rPr>
        <w:t>The reporting package include</w:t>
      </w:r>
      <w:r w:rsidR="00076027">
        <w:rPr>
          <w:szCs w:val="24"/>
        </w:rPr>
        <w:t>s</w:t>
      </w:r>
      <w:r w:rsidRPr="00AB6F58">
        <w:rPr>
          <w:szCs w:val="24"/>
        </w:rPr>
        <w:t>:</w:t>
      </w:r>
    </w:p>
    <w:p w14:paraId="01201C12"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Reporting template;</w:t>
      </w:r>
    </w:p>
    <w:p w14:paraId="47E19D7B"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EITI (Step-by-step) guide;</w:t>
      </w:r>
    </w:p>
    <w:p w14:paraId="35634157"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Beneficial ownership guide; and</w:t>
      </w:r>
    </w:p>
    <w:p w14:paraId="3BCE7AC0" w14:textId="77777777" w:rsidR="00564C7C" w:rsidRPr="00AB6F58" w:rsidRDefault="00564C7C" w:rsidP="00BA6FAD">
      <w:pPr>
        <w:pStyle w:val="Default"/>
        <w:numPr>
          <w:ilvl w:val="0"/>
          <w:numId w:val="22"/>
        </w:numPr>
        <w:spacing w:after="180" w:line="276" w:lineRule="auto"/>
        <w:ind w:left="714" w:hanging="357"/>
        <w:rPr>
          <w:rFonts w:ascii="Arial" w:hAnsi="Arial" w:cs="Arial"/>
          <w:color w:val="auto"/>
        </w:rPr>
      </w:pPr>
      <w:r w:rsidRPr="00AB6F58">
        <w:rPr>
          <w:rFonts w:ascii="Arial" w:hAnsi="Arial" w:cs="Arial"/>
          <w:color w:val="auto"/>
        </w:rPr>
        <w:t>Confidentiality waiver.</w:t>
      </w:r>
    </w:p>
    <w:p w14:paraId="10DCFE7F" w14:textId="77777777" w:rsidR="00564C7C" w:rsidRPr="00AB6F58" w:rsidRDefault="00564C7C" w:rsidP="00BC7065">
      <w:pPr>
        <w:pStyle w:val="Heading3"/>
        <w:keepNext/>
        <w:numPr>
          <w:ilvl w:val="2"/>
          <w:numId w:val="19"/>
        </w:numPr>
        <w:spacing w:line="276" w:lineRule="auto"/>
        <w:ind w:left="1225" w:hanging="505"/>
        <w:jc w:val="left"/>
        <w:rPr>
          <w:sz w:val="24"/>
          <w:szCs w:val="24"/>
        </w:rPr>
      </w:pPr>
      <w:r w:rsidRPr="00AB6F58">
        <w:rPr>
          <w:sz w:val="24"/>
          <w:szCs w:val="24"/>
        </w:rPr>
        <w:t>Data reliability and credibility</w:t>
      </w:r>
    </w:p>
    <w:p w14:paraId="1143238C" w14:textId="465107C7" w:rsidR="00564C7C" w:rsidRPr="00AB6F58" w:rsidRDefault="007D3CB0" w:rsidP="00564C7C">
      <w:pPr>
        <w:pStyle w:val="Default"/>
        <w:spacing w:after="180" w:line="276" w:lineRule="auto"/>
        <w:rPr>
          <w:rFonts w:ascii="Arial" w:hAnsi="Arial" w:cs="Arial"/>
        </w:rPr>
      </w:pPr>
      <w:r>
        <w:rPr>
          <w:rFonts w:ascii="Arial" w:hAnsi="Arial" w:cs="Arial"/>
        </w:rPr>
        <w:t xml:space="preserve">The </w:t>
      </w:r>
      <w:r w:rsidR="00564C7C" w:rsidRPr="00AB6F58">
        <w:rPr>
          <w:rFonts w:ascii="Arial" w:hAnsi="Arial" w:cs="Arial"/>
        </w:rPr>
        <w:t xml:space="preserve">MSG </w:t>
      </w:r>
      <w:r>
        <w:rPr>
          <w:rFonts w:ascii="Arial" w:hAnsi="Arial" w:cs="Arial"/>
        </w:rPr>
        <w:t>is of the opinion</w:t>
      </w:r>
      <w:r w:rsidR="00564C7C" w:rsidRPr="00AB6F58">
        <w:rPr>
          <w:rFonts w:ascii="Arial" w:hAnsi="Arial" w:cs="Arial"/>
        </w:rPr>
        <w:t xml:space="preserve"> that </w:t>
      </w:r>
      <w:bookmarkStart w:id="13" w:name="_Hlk512513665"/>
      <w:r w:rsidR="00564C7C" w:rsidRPr="00AB6F58">
        <w:rPr>
          <w:rFonts w:ascii="Arial" w:hAnsi="Arial" w:cs="Arial"/>
        </w:rPr>
        <w:t xml:space="preserve">companies and </w:t>
      </w:r>
      <w:r w:rsidR="007168F6">
        <w:rPr>
          <w:rFonts w:ascii="Arial" w:hAnsi="Arial" w:cs="Arial"/>
        </w:rPr>
        <w:t>G</w:t>
      </w:r>
      <w:r w:rsidR="007168F6" w:rsidRPr="00AB6F58">
        <w:rPr>
          <w:rFonts w:ascii="Arial" w:hAnsi="Arial" w:cs="Arial"/>
        </w:rPr>
        <w:t xml:space="preserve">overnment </w:t>
      </w:r>
      <w:r w:rsidR="00564C7C" w:rsidRPr="00AB6F58">
        <w:rPr>
          <w:rFonts w:ascii="Arial" w:hAnsi="Arial" w:cs="Arial"/>
        </w:rPr>
        <w:t xml:space="preserve">agencies </w:t>
      </w:r>
      <w:bookmarkEnd w:id="13"/>
      <w:r w:rsidR="00564C7C" w:rsidRPr="00AB6F58">
        <w:rPr>
          <w:rFonts w:ascii="Arial" w:hAnsi="Arial" w:cs="Arial"/>
        </w:rPr>
        <w:t>are subject to robust regulatory requirements and that no additional audit and assurance should be requested for EITI purposes.</w:t>
      </w:r>
    </w:p>
    <w:p w14:paraId="57B777D7" w14:textId="37256B58" w:rsidR="00564C7C" w:rsidRPr="00AB6F58" w:rsidRDefault="00564C7C" w:rsidP="00564C7C">
      <w:pPr>
        <w:pStyle w:val="Default"/>
        <w:spacing w:after="180" w:line="276" w:lineRule="auto"/>
        <w:rPr>
          <w:rFonts w:ascii="Arial" w:hAnsi="Arial" w:cs="Arial"/>
        </w:rPr>
      </w:pPr>
      <w:r w:rsidRPr="00AB6F58">
        <w:rPr>
          <w:rFonts w:ascii="Arial" w:hAnsi="Arial" w:cs="Arial"/>
        </w:rPr>
        <w:t xml:space="preserve">Extractive companies </w:t>
      </w:r>
      <w:r w:rsidR="00D96AD9">
        <w:rPr>
          <w:rFonts w:ascii="Arial" w:hAnsi="Arial" w:cs="Arial"/>
        </w:rPr>
        <w:t>are</w:t>
      </w:r>
      <w:r w:rsidRPr="00AB6F58">
        <w:rPr>
          <w:rFonts w:ascii="Arial" w:hAnsi="Arial" w:cs="Arial"/>
        </w:rPr>
        <w:t xml:space="preserve"> asked to have their reporting templates </w:t>
      </w:r>
      <w:r w:rsidR="00CE4E59">
        <w:rPr>
          <w:rFonts w:ascii="Arial" w:hAnsi="Arial" w:cs="Arial"/>
        </w:rPr>
        <w:t xml:space="preserve">approved </w:t>
      </w:r>
      <w:r w:rsidRPr="00AB6F58">
        <w:rPr>
          <w:rFonts w:ascii="Arial" w:hAnsi="Arial" w:cs="Arial"/>
        </w:rPr>
        <w:t>by a senior official.</w:t>
      </w:r>
    </w:p>
    <w:p w14:paraId="347D65F9" w14:textId="63845B37" w:rsidR="00564C7C" w:rsidRPr="00AB6F58" w:rsidRDefault="00564C7C" w:rsidP="00564C7C">
      <w:pPr>
        <w:pStyle w:val="Default"/>
        <w:spacing w:after="180" w:line="276" w:lineRule="auto"/>
        <w:rPr>
          <w:rFonts w:ascii="Arial" w:hAnsi="Arial" w:cs="Arial"/>
        </w:rPr>
      </w:pPr>
      <w:r w:rsidRPr="00AB6F58">
        <w:rPr>
          <w:rFonts w:ascii="Arial" w:hAnsi="Arial" w:cs="Arial"/>
        </w:rPr>
        <w:t>For government agencies, the MSG accept</w:t>
      </w:r>
      <w:r w:rsidR="00D67E11">
        <w:rPr>
          <w:rFonts w:ascii="Arial" w:hAnsi="Arial" w:cs="Arial"/>
        </w:rPr>
        <w:t xml:space="preserve">s </w:t>
      </w:r>
      <w:r w:rsidRPr="00AB6F58">
        <w:rPr>
          <w:rFonts w:ascii="Arial" w:hAnsi="Arial" w:cs="Arial"/>
        </w:rPr>
        <w:t>that rules of government accounting in the UK appl</w:t>
      </w:r>
      <w:r w:rsidR="00D67E11">
        <w:rPr>
          <w:rFonts w:ascii="Arial" w:hAnsi="Arial" w:cs="Arial"/>
        </w:rPr>
        <w:t>y</w:t>
      </w:r>
      <w:r w:rsidR="00BB259E">
        <w:rPr>
          <w:rFonts w:ascii="Arial" w:hAnsi="Arial" w:cs="Arial"/>
        </w:rPr>
        <w:t xml:space="preserve"> and can be relied upon.</w:t>
      </w:r>
    </w:p>
    <w:p w14:paraId="49BDC664" w14:textId="56D26819" w:rsidR="000C3A40" w:rsidRPr="00AB6F58" w:rsidRDefault="00CF1310" w:rsidP="00564C7C">
      <w:pPr>
        <w:pStyle w:val="Default"/>
        <w:spacing w:after="180" w:line="276" w:lineRule="auto"/>
        <w:rPr>
          <w:rFonts w:ascii="Arial" w:hAnsi="Arial" w:cs="Arial"/>
        </w:rPr>
      </w:pPr>
      <w:r>
        <w:rPr>
          <w:rFonts w:ascii="Arial" w:hAnsi="Arial" w:cs="Arial"/>
        </w:rPr>
        <w:t>It is for the</w:t>
      </w:r>
      <w:r w:rsidR="000C3A40" w:rsidRPr="00AB6F58">
        <w:rPr>
          <w:rFonts w:ascii="Arial" w:hAnsi="Arial" w:cs="Arial"/>
        </w:rPr>
        <w:t xml:space="preserve"> IA </w:t>
      </w:r>
      <w:r w:rsidR="003F4DD3">
        <w:rPr>
          <w:rFonts w:ascii="Arial" w:hAnsi="Arial" w:cs="Arial"/>
        </w:rPr>
        <w:t>to determine whether</w:t>
      </w:r>
      <w:r w:rsidR="0028561B">
        <w:rPr>
          <w:rFonts w:ascii="Arial" w:hAnsi="Arial" w:cs="Arial"/>
        </w:rPr>
        <w:t xml:space="preserve"> </w:t>
      </w:r>
      <w:r w:rsidR="000C3A40" w:rsidRPr="00AB6F58">
        <w:rPr>
          <w:rFonts w:ascii="Arial" w:hAnsi="Arial" w:cs="Arial"/>
        </w:rPr>
        <w:t>the final assessment of the overall comprehensiveness and reliability of reconciled financial data from companies and government agencies t</w:t>
      </w:r>
      <w:r w:rsidR="005B5968">
        <w:rPr>
          <w:rFonts w:ascii="Arial" w:hAnsi="Arial" w:cs="Arial"/>
        </w:rPr>
        <w:t xml:space="preserve">is </w:t>
      </w:r>
      <w:r w:rsidR="000C3A40" w:rsidRPr="00AB6F58">
        <w:rPr>
          <w:rFonts w:ascii="Arial" w:hAnsi="Arial" w:cs="Arial"/>
        </w:rPr>
        <w:t>satisfactory.</w:t>
      </w:r>
    </w:p>
    <w:p w14:paraId="1070C85E" w14:textId="77777777" w:rsidR="00564C7C" w:rsidRPr="00AB6F58" w:rsidRDefault="00564C7C" w:rsidP="00D01277">
      <w:pPr>
        <w:pStyle w:val="Heading2"/>
        <w:keepLines w:val="0"/>
        <w:numPr>
          <w:ilvl w:val="1"/>
          <w:numId w:val="37"/>
        </w:numPr>
        <w:shd w:val="clear" w:color="auto" w:fill="BFBFBF"/>
        <w:tabs>
          <w:tab w:val="clear" w:pos="567"/>
        </w:tabs>
        <w:spacing w:after="180" w:line="276" w:lineRule="auto"/>
        <w:ind w:left="567" w:hanging="567"/>
        <w:rPr>
          <w:rFonts w:cs="Arial"/>
          <w:szCs w:val="24"/>
        </w:rPr>
      </w:pPr>
      <w:bookmarkStart w:id="14" w:name="_Toc478377614"/>
      <w:bookmarkStart w:id="15" w:name="_Toc513063214"/>
      <w:r w:rsidRPr="00AB6F58">
        <w:rPr>
          <w:rFonts w:cs="Arial"/>
          <w:szCs w:val="24"/>
        </w:rPr>
        <w:t>Reconciliation Scope and Methodology</w:t>
      </w:r>
      <w:bookmarkEnd w:id="14"/>
      <w:bookmarkEnd w:id="15"/>
    </w:p>
    <w:p w14:paraId="51C3700D" w14:textId="3193E79C" w:rsidR="00564C7C" w:rsidRPr="00AB6F58" w:rsidRDefault="00564C7C" w:rsidP="00942492">
      <w:pPr>
        <w:pStyle w:val="Heading3"/>
        <w:keepNext/>
        <w:numPr>
          <w:ilvl w:val="2"/>
          <w:numId w:val="45"/>
        </w:numPr>
        <w:spacing w:line="276" w:lineRule="auto"/>
        <w:jc w:val="left"/>
        <w:rPr>
          <w:sz w:val="24"/>
          <w:szCs w:val="24"/>
        </w:rPr>
      </w:pPr>
      <w:r w:rsidRPr="00AB6F58">
        <w:rPr>
          <w:sz w:val="24"/>
          <w:szCs w:val="24"/>
        </w:rPr>
        <w:t>Analysis of the reconciliation scope</w:t>
      </w:r>
    </w:p>
    <w:p w14:paraId="51AE7B83" w14:textId="122920F2" w:rsidR="00564C7C" w:rsidRPr="00AB6F58" w:rsidRDefault="00564C7C" w:rsidP="00564C7C">
      <w:pPr>
        <w:pStyle w:val="Default"/>
        <w:spacing w:after="180" w:line="276" w:lineRule="auto"/>
        <w:rPr>
          <w:rFonts w:ascii="Arial" w:hAnsi="Arial" w:cs="Arial"/>
        </w:rPr>
      </w:pPr>
      <w:r w:rsidRPr="00AB6F58">
        <w:rPr>
          <w:rFonts w:ascii="Arial" w:hAnsi="Arial" w:cs="Arial"/>
        </w:rPr>
        <w:t>The IA undert</w:t>
      </w:r>
      <w:r w:rsidR="001E4ADF">
        <w:rPr>
          <w:rFonts w:ascii="Arial" w:hAnsi="Arial" w:cs="Arial"/>
        </w:rPr>
        <w:t>akes</w:t>
      </w:r>
      <w:r w:rsidRPr="00AB6F58">
        <w:rPr>
          <w:rFonts w:ascii="Arial" w:hAnsi="Arial" w:cs="Arial"/>
        </w:rPr>
        <w:t xml:space="preserve"> a preliminary analysis in accordance with their Terms of Reference (ToR) for the purpose of reviewing the scope of the reconciliation exercise </w:t>
      </w:r>
      <w:r w:rsidR="00C54A9A">
        <w:rPr>
          <w:rFonts w:ascii="Arial" w:hAnsi="Arial" w:cs="Arial"/>
        </w:rPr>
        <w:t>each</w:t>
      </w:r>
      <w:r w:rsidRPr="00AB6F58">
        <w:rPr>
          <w:rFonts w:ascii="Arial" w:hAnsi="Arial" w:cs="Arial"/>
        </w:rPr>
        <w:t xml:space="preserve"> calendar year. This preliminary analysis covers the UK’s extractive industries and related entities (</w:t>
      </w:r>
      <w:r w:rsidR="007168F6">
        <w:rPr>
          <w:rFonts w:ascii="Arial" w:hAnsi="Arial" w:cs="Arial"/>
        </w:rPr>
        <w:t>G</w:t>
      </w:r>
      <w:r w:rsidR="007168F6" w:rsidRPr="00AB6F58">
        <w:rPr>
          <w:rFonts w:ascii="Arial" w:hAnsi="Arial" w:cs="Arial"/>
        </w:rPr>
        <w:t xml:space="preserve">overnment </w:t>
      </w:r>
      <w:r w:rsidRPr="00AB6F58">
        <w:rPr>
          <w:rFonts w:ascii="Arial" w:hAnsi="Arial" w:cs="Arial"/>
        </w:rPr>
        <w:t>agencies and extractive companies).</w:t>
      </w:r>
    </w:p>
    <w:p w14:paraId="2DC533CC" w14:textId="3E91C617" w:rsidR="00564C7C" w:rsidRPr="00AB6F58" w:rsidRDefault="00564C7C" w:rsidP="00564C7C">
      <w:pPr>
        <w:pStyle w:val="Default"/>
        <w:spacing w:after="120" w:line="276" w:lineRule="auto"/>
        <w:rPr>
          <w:rFonts w:ascii="Arial" w:hAnsi="Arial" w:cs="Arial"/>
        </w:rPr>
      </w:pPr>
      <w:r w:rsidRPr="00AB6F58">
        <w:rPr>
          <w:rFonts w:ascii="Arial" w:hAnsi="Arial" w:cs="Arial"/>
        </w:rPr>
        <w:t>The analysis</w:t>
      </w:r>
      <w:r w:rsidR="00F72A40">
        <w:rPr>
          <w:rFonts w:ascii="Arial" w:hAnsi="Arial" w:cs="Arial"/>
        </w:rPr>
        <w:t xml:space="preserve"> includes</w:t>
      </w:r>
      <w:r w:rsidRPr="00AB6F58">
        <w:rPr>
          <w:rFonts w:ascii="Arial" w:hAnsi="Arial" w:cs="Arial"/>
        </w:rPr>
        <w:t>:</w:t>
      </w:r>
    </w:p>
    <w:p w14:paraId="0160DF79"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acquiring a good understanding of the extractive resources and industries of the country;</w:t>
      </w:r>
    </w:p>
    <w:p w14:paraId="7C69C792"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reviewing the fiscal regime and other relevant revenue streams applicable to the extractive sector;</w:t>
      </w:r>
    </w:p>
    <w:p w14:paraId="011A291A"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reviewing existing data from the relevant period to determine significant revenue streams;</w:t>
      </w:r>
    </w:p>
    <w:p w14:paraId="63A7693D"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reviewing materiality thresholds for revenue streams set by the MSG;</w:t>
      </w:r>
    </w:p>
    <w:p w14:paraId="287D3C1A"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identifying extractive companies which make material payments within the scope of the agreed material revenue streams;</w:t>
      </w:r>
    </w:p>
    <w:p w14:paraId="677788CF" w14:textId="4EE18C26"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 xml:space="preserve">identifying </w:t>
      </w:r>
      <w:r w:rsidR="00371FAC">
        <w:rPr>
          <w:rFonts w:ascii="Arial" w:hAnsi="Arial" w:cs="Arial"/>
          <w:color w:val="auto"/>
        </w:rPr>
        <w:t>G</w:t>
      </w:r>
      <w:r w:rsidR="00371FAC" w:rsidRPr="00AB6F58">
        <w:rPr>
          <w:rFonts w:ascii="Arial" w:hAnsi="Arial" w:cs="Arial"/>
          <w:color w:val="auto"/>
        </w:rPr>
        <w:t xml:space="preserve">overnment </w:t>
      </w:r>
      <w:r w:rsidRPr="00AB6F58">
        <w:rPr>
          <w:rFonts w:ascii="Arial" w:hAnsi="Arial" w:cs="Arial"/>
          <w:color w:val="auto"/>
        </w:rPr>
        <w:t>agencies which collect material revenues within the scope of the agreed material revenue streams;</w:t>
      </w:r>
    </w:p>
    <w:p w14:paraId="6FC86575"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reviewing the reporting template to be used; and</w:t>
      </w:r>
    </w:p>
    <w:p w14:paraId="75E927CC" w14:textId="77777777" w:rsidR="00564C7C" w:rsidRPr="00AB6F58" w:rsidRDefault="00564C7C" w:rsidP="00942492">
      <w:pPr>
        <w:pStyle w:val="Default"/>
        <w:numPr>
          <w:ilvl w:val="0"/>
          <w:numId w:val="22"/>
        </w:numPr>
        <w:spacing w:after="180" w:line="276" w:lineRule="auto"/>
        <w:ind w:left="714" w:hanging="357"/>
        <w:rPr>
          <w:rFonts w:ascii="Arial" w:hAnsi="Arial" w:cs="Arial"/>
          <w:color w:val="auto"/>
        </w:rPr>
      </w:pPr>
      <w:r w:rsidRPr="00AB6F58">
        <w:rPr>
          <w:rFonts w:ascii="Arial" w:hAnsi="Arial" w:cs="Arial"/>
          <w:color w:val="auto"/>
        </w:rPr>
        <w:t>acquiring a good understanding of assurances to be provided by reporting entities to ensure the credibility of the data made available.</w:t>
      </w:r>
    </w:p>
    <w:p w14:paraId="50C3C38B" w14:textId="04E19A71" w:rsidR="00564C7C" w:rsidRPr="00AB6F58" w:rsidRDefault="00564C7C" w:rsidP="00942492">
      <w:pPr>
        <w:pStyle w:val="Heading3"/>
        <w:keepNext/>
        <w:numPr>
          <w:ilvl w:val="2"/>
          <w:numId w:val="45"/>
        </w:numPr>
        <w:spacing w:line="276" w:lineRule="auto"/>
        <w:jc w:val="left"/>
        <w:rPr>
          <w:sz w:val="24"/>
          <w:szCs w:val="24"/>
        </w:rPr>
      </w:pPr>
      <w:r w:rsidRPr="00AB6F58">
        <w:rPr>
          <w:sz w:val="24"/>
          <w:szCs w:val="24"/>
        </w:rPr>
        <w:t>Reconciliation process</w:t>
      </w:r>
    </w:p>
    <w:p w14:paraId="0131972C" w14:textId="314B8B6E" w:rsidR="00564C7C" w:rsidRPr="00AB6F58" w:rsidRDefault="00564C7C" w:rsidP="00A24BCC">
      <w:pPr>
        <w:pStyle w:val="Default"/>
        <w:keepNext/>
        <w:spacing w:after="120" w:line="276" w:lineRule="auto"/>
        <w:rPr>
          <w:rFonts w:ascii="Arial" w:hAnsi="Arial" w:cs="Arial"/>
        </w:rPr>
      </w:pPr>
      <w:r w:rsidRPr="00AB6F58">
        <w:rPr>
          <w:rFonts w:ascii="Arial" w:hAnsi="Arial" w:cs="Arial"/>
        </w:rPr>
        <w:t>The reconciliation process consist</w:t>
      </w:r>
      <w:r w:rsidR="003C36B1">
        <w:rPr>
          <w:rFonts w:ascii="Arial" w:hAnsi="Arial" w:cs="Arial"/>
        </w:rPr>
        <w:t>s</w:t>
      </w:r>
      <w:r w:rsidRPr="00AB6F58">
        <w:rPr>
          <w:rFonts w:ascii="Arial" w:hAnsi="Arial" w:cs="Arial"/>
        </w:rPr>
        <w:t xml:space="preserve"> of the following steps:</w:t>
      </w:r>
    </w:p>
    <w:p w14:paraId="66812722" w14:textId="77777777"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analysis of the reconciliation scope prepared by the MSG;</w:t>
      </w:r>
    </w:p>
    <w:p w14:paraId="03C72D61" w14:textId="3DCA7C66"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 xml:space="preserve">collection of payment data from </w:t>
      </w:r>
      <w:r w:rsidR="00371FAC">
        <w:rPr>
          <w:rFonts w:ascii="Arial" w:hAnsi="Arial" w:cs="Arial"/>
          <w:color w:val="auto"/>
        </w:rPr>
        <w:t>G</w:t>
      </w:r>
      <w:r w:rsidR="00371FAC" w:rsidRPr="00AB6F58">
        <w:rPr>
          <w:rFonts w:ascii="Arial" w:hAnsi="Arial" w:cs="Arial"/>
          <w:color w:val="auto"/>
        </w:rPr>
        <w:t xml:space="preserve">overnment </w:t>
      </w:r>
      <w:r w:rsidRPr="00AB6F58">
        <w:rPr>
          <w:rFonts w:ascii="Arial" w:hAnsi="Arial" w:cs="Arial"/>
          <w:color w:val="auto"/>
        </w:rPr>
        <w:t>agencies and extractive companies which provide the basis for the reconciliation;</w:t>
      </w:r>
    </w:p>
    <w:p w14:paraId="0B24A201" w14:textId="1C1332CB" w:rsidR="00564C7C" w:rsidRPr="00AB6F58" w:rsidRDefault="00564C7C" w:rsidP="00564C7C">
      <w:pPr>
        <w:pStyle w:val="Default"/>
        <w:numPr>
          <w:ilvl w:val="0"/>
          <w:numId w:val="22"/>
        </w:numPr>
        <w:spacing w:after="80" w:line="276" w:lineRule="auto"/>
        <w:ind w:left="714" w:hanging="357"/>
        <w:rPr>
          <w:rFonts w:ascii="Arial" w:hAnsi="Arial" w:cs="Arial"/>
          <w:color w:val="auto"/>
        </w:rPr>
      </w:pPr>
      <w:r w:rsidRPr="00AB6F58">
        <w:rPr>
          <w:rFonts w:ascii="Arial" w:hAnsi="Arial" w:cs="Arial"/>
          <w:color w:val="auto"/>
        </w:rPr>
        <w:t xml:space="preserve">comparison of amounts reported by </w:t>
      </w:r>
      <w:r w:rsidR="00371FAC">
        <w:rPr>
          <w:rFonts w:ascii="Arial" w:hAnsi="Arial" w:cs="Arial"/>
          <w:color w:val="auto"/>
        </w:rPr>
        <w:t>G</w:t>
      </w:r>
      <w:r w:rsidR="00371FAC" w:rsidRPr="00AB6F58">
        <w:rPr>
          <w:rFonts w:ascii="Arial" w:hAnsi="Arial" w:cs="Arial"/>
          <w:color w:val="auto"/>
        </w:rPr>
        <w:t xml:space="preserve">overnment </w:t>
      </w:r>
      <w:r w:rsidRPr="00AB6F58">
        <w:rPr>
          <w:rFonts w:ascii="Arial" w:hAnsi="Arial" w:cs="Arial"/>
          <w:color w:val="auto"/>
        </w:rPr>
        <w:t>agencies and extractive companies to determine if there were discrepancies between the two sources of information; and</w:t>
      </w:r>
    </w:p>
    <w:p w14:paraId="1767C9F2" w14:textId="27905224" w:rsidR="00564C7C" w:rsidRPr="00AB6F58" w:rsidRDefault="00564C7C" w:rsidP="00564C7C">
      <w:pPr>
        <w:pStyle w:val="Default"/>
        <w:numPr>
          <w:ilvl w:val="0"/>
          <w:numId w:val="22"/>
        </w:numPr>
        <w:spacing w:after="200" w:line="276" w:lineRule="auto"/>
        <w:ind w:left="714" w:hanging="357"/>
      </w:pPr>
      <w:r w:rsidRPr="00AB6F58">
        <w:rPr>
          <w:rFonts w:ascii="Arial" w:hAnsi="Arial" w:cs="Arial"/>
        </w:rPr>
        <w:t xml:space="preserve">contact with </w:t>
      </w:r>
      <w:r w:rsidR="00371FAC">
        <w:rPr>
          <w:rFonts w:ascii="Arial" w:hAnsi="Arial" w:cs="Arial"/>
        </w:rPr>
        <w:t>G</w:t>
      </w:r>
      <w:r w:rsidR="00371FAC" w:rsidRPr="00AB6F58">
        <w:rPr>
          <w:rFonts w:ascii="Arial" w:hAnsi="Arial" w:cs="Arial"/>
        </w:rPr>
        <w:t xml:space="preserve">overnment </w:t>
      </w:r>
      <w:r w:rsidRPr="00AB6F58">
        <w:rPr>
          <w:rFonts w:ascii="Arial" w:hAnsi="Arial" w:cs="Arial"/>
        </w:rPr>
        <w:t>agencies and extractive companies to resolve the discrepancies.</w:t>
      </w:r>
    </w:p>
    <w:p w14:paraId="03BB0AA1" w14:textId="5DEE8564" w:rsidR="00564C7C" w:rsidRPr="00AB6F58" w:rsidRDefault="00564C7C" w:rsidP="00942492">
      <w:pPr>
        <w:pStyle w:val="Heading3"/>
        <w:keepNext/>
        <w:numPr>
          <w:ilvl w:val="2"/>
          <w:numId w:val="45"/>
        </w:numPr>
        <w:spacing w:line="276" w:lineRule="auto"/>
        <w:jc w:val="left"/>
        <w:rPr>
          <w:sz w:val="24"/>
          <w:szCs w:val="24"/>
        </w:rPr>
      </w:pPr>
      <w:r w:rsidRPr="00AB6F58">
        <w:rPr>
          <w:sz w:val="24"/>
          <w:szCs w:val="24"/>
        </w:rPr>
        <w:t>Material deviation</w:t>
      </w:r>
    </w:p>
    <w:p w14:paraId="3993816E" w14:textId="6B70055E" w:rsidR="00564C7C" w:rsidRPr="00AB6F58" w:rsidRDefault="00350F0B" w:rsidP="00564C7C">
      <w:pPr>
        <w:pStyle w:val="Default"/>
        <w:spacing w:after="180" w:line="276" w:lineRule="auto"/>
        <w:rPr>
          <w:rFonts w:ascii="Arial" w:hAnsi="Arial" w:cs="Arial"/>
        </w:rPr>
      </w:pPr>
      <w:r>
        <w:rPr>
          <w:rFonts w:ascii="Arial" w:hAnsi="Arial" w:cs="Arial"/>
        </w:rPr>
        <w:t xml:space="preserve">The current approach </w:t>
      </w:r>
      <w:r w:rsidR="006F30A1">
        <w:rPr>
          <w:rFonts w:ascii="Arial" w:hAnsi="Arial" w:cs="Arial"/>
        </w:rPr>
        <w:t>of the MSG is to</w:t>
      </w:r>
      <w:r w:rsidR="00564C7C" w:rsidRPr="00AB6F58">
        <w:rPr>
          <w:rFonts w:ascii="Arial" w:hAnsi="Arial" w:cs="Arial"/>
        </w:rPr>
        <w:t xml:space="preserve"> reconcile differences for any specific company payment or for any revenue stream per company of over 1% or £10,000, whichever </w:t>
      </w:r>
      <w:r>
        <w:rPr>
          <w:rFonts w:ascii="Arial" w:hAnsi="Arial" w:cs="Arial"/>
        </w:rPr>
        <w:t>is</w:t>
      </w:r>
      <w:r w:rsidR="00564C7C" w:rsidRPr="00AB6F58">
        <w:rPr>
          <w:rFonts w:ascii="Arial" w:hAnsi="Arial" w:cs="Arial"/>
        </w:rPr>
        <w:t xml:space="preserve"> the lower.</w:t>
      </w:r>
    </w:p>
    <w:p w14:paraId="6AD9229D" w14:textId="22802AD7" w:rsidR="00564C7C" w:rsidRPr="00942492" w:rsidRDefault="00564C7C" w:rsidP="00942492">
      <w:pPr>
        <w:pStyle w:val="Heading3"/>
        <w:keepNext/>
        <w:numPr>
          <w:ilvl w:val="2"/>
          <w:numId w:val="45"/>
        </w:numPr>
        <w:spacing w:line="276" w:lineRule="auto"/>
        <w:jc w:val="left"/>
        <w:rPr>
          <w:sz w:val="24"/>
          <w:szCs w:val="24"/>
        </w:rPr>
      </w:pPr>
      <w:r w:rsidRPr="00942492">
        <w:rPr>
          <w:sz w:val="24"/>
          <w:szCs w:val="24"/>
        </w:rPr>
        <w:t>Adjustments to the EITI Reconciliation Scope</w:t>
      </w:r>
    </w:p>
    <w:p w14:paraId="2CEB78F4" w14:textId="66ABF1FD" w:rsidR="00564C7C" w:rsidRPr="00F326B5" w:rsidRDefault="001520CD" w:rsidP="00F326B5">
      <w:pPr>
        <w:spacing w:after="180" w:line="276" w:lineRule="auto"/>
        <w:rPr>
          <w:szCs w:val="24"/>
        </w:rPr>
      </w:pPr>
      <w:r w:rsidRPr="00AB6F58">
        <w:rPr>
          <w:sz w:val="26"/>
          <w:szCs w:val="26"/>
        </w:rPr>
        <w:t xml:space="preserve">The number of in-scope companies </w:t>
      </w:r>
      <w:r w:rsidR="00B119EF">
        <w:rPr>
          <w:sz w:val="26"/>
          <w:szCs w:val="26"/>
        </w:rPr>
        <w:t>may be</w:t>
      </w:r>
      <w:r w:rsidR="002C72F8" w:rsidRPr="00AB6F58">
        <w:rPr>
          <w:sz w:val="26"/>
          <w:szCs w:val="26"/>
        </w:rPr>
        <w:t xml:space="preserve"> </w:t>
      </w:r>
      <w:r w:rsidRPr="00AB6F58">
        <w:rPr>
          <w:sz w:val="26"/>
          <w:szCs w:val="26"/>
        </w:rPr>
        <w:t xml:space="preserve">adjusted </w:t>
      </w:r>
      <w:r w:rsidR="002C72F8" w:rsidRPr="00AB6F58">
        <w:rPr>
          <w:sz w:val="26"/>
          <w:szCs w:val="26"/>
        </w:rPr>
        <w:t xml:space="preserve">slightly </w:t>
      </w:r>
      <w:r w:rsidRPr="00AB6F58">
        <w:rPr>
          <w:sz w:val="26"/>
          <w:szCs w:val="26"/>
        </w:rPr>
        <w:t>during the reconciliation exercise</w:t>
      </w:r>
      <w:r w:rsidR="00187E2D">
        <w:rPr>
          <w:sz w:val="26"/>
          <w:szCs w:val="26"/>
        </w:rPr>
        <w:t xml:space="preserve"> as </w:t>
      </w:r>
      <w:r w:rsidR="00891DCE">
        <w:rPr>
          <w:sz w:val="26"/>
          <w:szCs w:val="26"/>
        </w:rPr>
        <w:t>more information on the materiality of payments emerges</w:t>
      </w:r>
      <w:r w:rsidRPr="00AB6F58">
        <w:rPr>
          <w:sz w:val="26"/>
          <w:szCs w:val="26"/>
        </w:rPr>
        <w:t>.</w:t>
      </w:r>
    </w:p>
    <w:p w14:paraId="1AC914B5" w14:textId="77777777" w:rsidR="00564C7C" w:rsidRPr="00AB6F58" w:rsidRDefault="00564C7C" w:rsidP="00D01277">
      <w:pPr>
        <w:pStyle w:val="Heading2"/>
        <w:keepLines w:val="0"/>
        <w:numPr>
          <w:ilvl w:val="1"/>
          <w:numId w:val="37"/>
        </w:numPr>
        <w:shd w:val="clear" w:color="auto" w:fill="BFBFBF"/>
        <w:tabs>
          <w:tab w:val="clear" w:pos="567"/>
        </w:tabs>
        <w:spacing w:after="180" w:line="276" w:lineRule="auto"/>
        <w:ind w:left="567" w:hanging="567"/>
        <w:rPr>
          <w:rFonts w:cs="Arial"/>
          <w:szCs w:val="24"/>
        </w:rPr>
      </w:pPr>
      <w:bookmarkStart w:id="16" w:name="_Toc478377615"/>
      <w:bookmarkStart w:id="17" w:name="_Toc513063215"/>
      <w:r w:rsidRPr="00AB6F58">
        <w:rPr>
          <w:rFonts w:cs="Arial"/>
          <w:szCs w:val="24"/>
        </w:rPr>
        <w:t>Beneficial Ownership</w:t>
      </w:r>
      <w:bookmarkEnd w:id="16"/>
      <w:bookmarkEnd w:id="17"/>
    </w:p>
    <w:p w14:paraId="2F2C2684" w14:textId="69484C53" w:rsidR="00564C7C" w:rsidRPr="00AB6F58" w:rsidRDefault="00564C7C" w:rsidP="00564C7C">
      <w:pPr>
        <w:pStyle w:val="Default"/>
        <w:spacing w:after="180" w:line="276" w:lineRule="auto"/>
        <w:rPr>
          <w:rFonts w:ascii="Arial" w:hAnsi="Arial" w:cs="Arial"/>
        </w:rPr>
      </w:pPr>
      <w:r w:rsidRPr="00AB6F58">
        <w:rPr>
          <w:rFonts w:ascii="Arial" w:hAnsi="Arial" w:cs="Arial"/>
        </w:rPr>
        <w:t xml:space="preserve">The UK EITI MSG agreed to incorporate beneficial ownership (BO) disclosure from the first report and as an ongoing reporting requirement. Accordingly, companies reporting under the UK EITI </w:t>
      </w:r>
      <w:r w:rsidR="005B6F91">
        <w:rPr>
          <w:rFonts w:ascii="Arial" w:hAnsi="Arial" w:cs="Arial"/>
        </w:rPr>
        <w:t>are</w:t>
      </w:r>
      <w:r w:rsidRPr="00AB6F58">
        <w:rPr>
          <w:rFonts w:ascii="Arial" w:hAnsi="Arial" w:cs="Arial"/>
        </w:rPr>
        <w:t xml:space="preserve"> asked to disclose their beneficial owners, that is, the identity of the people who ultimately own and control each company.</w:t>
      </w:r>
    </w:p>
    <w:p w14:paraId="4BCE69B9" w14:textId="42A30E04" w:rsidR="00564C7C" w:rsidRPr="00AB6F58" w:rsidRDefault="00564C7C" w:rsidP="00564C7C">
      <w:pPr>
        <w:pStyle w:val="Default"/>
        <w:spacing w:after="180" w:line="276" w:lineRule="auto"/>
        <w:rPr>
          <w:rFonts w:ascii="Arial" w:hAnsi="Arial" w:cs="Arial"/>
        </w:rPr>
      </w:pPr>
      <w:r w:rsidRPr="00AB6F58">
        <w:rPr>
          <w:rFonts w:ascii="Arial" w:hAnsi="Arial" w:cs="Arial"/>
        </w:rPr>
        <w:t>The approach to BO for UK EITI is aligned with the related provisions of the Small Business, Enterprise and Employment Act 2015.</w:t>
      </w:r>
      <w:r w:rsidRPr="00AB6F58">
        <w:rPr>
          <w:rFonts w:ascii="Arial" w:hAnsi="Arial" w:cs="Arial"/>
          <w:vertAlign w:val="superscript"/>
        </w:rPr>
        <w:footnoteReference w:id="3"/>
      </w:r>
      <w:r w:rsidRPr="00AB6F58">
        <w:rPr>
          <w:rFonts w:ascii="Arial" w:hAnsi="Arial" w:cs="Arial"/>
        </w:rPr>
        <w:t xml:space="preserve"> Since 30 June 2016, companies incorporated in the UK are required to submit information to Companies House on people with significant control (PSC) along with a statement of confirmation.</w:t>
      </w:r>
      <w:r w:rsidRPr="00AB6F58">
        <w:rPr>
          <w:rFonts w:ascii="Arial" w:hAnsi="Arial" w:cs="Arial"/>
          <w:vertAlign w:val="superscript"/>
        </w:rPr>
        <w:footnoteReference w:id="4"/>
      </w:r>
      <w:r w:rsidRPr="00AB6F58">
        <w:rPr>
          <w:rFonts w:ascii="Arial" w:hAnsi="Arial" w:cs="Arial"/>
        </w:rPr>
        <w:t xml:space="preserve"> Under the UK EITI, companies that have filed this information at Companies House were permitted to confirm their filing and provide the link to the relevant page at Companies House as a way of disclosing Beneficial Ownership.</w:t>
      </w:r>
    </w:p>
    <w:p w14:paraId="48BABAE5" w14:textId="15A4FBB9" w:rsidR="00564C7C" w:rsidRPr="00AB6F58" w:rsidRDefault="00564C7C" w:rsidP="00564C7C">
      <w:pPr>
        <w:pStyle w:val="Default"/>
        <w:spacing w:after="180" w:line="276" w:lineRule="auto"/>
        <w:rPr>
          <w:rFonts w:ascii="Arial" w:hAnsi="Arial" w:cs="Arial"/>
        </w:rPr>
      </w:pPr>
      <w:r w:rsidRPr="00AB6F58">
        <w:rPr>
          <w:rFonts w:ascii="Arial" w:hAnsi="Arial" w:cs="Arial"/>
        </w:rPr>
        <w:t xml:space="preserve">Publicly listed companies </w:t>
      </w:r>
      <w:r w:rsidR="007C4DAA">
        <w:rPr>
          <w:rFonts w:ascii="Arial" w:hAnsi="Arial" w:cs="Arial"/>
        </w:rPr>
        <w:t>are</w:t>
      </w:r>
      <w:r w:rsidRPr="00AB6F58">
        <w:rPr>
          <w:rFonts w:ascii="Arial" w:hAnsi="Arial" w:cs="Arial"/>
        </w:rPr>
        <w:t xml:space="preserve"> asked to confirm their listed status, because they are already required to provide ownership information under stock exchange requirements. Private companies are asked to identify the owners who exercise control or receive economic benefits from the company. This control or benefit could be represented by owners having shareholdings of 25% or more or be exercised through one or more intermediary companies (trusts or company partners) or by other means.</w:t>
      </w:r>
    </w:p>
    <w:p w14:paraId="3EA0B11E" w14:textId="77777777" w:rsidR="00564C7C" w:rsidRPr="00AB6F58" w:rsidRDefault="00564C7C" w:rsidP="00564C7C">
      <w:pPr>
        <w:pStyle w:val="Default"/>
        <w:spacing w:after="180" w:line="276" w:lineRule="auto"/>
        <w:rPr>
          <w:rFonts w:ascii="Arial" w:hAnsi="Arial" w:cs="Arial"/>
        </w:rPr>
      </w:pPr>
      <w:r w:rsidRPr="00AB6F58">
        <w:rPr>
          <w:rFonts w:ascii="Arial" w:hAnsi="Arial" w:cs="Arial"/>
        </w:rPr>
        <w:t>Private companies are also asked to disclose information on any owners who are identified as “politically exposed”, i.e. have political influence, or who, as family members or close associates, have links to senior political figures or government officials in the UK or abroad, and who have a share of 5% or more in the company. A senior company official is required to verify the information provided.</w:t>
      </w:r>
    </w:p>
    <w:p w14:paraId="44315C84" w14:textId="77777777" w:rsidR="006306CA" w:rsidRPr="00AB6F58" w:rsidRDefault="00374A42" w:rsidP="00942492">
      <w:pPr>
        <w:pStyle w:val="Heading2"/>
        <w:keepLines w:val="0"/>
        <w:numPr>
          <w:ilvl w:val="1"/>
          <w:numId w:val="37"/>
        </w:numPr>
        <w:shd w:val="clear" w:color="auto" w:fill="BFBFBF"/>
        <w:tabs>
          <w:tab w:val="clear" w:pos="567"/>
        </w:tabs>
        <w:spacing w:after="180" w:line="276" w:lineRule="auto"/>
        <w:ind w:left="567" w:hanging="567"/>
        <w:rPr>
          <w:rFonts w:cs="Arial"/>
          <w:szCs w:val="24"/>
        </w:rPr>
      </w:pPr>
      <w:bookmarkStart w:id="18" w:name="_Toc513063216"/>
      <w:r w:rsidRPr="00AB6F58">
        <w:rPr>
          <w:rFonts w:cs="Arial"/>
          <w:szCs w:val="24"/>
        </w:rPr>
        <w:t>Nature and extent of IA work</w:t>
      </w:r>
      <w:bookmarkEnd w:id="18"/>
    </w:p>
    <w:p w14:paraId="34B7168F" w14:textId="5C58B001" w:rsidR="006306CA" w:rsidRPr="00AB6F58" w:rsidRDefault="006306CA" w:rsidP="006306CA">
      <w:pPr>
        <w:spacing w:after="180" w:line="276" w:lineRule="auto"/>
        <w:rPr>
          <w:szCs w:val="24"/>
        </w:rPr>
      </w:pPr>
      <w:bookmarkStart w:id="19" w:name="_Toc478377616"/>
      <w:r w:rsidRPr="00AB6F58">
        <w:rPr>
          <w:szCs w:val="24"/>
        </w:rPr>
        <w:t xml:space="preserve">The IA performed </w:t>
      </w:r>
      <w:r w:rsidR="008C32DE">
        <w:rPr>
          <w:szCs w:val="24"/>
        </w:rPr>
        <w:t>that role</w:t>
      </w:r>
      <w:r w:rsidRPr="00AB6F58">
        <w:rPr>
          <w:szCs w:val="24"/>
        </w:rPr>
        <w:t xml:space="preserve"> in accordance with the International Auditing Standards applicable to related services (ISRS 4400 Engagements to perform agreed upon procedures regarding Financial Information). </w:t>
      </w:r>
    </w:p>
    <w:p w14:paraId="0660A579" w14:textId="6FA8C31B" w:rsidR="00564C7C" w:rsidRPr="00AB6F58" w:rsidRDefault="006306CA" w:rsidP="00F94E9B">
      <w:pPr>
        <w:spacing w:after="180" w:line="276" w:lineRule="auto"/>
        <w:rPr>
          <w:szCs w:val="24"/>
        </w:rPr>
      </w:pPr>
      <w:r w:rsidRPr="00AB6F58">
        <w:rPr>
          <w:szCs w:val="24"/>
        </w:rPr>
        <w:t xml:space="preserve">The reconciliation procedures carried out </w:t>
      </w:r>
      <w:r w:rsidR="00AC7207">
        <w:rPr>
          <w:szCs w:val="24"/>
        </w:rPr>
        <w:t>are</w:t>
      </w:r>
      <w:r w:rsidRPr="00AB6F58">
        <w:rPr>
          <w:szCs w:val="24"/>
        </w:rPr>
        <w:t xml:space="preserve"> not designed to constitute an audit or review in accordance with International Standards on Auditing or International Standards on Review Engagements and as a result the IA does not express any assurance on the transactions beyond the explicit statements set out in </w:t>
      </w:r>
      <w:r w:rsidR="00633997">
        <w:rPr>
          <w:szCs w:val="24"/>
        </w:rPr>
        <w:t>reconciliation reports</w:t>
      </w:r>
      <w:r w:rsidRPr="00AB6F58">
        <w:rPr>
          <w:szCs w:val="24"/>
        </w:rPr>
        <w:t xml:space="preserve">. </w:t>
      </w:r>
      <w:bookmarkEnd w:id="19"/>
    </w:p>
    <w:p w14:paraId="44B8C070" w14:textId="60B87330" w:rsidR="00564C7C" w:rsidRDefault="00564C7C" w:rsidP="00374A42">
      <w:pPr>
        <w:pStyle w:val="Default"/>
        <w:spacing w:after="240" w:line="276" w:lineRule="auto"/>
        <w:rPr>
          <w:rFonts w:ascii="Arial" w:hAnsi="Arial" w:cs="Arial"/>
        </w:rPr>
      </w:pPr>
      <w:r w:rsidRPr="00AB6F58">
        <w:rPr>
          <w:rFonts w:ascii="Arial" w:hAnsi="Arial" w:cs="Arial"/>
        </w:rPr>
        <w:t>The IA provide</w:t>
      </w:r>
      <w:r w:rsidR="00A5240B">
        <w:rPr>
          <w:rFonts w:ascii="Arial" w:hAnsi="Arial" w:cs="Arial"/>
        </w:rPr>
        <w:t>s</w:t>
      </w:r>
      <w:r w:rsidRPr="00AB6F58">
        <w:rPr>
          <w:rFonts w:ascii="Arial" w:hAnsi="Arial" w:cs="Arial"/>
        </w:rPr>
        <w:t xml:space="preserve"> recommendations where they note deviations from the EITI 2016 Standard or where they fe</w:t>
      </w:r>
      <w:r w:rsidR="007D4EFA">
        <w:rPr>
          <w:rFonts w:ascii="Arial" w:hAnsi="Arial" w:cs="Arial"/>
        </w:rPr>
        <w:t>e</w:t>
      </w:r>
      <w:r w:rsidRPr="00AB6F58">
        <w:rPr>
          <w:rFonts w:ascii="Arial" w:hAnsi="Arial" w:cs="Arial"/>
        </w:rPr>
        <w:t xml:space="preserve">l improvements </w:t>
      </w:r>
      <w:r w:rsidR="007D4EFA">
        <w:rPr>
          <w:rFonts w:ascii="Arial" w:hAnsi="Arial" w:cs="Arial"/>
        </w:rPr>
        <w:t>c</w:t>
      </w:r>
      <w:r w:rsidRPr="00AB6F58">
        <w:rPr>
          <w:rFonts w:ascii="Arial" w:hAnsi="Arial" w:cs="Arial"/>
        </w:rPr>
        <w:t>ould make the UK EITI reporting process more efficient and assist the MSG in its future reconciliation exercises.</w:t>
      </w:r>
      <w:r w:rsidR="00374A42" w:rsidRPr="00AB6F58">
        <w:rPr>
          <w:rFonts w:ascii="Arial" w:hAnsi="Arial" w:cs="Arial"/>
        </w:rPr>
        <w:t xml:space="preserve"> </w:t>
      </w:r>
      <w:r w:rsidRPr="00AB6F58">
        <w:rPr>
          <w:rFonts w:ascii="Arial" w:hAnsi="Arial" w:cs="Arial"/>
        </w:rPr>
        <w:t>The</w:t>
      </w:r>
      <w:r w:rsidR="007D4EFA">
        <w:rPr>
          <w:rFonts w:ascii="Arial" w:hAnsi="Arial" w:cs="Arial"/>
        </w:rPr>
        <w:t>se</w:t>
      </w:r>
      <w:r w:rsidRPr="00AB6F58">
        <w:rPr>
          <w:rFonts w:ascii="Arial" w:hAnsi="Arial" w:cs="Arial"/>
        </w:rPr>
        <w:t xml:space="preserve"> recommendations are </w:t>
      </w:r>
      <w:r w:rsidR="00006060">
        <w:rPr>
          <w:rFonts w:ascii="Arial" w:hAnsi="Arial" w:cs="Arial"/>
        </w:rPr>
        <w:t>catalogued and addressed in the MSG’s Annual Progress Report</w:t>
      </w:r>
      <w:r w:rsidR="009B082C">
        <w:rPr>
          <w:rFonts w:ascii="Arial" w:hAnsi="Arial" w:cs="Arial"/>
        </w:rPr>
        <w:t>s</w:t>
      </w:r>
      <w:r w:rsidR="00474094">
        <w:rPr>
          <w:rFonts w:ascii="Arial" w:hAnsi="Arial" w:cs="Arial"/>
        </w:rPr>
        <w:t>.</w:t>
      </w:r>
    </w:p>
    <w:p w14:paraId="49F78106" w14:textId="7F868101" w:rsidR="00C67F37" w:rsidRDefault="00C67F37" w:rsidP="00374A42">
      <w:pPr>
        <w:pStyle w:val="Default"/>
        <w:spacing w:after="240" w:line="276" w:lineRule="auto"/>
        <w:rPr>
          <w:rFonts w:ascii="Arial" w:hAnsi="Arial" w:cs="Arial"/>
        </w:rPr>
      </w:pPr>
    </w:p>
    <w:p w14:paraId="4479E1E4" w14:textId="12DBBEAC" w:rsidR="00472329" w:rsidRDefault="00472329" w:rsidP="00374A42">
      <w:pPr>
        <w:pStyle w:val="Default"/>
        <w:spacing w:after="240" w:line="276" w:lineRule="auto"/>
        <w:rPr>
          <w:rFonts w:ascii="Arial" w:hAnsi="Arial" w:cs="Arial"/>
        </w:rPr>
      </w:pPr>
    </w:p>
    <w:p w14:paraId="7CEF4F81" w14:textId="77777777" w:rsidR="00472329" w:rsidRPr="008C4F82" w:rsidRDefault="00472329" w:rsidP="00472329">
      <w:pPr>
        <w:pStyle w:val="Heading1"/>
        <w:keepNext w:val="0"/>
        <w:keepLines w:val="0"/>
        <w:pageBreakBefore/>
        <w:shd w:val="clear" w:color="auto" w:fill="1F4E79"/>
        <w:tabs>
          <w:tab w:val="clear" w:pos="567"/>
        </w:tabs>
        <w:spacing w:line="276" w:lineRule="auto"/>
        <w:rPr>
          <w:rFonts w:cs="Arial"/>
          <w:szCs w:val="24"/>
          <w:lang w:val="en-GB"/>
        </w:rPr>
      </w:pPr>
      <w:r>
        <w:rPr>
          <w:rFonts w:cs="Arial"/>
          <w:szCs w:val="24"/>
          <w:lang w:val="en-GB"/>
        </w:rPr>
        <w:t xml:space="preserve">Glossary of abbreviations for </w:t>
      </w:r>
      <w:r w:rsidRPr="009C3CE5">
        <w:rPr>
          <w:rFonts w:cs="Arial"/>
          <w:szCs w:val="24"/>
          <w:lang w:val="en-GB"/>
        </w:rPr>
        <w:t>APPROACH AND METHODOLOGY</w:t>
      </w:r>
    </w:p>
    <w:p w14:paraId="03CA13D5" w14:textId="77777777" w:rsidR="00472329" w:rsidRDefault="00472329" w:rsidP="00472329">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042"/>
        <w:gridCol w:w="7985"/>
      </w:tblGrid>
      <w:tr w:rsidR="00472329" w:rsidRPr="005F55B6" w14:paraId="373CDBEB" w14:textId="77777777" w:rsidTr="00797A43">
        <w:trPr>
          <w:trHeight w:val="340"/>
        </w:trPr>
        <w:tc>
          <w:tcPr>
            <w:tcW w:w="577" w:type="pct"/>
            <w:tcBorders>
              <w:top w:val="nil"/>
              <w:left w:val="nil"/>
              <w:bottom w:val="nil"/>
              <w:right w:val="nil"/>
            </w:tcBorders>
            <w:shd w:val="clear" w:color="000000" w:fill="BDD7EE"/>
            <w:vAlign w:val="center"/>
            <w:hideMark/>
          </w:tcPr>
          <w:p w14:paraId="7A67918A"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APRT</w:t>
            </w:r>
          </w:p>
        </w:tc>
        <w:tc>
          <w:tcPr>
            <w:tcW w:w="4423" w:type="pct"/>
            <w:tcBorders>
              <w:top w:val="nil"/>
              <w:left w:val="nil"/>
              <w:bottom w:val="nil"/>
              <w:right w:val="nil"/>
            </w:tcBorders>
            <w:shd w:val="clear" w:color="000000" w:fill="BDD7EE"/>
            <w:vAlign w:val="center"/>
            <w:hideMark/>
          </w:tcPr>
          <w:p w14:paraId="7247600E"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Advance Petroleum Revenue Tax</w:t>
            </w:r>
          </w:p>
        </w:tc>
      </w:tr>
      <w:tr w:rsidR="00472329" w:rsidRPr="005F55B6" w14:paraId="5E898473" w14:textId="77777777" w:rsidTr="00797A43">
        <w:trPr>
          <w:trHeight w:val="340"/>
        </w:trPr>
        <w:tc>
          <w:tcPr>
            <w:tcW w:w="577" w:type="pct"/>
            <w:tcBorders>
              <w:top w:val="nil"/>
              <w:left w:val="nil"/>
              <w:bottom w:val="nil"/>
              <w:right w:val="nil"/>
            </w:tcBorders>
            <w:shd w:val="clear" w:color="auto" w:fill="auto"/>
            <w:vAlign w:val="center"/>
            <w:hideMark/>
          </w:tcPr>
          <w:p w14:paraId="34CD9054"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BO</w:t>
            </w:r>
          </w:p>
        </w:tc>
        <w:tc>
          <w:tcPr>
            <w:tcW w:w="4423" w:type="pct"/>
            <w:tcBorders>
              <w:top w:val="nil"/>
              <w:left w:val="nil"/>
              <w:bottom w:val="nil"/>
              <w:right w:val="nil"/>
            </w:tcBorders>
            <w:shd w:val="clear" w:color="auto" w:fill="auto"/>
            <w:vAlign w:val="center"/>
            <w:hideMark/>
          </w:tcPr>
          <w:p w14:paraId="4D26A4B5" w14:textId="77777777" w:rsidR="00472329" w:rsidRPr="005F55B6" w:rsidRDefault="00472329" w:rsidP="00797A43">
            <w:pPr>
              <w:rPr>
                <w:rFonts w:eastAsia="Times New Roman"/>
                <w:color w:val="000000"/>
                <w:sz w:val="18"/>
                <w:szCs w:val="18"/>
                <w:lang w:val="fr-FR" w:eastAsia="fr-FR"/>
              </w:rPr>
            </w:pPr>
            <w:proofErr w:type="spellStart"/>
            <w:r w:rsidRPr="005F55B6">
              <w:rPr>
                <w:rFonts w:eastAsia="Times New Roman"/>
                <w:color w:val="000000"/>
                <w:sz w:val="18"/>
                <w:szCs w:val="18"/>
                <w:lang w:val="fr-FR" w:eastAsia="fr-FR"/>
              </w:rPr>
              <w:t>Beneficial</w:t>
            </w:r>
            <w:proofErr w:type="spellEnd"/>
            <w:r w:rsidRPr="005F55B6">
              <w:rPr>
                <w:rFonts w:eastAsia="Times New Roman"/>
                <w:color w:val="000000"/>
                <w:sz w:val="18"/>
                <w:szCs w:val="18"/>
                <w:lang w:val="fr-FR" w:eastAsia="fr-FR"/>
              </w:rPr>
              <w:t xml:space="preserve"> </w:t>
            </w:r>
            <w:proofErr w:type="spellStart"/>
            <w:r w:rsidRPr="005F55B6">
              <w:rPr>
                <w:rFonts w:eastAsia="Times New Roman"/>
                <w:color w:val="000000"/>
                <w:sz w:val="18"/>
                <w:szCs w:val="18"/>
                <w:lang w:val="fr-FR" w:eastAsia="fr-FR"/>
              </w:rPr>
              <w:t>ownership</w:t>
            </w:r>
            <w:proofErr w:type="spellEnd"/>
          </w:p>
        </w:tc>
      </w:tr>
      <w:tr w:rsidR="00472329" w:rsidRPr="005F55B6" w14:paraId="676586D4" w14:textId="77777777" w:rsidTr="00797A43">
        <w:trPr>
          <w:trHeight w:val="340"/>
        </w:trPr>
        <w:tc>
          <w:tcPr>
            <w:tcW w:w="577" w:type="pct"/>
            <w:tcBorders>
              <w:top w:val="nil"/>
              <w:left w:val="nil"/>
              <w:bottom w:val="nil"/>
              <w:right w:val="nil"/>
            </w:tcBorders>
            <w:shd w:val="clear" w:color="000000" w:fill="BDD7EE"/>
            <w:vAlign w:val="center"/>
            <w:hideMark/>
          </w:tcPr>
          <w:p w14:paraId="5CAB21AB"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CES</w:t>
            </w:r>
          </w:p>
        </w:tc>
        <w:tc>
          <w:tcPr>
            <w:tcW w:w="4423" w:type="pct"/>
            <w:tcBorders>
              <w:top w:val="nil"/>
              <w:left w:val="nil"/>
              <w:bottom w:val="nil"/>
              <w:right w:val="nil"/>
            </w:tcBorders>
            <w:shd w:val="clear" w:color="000000" w:fill="BDD7EE"/>
            <w:vAlign w:val="center"/>
            <w:hideMark/>
          </w:tcPr>
          <w:p w14:paraId="2C377A8F"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Crown </w:t>
            </w:r>
            <w:proofErr w:type="spellStart"/>
            <w:r w:rsidRPr="005F55B6">
              <w:rPr>
                <w:rFonts w:eastAsia="Times New Roman"/>
                <w:color w:val="000000"/>
                <w:sz w:val="18"/>
                <w:szCs w:val="18"/>
                <w:lang w:val="fr-FR" w:eastAsia="fr-FR"/>
              </w:rPr>
              <w:t>Estate</w:t>
            </w:r>
            <w:proofErr w:type="spellEnd"/>
            <w:r w:rsidRPr="005F55B6">
              <w:rPr>
                <w:rFonts w:eastAsia="Times New Roman"/>
                <w:color w:val="000000"/>
                <w:sz w:val="18"/>
                <w:szCs w:val="18"/>
                <w:lang w:val="fr-FR" w:eastAsia="fr-FR"/>
              </w:rPr>
              <w:t xml:space="preserve"> Scotland </w:t>
            </w:r>
          </w:p>
        </w:tc>
      </w:tr>
      <w:tr w:rsidR="00472329" w:rsidRPr="005F55B6" w14:paraId="3261C93F" w14:textId="77777777" w:rsidTr="00797A43">
        <w:trPr>
          <w:trHeight w:val="340"/>
        </w:trPr>
        <w:tc>
          <w:tcPr>
            <w:tcW w:w="577" w:type="pct"/>
            <w:tcBorders>
              <w:top w:val="nil"/>
              <w:left w:val="nil"/>
              <w:bottom w:val="nil"/>
              <w:right w:val="nil"/>
            </w:tcBorders>
            <w:shd w:val="clear" w:color="auto" w:fill="auto"/>
            <w:vAlign w:val="center"/>
            <w:hideMark/>
          </w:tcPr>
          <w:p w14:paraId="3CF26CC6"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CT</w:t>
            </w:r>
          </w:p>
        </w:tc>
        <w:tc>
          <w:tcPr>
            <w:tcW w:w="4423" w:type="pct"/>
            <w:tcBorders>
              <w:top w:val="nil"/>
              <w:left w:val="nil"/>
              <w:bottom w:val="nil"/>
              <w:right w:val="nil"/>
            </w:tcBorders>
            <w:shd w:val="clear" w:color="auto" w:fill="auto"/>
            <w:vAlign w:val="center"/>
            <w:hideMark/>
          </w:tcPr>
          <w:p w14:paraId="3B43C823"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Corporation Tax</w:t>
            </w:r>
          </w:p>
        </w:tc>
      </w:tr>
      <w:tr w:rsidR="00472329" w:rsidRPr="005F55B6" w14:paraId="0C2345F9" w14:textId="77777777" w:rsidTr="00797A43">
        <w:trPr>
          <w:trHeight w:val="340"/>
        </w:trPr>
        <w:tc>
          <w:tcPr>
            <w:tcW w:w="577" w:type="pct"/>
            <w:tcBorders>
              <w:top w:val="nil"/>
              <w:left w:val="nil"/>
              <w:bottom w:val="nil"/>
              <w:right w:val="nil"/>
            </w:tcBorders>
            <w:shd w:val="clear" w:color="000000" w:fill="BDD7EE"/>
            <w:vAlign w:val="center"/>
            <w:hideMark/>
          </w:tcPr>
          <w:p w14:paraId="6C724A41"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EITI</w:t>
            </w:r>
          </w:p>
        </w:tc>
        <w:tc>
          <w:tcPr>
            <w:tcW w:w="4423" w:type="pct"/>
            <w:tcBorders>
              <w:top w:val="nil"/>
              <w:left w:val="nil"/>
              <w:bottom w:val="nil"/>
              <w:right w:val="nil"/>
            </w:tcBorders>
            <w:shd w:val="clear" w:color="000000" w:fill="BDD7EE"/>
            <w:vAlign w:val="center"/>
            <w:hideMark/>
          </w:tcPr>
          <w:p w14:paraId="77978DAE"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Extractive Industries Transparency Initiative</w:t>
            </w:r>
          </w:p>
        </w:tc>
      </w:tr>
      <w:tr w:rsidR="00472329" w:rsidRPr="005F55B6" w14:paraId="6C92021F" w14:textId="77777777" w:rsidTr="00797A43">
        <w:trPr>
          <w:trHeight w:val="340"/>
        </w:trPr>
        <w:tc>
          <w:tcPr>
            <w:tcW w:w="577" w:type="pct"/>
            <w:tcBorders>
              <w:top w:val="nil"/>
              <w:left w:val="nil"/>
              <w:bottom w:val="nil"/>
              <w:right w:val="nil"/>
            </w:tcBorders>
            <w:shd w:val="clear" w:color="auto" w:fill="auto"/>
            <w:vAlign w:val="center"/>
            <w:hideMark/>
          </w:tcPr>
          <w:p w14:paraId="40401B60"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EU</w:t>
            </w:r>
          </w:p>
        </w:tc>
        <w:tc>
          <w:tcPr>
            <w:tcW w:w="4423" w:type="pct"/>
            <w:tcBorders>
              <w:top w:val="nil"/>
              <w:left w:val="nil"/>
              <w:bottom w:val="nil"/>
              <w:right w:val="nil"/>
            </w:tcBorders>
            <w:shd w:val="clear" w:color="auto" w:fill="auto"/>
            <w:vAlign w:val="center"/>
            <w:hideMark/>
          </w:tcPr>
          <w:p w14:paraId="76671B5F" w14:textId="77777777" w:rsidR="00472329" w:rsidRPr="005F55B6" w:rsidRDefault="00472329" w:rsidP="00797A43">
            <w:pPr>
              <w:rPr>
                <w:rFonts w:eastAsia="Times New Roman"/>
                <w:color w:val="000000"/>
                <w:sz w:val="18"/>
                <w:szCs w:val="18"/>
                <w:lang w:val="fr-FR" w:eastAsia="fr-FR"/>
              </w:rPr>
            </w:pPr>
            <w:proofErr w:type="spellStart"/>
            <w:r w:rsidRPr="005F55B6">
              <w:rPr>
                <w:rFonts w:eastAsia="Times New Roman"/>
                <w:color w:val="000000"/>
                <w:sz w:val="18"/>
                <w:szCs w:val="18"/>
                <w:lang w:val="fr-FR" w:eastAsia="fr-FR"/>
              </w:rPr>
              <w:t>European</w:t>
            </w:r>
            <w:proofErr w:type="spellEnd"/>
            <w:r w:rsidRPr="005F55B6">
              <w:rPr>
                <w:rFonts w:eastAsia="Times New Roman"/>
                <w:color w:val="000000"/>
                <w:sz w:val="18"/>
                <w:szCs w:val="18"/>
                <w:lang w:val="fr-FR" w:eastAsia="fr-FR"/>
              </w:rPr>
              <w:t xml:space="preserve"> Union</w:t>
            </w:r>
          </w:p>
        </w:tc>
      </w:tr>
      <w:tr w:rsidR="00472329" w:rsidRPr="005F55B6" w14:paraId="12249DFC" w14:textId="77777777" w:rsidTr="00797A43">
        <w:trPr>
          <w:trHeight w:val="340"/>
        </w:trPr>
        <w:tc>
          <w:tcPr>
            <w:tcW w:w="577" w:type="pct"/>
            <w:tcBorders>
              <w:top w:val="nil"/>
              <w:left w:val="nil"/>
              <w:bottom w:val="nil"/>
              <w:right w:val="nil"/>
            </w:tcBorders>
            <w:shd w:val="clear" w:color="000000" w:fill="BDD7EE"/>
            <w:vAlign w:val="center"/>
            <w:hideMark/>
          </w:tcPr>
          <w:p w14:paraId="38684DC8"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GPA</w:t>
            </w:r>
          </w:p>
        </w:tc>
        <w:tc>
          <w:tcPr>
            <w:tcW w:w="4423" w:type="pct"/>
            <w:tcBorders>
              <w:top w:val="nil"/>
              <w:left w:val="nil"/>
              <w:bottom w:val="nil"/>
              <w:right w:val="nil"/>
            </w:tcBorders>
            <w:shd w:val="clear" w:color="000000" w:fill="BDD7EE"/>
            <w:vAlign w:val="center"/>
            <w:hideMark/>
          </w:tcPr>
          <w:p w14:paraId="147CC880"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Group </w:t>
            </w:r>
            <w:proofErr w:type="spellStart"/>
            <w:r w:rsidRPr="005F55B6">
              <w:rPr>
                <w:rFonts w:eastAsia="Times New Roman"/>
                <w:color w:val="000000"/>
                <w:sz w:val="18"/>
                <w:szCs w:val="18"/>
                <w:lang w:val="fr-FR" w:eastAsia="fr-FR"/>
              </w:rPr>
              <w:t>Payment</w:t>
            </w:r>
            <w:proofErr w:type="spellEnd"/>
            <w:r w:rsidRPr="005F55B6">
              <w:rPr>
                <w:rFonts w:eastAsia="Times New Roman"/>
                <w:color w:val="000000"/>
                <w:sz w:val="18"/>
                <w:szCs w:val="18"/>
                <w:lang w:val="fr-FR" w:eastAsia="fr-FR"/>
              </w:rPr>
              <w:t xml:space="preserve"> Arrangement</w:t>
            </w:r>
          </w:p>
        </w:tc>
      </w:tr>
      <w:tr w:rsidR="00472329" w:rsidRPr="005F55B6" w14:paraId="1E54E3A0" w14:textId="77777777" w:rsidTr="00797A43">
        <w:trPr>
          <w:trHeight w:val="340"/>
        </w:trPr>
        <w:tc>
          <w:tcPr>
            <w:tcW w:w="577" w:type="pct"/>
            <w:tcBorders>
              <w:top w:val="nil"/>
              <w:left w:val="nil"/>
              <w:bottom w:val="nil"/>
              <w:right w:val="nil"/>
            </w:tcBorders>
            <w:shd w:val="clear" w:color="auto" w:fill="auto"/>
            <w:vAlign w:val="center"/>
            <w:hideMark/>
          </w:tcPr>
          <w:p w14:paraId="21CD8AF7"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HM</w:t>
            </w:r>
          </w:p>
        </w:tc>
        <w:tc>
          <w:tcPr>
            <w:tcW w:w="4423" w:type="pct"/>
            <w:tcBorders>
              <w:top w:val="nil"/>
              <w:left w:val="nil"/>
              <w:bottom w:val="nil"/>
              <w:right w:val="nil"/>
            </w:tcBorders>
            <w:shd w:val="clear" w:color="auto" w:fill="auto"/>
            <w:vAlign w:val="center"/>
            <w:hideMark/>
          </w:tcPr>
          <w:p w14:paraId="6558E4F8"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Her </w:t>
            </w:r>
            <w:proofErr w:type="spellStart"/>
            <w:r w:rsidRPr="005F55B6">
              <w:rPr>
                <w:rFonts w:eastAsia="Times New Roman"/>
                <w:color w:val="000000"/>
                <w:sz w:val="18"/>
                <w:szCs w:val="18"/>
                <w:lang w:val="fr-FR" w:eastAsia="fr-FR"/>
              </w:rPr>
              <w:t>Majesty’s</w:t>
            </w:r>
            <w:proofErr w:type="spellEnd"/>
          </w:p>
        </w:tc>
      </w:tr>
      <w:tr w:rsidR="00472329" w:rsidRPr="005F55B6" w14:paraId="67060AE6" w14:textId="77777777" w:rsidTr="00797A43">
        <w:trPr>
          <w:trHeight w:val="340"/>
        </w:trPr>
        <w:tc>
          <w:tcPr>
            <w:tcW w:w="577" w:type="pct"/>
            <w:tcBorders>
              <w:top w:val="nil"/>
              <w:left w:val="nil"/>
              <w:bottom w:val="nil"/>
              <w:right w:val="nil"/>
            </w:tcBorders>
            <w:shd w:val="clear" w:color="000000" w:fill="BDD7EE"/>
            <w:vAlign w:val="center"/>
            <w:hideMark/>
          </w:tcPr>
          <w:p w14:paraId="39AD2952"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HMRC</w:t>
            </w:r>
          </w:p>
        </w:tc>
        <w:tc>
          <w:tcPr>
            <w:tcW w:w="4423" w:type="pct"/>
            <w:tcBorders>
              <w:top w:val="nil"/>
              <w:left w:val="nil"/>
              <w:bottom w:val="nil"/>
              <w:right w:val="nil"/>
            </w:tcBorders>
            <w:shd w:val="clear" w:color="000000" w:fill="BDD7EE"/>
            <w:vAlign w:val="center"/>
            <w:hideMark/>
          </w:tcPr>
          <w:p w14:paraId="43171178"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Her </w:t>
            </w:r>
            <w:proofErr w:type="spellStart"/>
            <w:r w:rsidRPr="005F55B6">
              <w:rPr>
                <w:rFonts w:eastAsia="Times New Roman"/>
                <w:color w:val="000000"/>
                <w:sz w:val="18"/>
                <w:szCs w:val="18"/>
                <w:lang w:val="fr-FR" w:eastAsia="fr-FR"/>
              </w:rPr>
              <w:t>Majesty’s</w:t>
            </w:r>
            <w:proofErr w:type="spellEnd"/>
            <w:r w:rsidRPr="005F55B6">
              <w:rPr>
                <w:rFonts w:eastAsia="Times New Roman"/>
                <w:color w:val="000000"/>
                <w:sz w:val="18"/>
                <w:szCs w:val="18"/>
                <w:lang w:val="fr-FR" w:eastAsia="fr-FR"/>
              </w:rPr>
              <w:t xml:space="preserve"> Revenue &amp; Customs</w:t>
            </w:r>
          </w:p>
        </w:tc>
      </w:tr>
      <w:tr w:rsidR="00472329" w:rsidRPr="005F55B6" w14:paraId="355E66D5" w14:textId="77777777" w:rsidTr="00797A43">
        <w:trPr>
          <w:trHeight w:val="340"/>
        </w:trPr>
        <w:tc>
          <w:tcPr>
            <w:tcW w:w="577" w:type="pct"/>
            <w:tcBorders>
              <w:top w:val="nil"/>
              <w:left w:val="nil"/>
              <w:bottom w:val="nil"/>
              <w:right w:val="nil"/>
            </w:tcBorders>
            <w:shd w:val="clear" w:color="auto" w:fill="auto"/>
            <w:vAlign w:val="center"/>
            <w:hideMark/>
          </w:tcPr>
          <w:p w14:paraId="6DDCFF61"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IA</w:t>
            </w:r>
          </w:p>
        </w:tc>
        <w:tc>
          <w:tcPr>
            <w:tcW w:w="4423" w:type="pct"/>
            <w:tcBorders>
              <w:top w:val="nil"/>
              <w:left w:val="nil"/>
              <w:bottom w:val="nil"/>
              <w:right w:val="nil"/>
            </w:tcBorders>
            <w:shd w:val="clear" w:color="auto" w:fill="auto"/>
            <w:vAlign w:val="center"/>
            <w:hideMark/>
          </w:tcPr>
          <w:p w14:paraId="523E26AC"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Independent </w:t>
            </w:r>
            <w:proofErr w:type="spellStart"/>
            <w:r w:rsidRPr="005F55B6">
              <w:rPr>
                <w:rFonts w:eastAsia="Times New Roman"/>
                <w:color w:val="000000"/>
                <w:sz w:val="18"/>
                <w:szCs w:val="18"/>
                <w:lang w:val="fr-FR" w:eastAsia="fr-FR"/>
              </w:rPr>
              <w:t>Administrator</w:t>
            </w:r>
            <w:proofErr w:type="spellEnd"/>
            <w:r w:rsidRPr="005F55B6">
              <w:rPr>
                <w:rFonts w:eastAsia="Times New Roman"/>
                <w:color w:val="000000"/>
                <w:sz w:val="18"/>
                <w:szCs w:val="18"/>
                <w:lang w:val="fr-FR" w:eastAsia="fr-FR"/>
              </w:rPr>
              <w:t xml:space="preserve"> </w:t>
            </w:r>
          </w:p>
        </w:tc>
      </w:tr>
      <w:tr w:rsidR="00472329" w:rsidRPr="005F55B6" w14:paraId="2FCFE6F2" w14:textId="77777777" w:rsidTr="00797A43">
        <w:trPr>
          <w:trHeight w:val="340"/>
        </w:trPr>
        <w:tc>
          <w:tcPr>
            <w:tcW w:w="577" w:type="pct"/>
            <w:tcBorders>
              <w:top w:val="nil"/>
              <w:left w:val="nil"/>
              <w:bottom w:val="nil"/>
              <w:right w:val="nil"/>
            </w:tcBorders>
            <w:shd w:val="clear" w:color="000000" w:fill="BDD7EE"/>
            <w:vAlign w:val="center"/>
            <w:hideMark/>
          </w:tcPr>
          <w:p w14:paraId="019BC4C3"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ISRS</w:t>
            </w:r>
          </w:p>
        </w:tc>
        <w:tc>
          <w:tcPr>
            <w:tcW w:w="4423" w:type="pct"/>
            <w:tcBorders>
              <w:top w:val="nil"/>
              <w:left w:val="nil"/>
              <w:bottom w:val="nil"/>
              <w:right w:val="nil"/>
            </w:tcBorders>
            <w:shd w:val="clear" w:color="000000" w:fill="BDD7EE"/>
            <w:vAlign w:val="center"/>
            <w:hideMark/>
          </w:tcPr>
          <w:p w14:paraId="4FD815FA"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International Standard on </w:t>
            </w:r>
            <w:proofErr w:type="spellStart"/>
            <w:r w:rsidRPr="005F55B6">
              <w:rPr>
                <w:rFonts w:eastAsia="Times New Roman"/>
                <w:color w:val="000000"/>
                <w:sz w:val="18"/>
                <w:szCs w:val="18"/>
                <w:lang w:val="fr-FR" w:eastAsia="fr-FR"/>
              </w:rPr>
              <w:t>Related</w:t>
            </w:r>
            <w:proofErr w:type="spellEnd"/>
            <w:r w:rsidRPr="005F55B6">
              <w:rPr>
                <w:rFonts w:eastAsia="Times New Roman"/>
                <w:color w:val="000000"/>
                <w:sz w:val="18"/>
                <w:szCs w:val="18"/>
                <w:lang w:val="fr-FR" w:eastAsia="fr-FR"/>
              </w:rPr>
              <w:t xml:space="preserve"> Services</w:t>
            </w:r>
          </w:p>
        </w:tc>
      </w:tr>
      <w:tr w:rsidR="00472329" w:rsidRPr="005F55B6" w14:paraId="64C8782D" w14:textId="77777777" w:rsidTr="00797A43">
        <w:trPr>
          <w:trHeight w:val="340"/>
        </w:trPr>
        <w:tc>
          <w:tcPr>
            <w:tcW w:w="577" w:type="pct"/>
            <w:tcBorders>
              <w:top w:val="nil"/>
              <w:left w:val="nil"/>
              <w:bottom w:val="nil"/>
              <w:right w:val="nil"/>
            </w:tcBorders>
            <w:shd w:val="clear" w:color="auto" w:fill="auto"/>
            <w:vAlign w:val="center"/>
            <w:hideMark/>
          </w:tcPr>
          <w:p w14:paraId="55DBB006"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MPA</w:t>
            </w:r>
          </w:p>
        </w:tc>
        <w:tc>
          <w:tcPr>
            <w:tcW w:w="4423" w:type="pct"/>
            <w:tcBorders>
              <w:top w:val="nil"/>
              <w:left w:val="nil"/>
              <w:bottom w:val="nil"/>
              <w:right w:val="nil"/>
            </w:tcBorders>
            <w:shd w:val="clear" w:color="auto" w:fill="auto"/>
            <w:vAlign w:val="center"/>
            <w:hideMark/>
          </w:tcPr>
          <w:p w14:paraId="67FCB569" w14:textId="77777777" w:rsidR="00472329" w:rsidRPr="005F55B6" w:rsidRDefault="00472329" w:rsidP="00797A43">
            <w:pPr>
              <w:rPr>
                <w:rFonts w:eastAsia="Times New Roman"/>
                <w:color w:val="000000"/>
                <w:sz w:val="18"/>
                <w:szCs w:val="18"/>
                <w:lang w:val="fr-FR" w:eastAsia="fr-FR"/>
              </w:rPr>
            </w:pPr>
            <w:proofErr w:type="spellStart"/>
            <w:r w:rsidRPr="005F55B6">
              <w:rPr>
                <w:rFonts w:eastAsia="Times New Roman"/>
                <w:color w:val="000000"/>
                <w:sz w:val="18"/>
                <w:szCs w:val="18"/>
                <w:lang w:val="fr-FR" w:eastAsia="fr-FR"/>
              </w:rPr>
              <w:t>Mineral</w:t>
            </w:r>
            <w:proofErr w:type="spellEnd"/>
            <w:r w:rsidRPr="005F55B6">
              <w:rPr>
                <w:rFonts w:eastAsia="Times New Roman"/>
                <w:color w:val="000000"/>
                <w:sz w:val="18"/>
                <w:szCs w:val="18"/>
                <w:lang w:val="fr-FR" w:eastAsia="fr-FR"/>
              </w:rPr>
              <w:t xml:space="preserve"> </w:t>
            </w:r>
            <w:proofErr w:type="spellStart"/>
            <w:r w:rsidRPr="005F55B6">
              <w:rPr>
                <w:rFonts w:eastAsia="Times New Roman"/>
                <w:color w:val="000000"/>
                <w:sz w:val="18"/>
                <w:szCs w:val="18"/>
                <w:lang w:val="fr-FR" w:eastAsia="fr-FR"/>
              </w:rPr>
              <w:t>Products</w:t>
            </w:r>
            <w:proofErr w:type="spellEnd"/>
            <w:r w:rsidRPr="005F55B6">
              <w:rPr>
                <w:rFonts w:eastAsia="Times New Roman"/>
                <w:color w:val="000000"/>
                <w:sz w:val="18"/>
                <w:szCs w:val="18"/>
                <w:lang w:val="fr-FR" w:eastAsia="fr-FR"/>
              </w:rPr>
              <w:t xml:space="preserve"> Association / </w:t>
            </w:r>
            <w:proofErr w:type="spellStart"/>
            <w:r w:rsidRPr="005F55B6">
              <w:rPr>
                <w:rFonts w:eastAsia="Times New Roman"/>
                <w:color w:val="000000"/>
                <w:sz w:val="18"/>
                <w:szCs w:val="18"/>
                <w:lang w:val="fr-FR" w:eastAsia="fr-FR"/>
              </w:rPr>
              <w:t>Mineral</w:t>
            </w:r>
            <w:proofErr w:type="spellEnd"/>
            <w:r w:rsidRPr="005F55B6">
              <w:rPr>
                <w:rFonts w:eastAsia="Times New Roman"/>
                <w:color w:val="000000"/>
                <w:sz w:val="18"/>
                <w:szCs w:val="18"/>
                <w:lang w:val="fr-FR" w:eastAsia="fr-FR"/>
              </w:rPr>
              <w:t xml:space="preserve"> Planning Authority</w:t>
            </w:r>
          </w:p>
        </w:tc>
      </w:tr>
      <w:tr w:rsidR="00472329" w:rsidRPr="005F55B6" w14:paraId="08CE985A" w14:textId="77777777" w:rsidTr="00797A43">
        <w:trPr>
          <w:trHeight w:val="340"/>
        </w:trPr>
        <w:tc>
          <w:tcPr>
            <w:tcW w:w="577" w:type="pct"/>
            <w:tcBorders>
              <w:top w:val="nil"/>
              <w:left w:val="nil"/>
              <w:bottom w:val="nil"/>
              <w:right w:val="nil"/>
            </w:tcBorders>
            <w:shd w:val="clear" w:color="000000" w:fill="BDD7EE"/>
            <w:vAlign w:val="center"/>
            <w:hideMark/>
          </w:tcPr>
          <w:p w14:paraId="79B739ED"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MSG</w:t>
            </w:r>
          </w:p>
        </w:tc>
        <w:tc>
          <w:tcPr>
            <w:tcW w:w="4423" w:type="pct"/>
            <w:tcBorders>
              <w:top w:val="nil"/>
              <w:left w:val="nil"/>
              <w:bottom w:val="nil"/>
              <w:right w:val="nil"/>
            </w:tcBorders>
            <w:shd w:val="clear" w:color="000000" w:fill="BDD7EE"/>
            <w:vAlign w:val="center"/>
            <w:hideMark/>
          </w:tcPr>
          <w:p w14:paraId="0536224D"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UK EITI Multi-Stakeholder Group</w:t>
            </w:r>
          </w:p>
        </w:tc>
      </w:tr>
      <w:tr w:rsidR="00472329" w:rsidRPr="005F55B6" w14:paraId="47E4CB5B" w14:textId="77777777" w:rsidTr="00797A43">
        <w:trPr>
          <w:trHeight w:val="340"/>
        </w:trPr>
        <w:tc>
          <w:tcPr>
            <w:tcW w:w="577" w:type="pct"/>
            <w:tcBorders>
              <w:top w:val="nil"/>
              <w:left w:val="nil"/>
              <w:bottom w:val="nil"/>
              <w:right w:val="nil"/>
            </w:tcBorders>
            <w:shd w:val="clear" w:color="auto" w:fill="auto"/>
            <w:vAlign w:val="center"/>
            <w:hideMark/>
          </w:tcPr>
          <w:p w14:paraId="78B766E5"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OGA</w:t>
            </w:r>
          </w:p>
        </w:tc>
        <w:tc>
          <w:tcPr>
            <w:tcW w:w="4423" w:type="pct"/>
            <w:tcBorders>
              <w:top w:val="nil"/>
              <w:left w:val="nil"/>
              <w:bottom w:val="nil"/>
              <w:right w:val="nil"/>
            </w:tcBorders>
            <w:shd w:val="clear" w:color="auto" w:fill="auto"/>
            <w:vAlign w:val="center"/>
            <w:hideMark/>
          </w:tcPr>
          <w:p w14:paraId="2EF353DB"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Oil and Gas Authority</w:t>
            </w:r>
          </w:p>
        </w:tc>
      </w:tr>
      <w:tr w:rsidR="00472329" w:rsidRPr="005F55B6" w14:paraId="7E119487" w14:textId="77777777" w:rsidTr="00797A43">
        <w:trPr>
          <w:trHeight w:val="340"/>
        </w:trPr>
        <w:tc>
          <w:tcPr>
            <w:tcW w:w="577" w:type="pct"/>
            <w:tcBorders>
              <w:top w:val="nil"/>
              <w:left w:val="nil"/>
              <w:bottom w:val="nil"/>
              <w:right w:val="nil"/>
            </w:tcBorders>
            <w:shd w:val="clear" w:color="000000" w:fill="BDD7EE"/>
            <w:vAlign w:val="center"/>
            <w:hideMark/>
          </w:tcPr>
          <w:p w14:paraId="2F5A30E2"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PRT</w:t>
            </w:r>
          </w:p>
        </w:tc>
        <w:tc>
          <w:tcPr>
            <w:tcW w:w="4423" w:type="pct"/>
            <w:tcBorders>
              <w:top w:val="nil"/>
              <w:left w:val="nil"/>
              <w:bottom w:val="nil"/>
              <w:right w:val="nil"/>
            </w:tcBorders>
            <w:shd w:val="clear" w:color="000000" w:fill="BDD7EE"/>
            <w:vAlign w:val="center"/>
            <w:hideMark/>
          </w:tcPr>
          <w:p w14:paraId="32122B3D"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Petroleum Revenue Tax</w:t>
            </w:r>
          </w:p>
        </w:tc>
      </w:tr>
      <w:tr w:rsidR="00472329" w:rsidRPr="005F55B6" w14:paraId="0180C590" w14:textId="77777777" w:rsidTr="00797A43">
        <w:trPr>
          <w:trHeight w:val="340"/>
        </w:trPr>
        <w:tc>
          <w:tcPr>
            <w:tcW w:w="577" w:type="pct"/>
            <w:tcBorders>
              <w:top w:val="nil"/>
              <w:left w:val="nil"/>
              <w:bottom w:val="nil"/>
              <w:right w:val="nil"/>
            </w:tcBorders>
            <w:shd w:val="clear" w:color="auto" w:fill="auto"/>
            <w:vAlign w:val="center"/>
            <w:hideMark/>
          </w:tcPr>
          <w:p w14:paraId="037C094A"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PSC</w:t>
            </w:r>
          </w:p>
        </w:tc>
        <w:tc>
          <w:tcPr>
            <w:tcW w:w="4423" w:type="pct"/>
            <w:tcBorders>
              <w:top w:val="nil"/>
              <w:left w:val="nil"/>
              <w:bottom w:val="nil"/>
              <w:right w:val="nil"/>
            </w:tcBorders>
            <w:shd w:val="clear" w:color="auto" w:fill="auto"/>
            <w:vAlign w:val="center"/>
            <w:hideMark/>
          </w:tcPr>
          <w:p w14:paraId="487D144E"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People </w:t>
            </w:r>
            <w:proofErr w:type="spellStart"/>
            <w:r w:rsidRPr="005F55B6">
              <w:rPr>
                <w:rFonts w:eastAsia="Times New Roman"/>
                <w:color w:val="000000"/>
                <w:sz w:val="18"/>
                <w:szCs w:val="18"/>
                <w:lang w:val="fr-FR" w:eastAsia="fr-FR"/>
              </w:rPr>
              <w:t>with</w:t>
            </w:r>
            <w:proofErr w:type="spellEnd"/>
            <w:r w:rsidRPr="005F55B6">
              <w:rPr>
                <w:rFonts w:eastAsia="Times New Roman"/>
                <w:color w:val="000000"/>
                <w:sz w:val="18"/>
                <w:szCs w:val="18"/>
                <w:lang w:val="fr-FR" w:eastAsia="fr-FR"/>
              </w:rPr>
              <w:t xml:space="preserve"> </w:t>
            </w:r>
            <w:proofErr w:type="spellStart"/>
            <w:r w:rsidRPr="005F55B6">
              <w:rPr>
                <w:rFonts w:eastAsia="Times New Roman"/>
                <w:color w:val="000000"/>
                <w:sz w:val="18"/>
                <w:szCs w:val="18"/>
                <w:lang w:val="fr-FR" w:eastAsia="fr-FR"/>
              </w:rPr>
              <w:t>Significant</w:t>
            </w:r>
            <w:proofErr w:type="spellEnd"/>
            <w:r w:rsidRPr="005F55B6">
              <w:rPr>
                <w:rFonts w:eastAsia="Times New Roman"/>
                <w:color w:val="000000"/>
                <w:sz w:val="18"/>
                <w:szCs w:val="18"/>
                <w:lang w:val="fr-FR" w:eastAsia="fr-FR"/>
              </w:rPr>
              <w:t xml:space="preserve"> Control</w:t>
            </w:r>
          </w:p>
        </w:tc>
      </w:tr>
      <w:tr w:rsidR="00472329" w:rsidRPr="005F55B6" w14:paraId="0E936EA1" w14:textId="77777777" w:rsidTr="00797A43">
        <w:trPr>
          <w:trHeight w:val="340"/>
        </w:trPr>
        <w:tc>
          <w:tcPr>
            <w:tcW w:w="577" w:type="pct"/>
            <w:tcBorders>
              <w:top w:val="nil"/>
              <w:left w:val="nil"/>
              <w:bottom w:val="nil"/>
              <w:right w:val="nil"/>
            </w:tcBorders>
            <w:shd w:val="clear" w:color="000000" w:fill="BDD7EE"/>
            <w:vAlign w:val="center"/>
            <w:hideMark/>
          </w:tcPr>
          <w:p w14:paraId="4427D4E4"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RFCT</w:t>
            </w:r>
          </w:p>
        </w:tc>
        <w:tc>
          <w:tcPr>
            <w:tcW w:w="4423" w:type="pct"/>
            <w:tcBorders>
              <w:top w:val="nil"/>
              <w:left w:val="nil"/>
              <w:bottom w:val="nil"/>
              <w:right w:val="nil"/>
            </w:tcBorders>
            <w:shd w:val="clear" w:color="000000" w:fill="BDD7EE"/>
            <w:vAlign w:val="center"/>
            <w:hideMark/>
          </w:tcPr>
          <w:p w14:paraId="471F15C8"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Ring </w:t>
            </w:r>
            <w:proofErr w:type="spellStart"/>
            <w:r w:rsidRPr="005F55B6">
              <w:rPr>
                <w:rFonts w:eastAsia="Times New Roman"/>
                <w:color w:val="000000"/>
                <w:sz w:val="18"/>
                <w:szCs w:val="18"/>
                <w:lang w:val="fr-FR" w:eastAsia="fr-FR"/>
              </w:rPr>
              <w:t>Fence</w:t>
            </w:r>
            <w:proofErr w:type="spellEnd"/>
            <w:r w:rsidRPr="005F55B6">
              <w:rPr>
                <w:rFonts w:eastAsia="Times New Roman"/>
                <w:color w:val="000000"/>
                <w:sz w:val="18"/>
                <w:szCs w:val="18"/>
                <w:lang w:val="fr-FR" w:eastAsia="fr-FR"/>
              </w:rPr>
              <w:t xml:space="preserve"> Corporation Tax</w:t>
            </w:r>
          </w:p>
        </w:tc>
      </w:tr>
      <w:tr w:rsidR="00472329" w:rsidRPr="005F55B6" w14:paraId="209657E7" w14:textId="77777777" w:rsidTr="00797A43">
        <w:trPr>
          <w:trHeight w:val="340"/>
        </w:trPr>
        <w:tc>
          <w:tcPr>
            <w:tcW w:w="577" w:type="pct"/>
            <w:tcBorders>
              <w:top w:val="nil"/>
              <w:left w:val="nil"/>
              <w:bottom w:val="nil"/>
              <w:right w:val="nil"/>
            </w:tcBorders>
            <w:shd w:val="clear" w:color="auto" w:fill="auto"/>
            <w:vAlign w:val="center"/>
            <w:hideMark/>
          </w:tcPr>
          <w:p w14:paraId="4907C937"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SC</w:t>
            </w:r>
          </w:p>
        </w:tc>
        <w:tc>
          <w:tcPr>
            <w:tcW w:w="4423" w:type="pct"/>
            <w:tcBorders>
              <w:top w:val="nil"/>
              <w:left w:val="nil"/>
              <w:bottom w:val="nil"/>
              <w:right w:val="nil"/>
            </w:tcBorders>
            <w:shd w:val="clear" w:color="auto" w:fill="auto"/>
            <w:vAlign w:val="center"/>
            <w:hideMark/>
          </w:tcPr>
          <w:p w14:paraId="4ABF1BB2" w14:textId="77777777" w:rsidR="00472329" w:rsidRPr="005F55B6" w:rsidRDefault="00472329" w:rsidP="00797A43">
            <w:pPr>
              <w:rPr>
                <w:rFonts w:eastAsia="Times New Roman"/>
                <w:color w:val="000000"/>
                <w:sz w:val="18"/>
                <w:szCs w:val="18"/>
                <w:lang w:val="fr-FR" w:eastAsia="fr-FR"/>
              </w:rPr>
            </w:pPr>
            <w:proofErr w:type="spellStart"/>
            <w:r w:rsidRPr="005F55B6">
              <w:rPr>
                <w:rFonts w:eastAsia="Times New Roman"/>
                <w:color w:val="000000"/>
                <w:sz w:val="18"/>
                <w:szCs w:val="18"/>
                <w:lang w:val="fr-FR" w:eastAsia="fr-FR"/>
              </w:rPr>
              <w:t>Supplementary</w:t>
            </w:r>
            <w:proofErr w:type="spellEnd"/>
            <w:r w:rsidRPr="005F55B6">
              <w:rPr>
                <w:rFonts w:eastAsia="Times New Roman"/>
                <w:color w:val="000000"/>
                <w:sz w:val="18"/>
                <w:szCs w:val="18"/>
                <w:lang w:val="fr-FR" w:eastAsia="fr-FR"/>
              </w:rPr>
              <w:t xml:space="preserve"> Charge</w:t>
            </w:r>
          </w:p>
        </w:tc>
      </w:tr>
      <w:tr w:rsidR="00472329" w:rsidRPr="005F55B6" w14:paraId="5AC6B59B" w14:textId="77777777" w:rsidTr="00797A43">
        <w:trPr>
          <w:trHeight w:val="340"/>
        </w:trPr>
        <w:tc>
          <w:tcPr>
            <w:tcW w:w="577" w:type="pct"/>
            <w:tcBorders>
              <w:top w:val="nil"/>
              <w:left w:val="nil"/>
              <w:bottom w:val="nil"/>
              <w:right w:val="nil"/>
            </w:tcBorders>
            <w:shd w:val="clear" w:color="000000" w:fill="BDD7EE"/>
            <w:vAlign w:val="center"/>
            <w:hideMark/>
          </w:tcPr>
          <w:p w14:paraId="42B70366"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TCE</w:t>
            </w:r>
          </w:p>
        </w:tc>
        <w:tc>
          <w:tcPr>
            <w:tcW w:w="4423" w:type="pct"/>
            <w:tcBorders>
              <w:top w:val="nil"/>
              <w:left w:val="nil"/>
              <w:bottom w:val="nil"/>
              <w:right w:val="nil"/>
            </w:tcBorders>
            <w:shd w:val="clear" w:color="000000" w:fill="BDD7EE"/>
            <w:vAlign w:val="center"/>
            <w:hideMark/>
          </w:tcPr>
          <w:p w14:paraId="020A28AA"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The Crown </w:t>
            </w:r>
            <w:proofErr w:type="spellStart"/>
            <w:r w:rsidRPr="005F55B6">
              <w:rPr>
                <w:rFonts w:eastAsia="Times New Roman"/>
                <w:color w:val="000000"/>
                <w:sz w:val="18"/>
                <w:szCs w:val="18"/>
                <w:lang w:val="fr-FR" w:eastAsia="fr-FR"/>
              </w:rPr>
              <w:t>Estate</w:t>
            </w:r>
            <w:proofErr w:type="spellEnd"/>
          </w:p>
        </w:tc>
      </w:tr>
      <w:tr w:rsidR="00472329" w:rsidRPr="005F55B6" w14:paraId="1E09AF16" w14:textId="77777777" w:rsidTr="00797A43">
        <w:trPr>
          <w:trHeight w:val="340"/>
        </w:trPr>
        <w:tc>
          <w:tcPr>
            <w:tcW w:w="577" w:type="pct"/>
            <w:tcBorders>
              <w:top w:val="nil"/>
              <w:left w:val="nil"/>
              <w:bottom w:val="nil"/>
              <w:right w:val="nil"/>
            </w:tcBorders>
            <w:shd w:val="clear" w:color="auto" w:fill="auto"/>
            <w:vAlign w:val="center"/>
            <w:hideMark/>
          </w:tcPr>
          <w:p w14:paraId="1431EFD4" w14:textId="77777777" w:rsidR="00472329" w:rsidRPr="005F55B6" w:rsidRDefault="00472329" w:rsidP="00797A43">
            <w:pPr>
              <w:rPr>
                <w:rFonts w:eastAsia="Times New Roman"/>
                <w:color w:val="000000"/>
                <w:sz w:val="18"/>
                <w:szCs w:val="18"/>
                <w:lang w:val="fr-FR" w:eastAsia="fr-FR"/>
              </w:rPr>
            </w:pPr>
            <w:proofErr w:type="spellStart"/>
            <w:r w:rsidRPr="005F55B6">
              <w:rPr>
                <w:rFonts w:eastAsia="Times New Roman"/>
                <w:color w:val="000000"/>
                <w:sz w:val="18"/>
                <w:szCs w:val="18"/>
                <w:lang w:val="fr-FR" w:eastAsia="fr-FR"/>
              </w:rPr>
              <w:t>ToR</w:t>
            </w:r>
            <w:proofErr w:type="spellEnd"/>
          </w:p>
        </w:tc>
        <w:tc>
          <w:tcPr>
            <w:tcW w:w="4423" w:type="pct"/>
            <w:tcBorders>
              <w:top w:val="nil"/>
              <w:left w:val="nil"/>
              <w:bottom w:val="nil"/>
              <w:right w:val="nil"/>
            </w:tcBorders>
            <w:shd w:val="clear" w:color="auto" w:fill="auto"/>
            <w:vAlign w:val="center"/>
            <w:hideMark/>
          </w:tcPr>
          <w:p w14:paraId="5ACA4D70" w14:textId="77777777" w:rsidR="00472329" w:rsidRPr="005F55B6" w:rsidRDefault="00472329" w:rsidP="00797A43">
            <w:pPr>
              <w:rPr>
                <w:rFonts w:eastAsia="Times New Roman"/>
                <w:color w:val="000000"/>
                <w:sz w:val="18"/>
                <w:szCs w:val="18"/>
                <w:lang w:val="fr-FR" w:eastAsia="fr-FR"/>
              </w:rPr>
            </w:pPr>
            <w:proofErr w:type="spellStart"/>
            <w:r w:rsidRPr="005F55B6">
              <w:rPr>
                <w:rFonts w:eastAsia="Times New Roman"/>
                <w:color w:val="000000"/>
                <w:sz w:val="18"/>
                <w:szCs w:val="18"/>
                <w:lang w:val="fr-FR" w:eastAsia="fr-FR"/>
              </w:rPr>
              <w:t>Terms</w:t>
            </w:r>
            <w:proofErr w:type="spellEnd"/>
            <w:r w:rsidRPr="005F55B6">
              <w:rPr>
                <w:rFonts w:eastAsia="Times New Roman"/>
                <w:color w:val="000000"/>
                <w:sz w:val="18"/>
                <w:szCs w:val="18"/>
                <w:lang w:val="fr-FR" w:eastAsia="fr-FR"/>
              </w:rPr>
              <w:t xml:space="preserve"> of Reference</w:t>
            </w:r>
          </w:p>
        </w:tc>
      </w:tr>
      <w:tr w:rsidR="00472329" w:rsidRPr="005F55B6" w14:paraId="4EF1824F" w14:textId="77777777" w:rsidTr="00797A43">
        <w:trPr>
          <w:trHeight w:val="340"/>
        </w:trPr>
        <w:tc>
          <w:tcPr>
            <w:tcW w:w="577" w:type="pct"/>
            <w:tcBorders>
              <w:top w:val="nil"/>
              <w:left w:val="nil"/>
              <w:bottom w:val="nil"/>
              <w:right w:val="nil"/>
            </w:tcBorders>
            <w:shd w:val="clear" w:color="000000" w:fill="BDD7EE"/>
            <w:vAlign w:val="center"/>
            <w:hideMark/>
          </w:tcPr>
          <w:p w14:paraId="748E99F5"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UK</w:t>
            </w:r>
          </w:p>
        </w:tc>
        <w:tc>
          <w:tcPr>
            <w:tcW w:w="4423" w:type="pct"/>
            <w:tcBorders>
              <w:top w:val="nil"/>
              <w:left w:val="nil"/>
              <w:bottom w:val="nil"/>
              <w:right w:val="nil"/>
            </w:tcBorders>
            <w:shd w:val="clear" w:color="000000" w:fill="BDD7EE"/>
            <w:vAlign w:val="center"/>
            <w:hideMark/>
          </w:tcPr>
          <w:p w14:paraId="1DB54A56" w14:textId="77777777" w:rsidR="00472329" w:rsidRPr="005F55B6" w:rsidRDefault="00472329" w:rsidP="00797A43">
            <w:pPr>
              <w:rPr>
                <w:rFonts w:eastAsia="Times New Roman"/>
                <w:color w:val="000000"/>
                <w:sz w:val="18"/>
                <w:szCs w:val="18"/>
                <w:lang w:val="fr-FR" w:eastAsia="fr-FR"/>
              </w:rPr>
            </w:pPr>
            <w:r w:rsidRPr="005F55B6">
              <w:rPr>
                <w:rFonts w:eastAsia="Times New Roman"/>
                <w:color w:val="000000"/>
                <w:sz w:val="18"/>
                <w:szCs w:val="18"/>
                <w:lang w:val="fr-FR" w:eastAsia="fr-FR"/>
              </w:rPr>
              <w:t xml:space="preserve">United </w:t>
            </w:r>
            <w:proofErr w:type="spellStart"/>
            <w:r w:rsidRPr="005F55B6">
              <w:rPr>
                <w:rFonts w:eastAsia="Times New Roman"/>
                <w:color w:val="000000"/>
                <w:sz w:val="18"/>
                <w:szCs w:val="18"/>
                <w:lang w:val="fr-FR" w:eastAsia="fr-FR"/>
              </w:rPr>
              <w:t>Kingdom</w:t>
            </w:r>
            <w:proofErr w:type="spellEnd"/>
          </w:p>
        </w:tc>
      </w:tr>
    </w:tbl>
    <w:p w14:paraId="2220EBF7" w14:textId="77777777" w:rsidR="00472329" w:rsidRPr="00595CB3" w:rsidRDefault="00472329" w:rsidP="00472329">
      <w:pPr>
        <w:pStyle w:val="Default"/>
        <w:keepNext/>
        <w:rPr>
          <w:rFonts w:ascii="Arial" w:hAnsi="Arial" w:cs="Arial"/>
          <w:b/>
          <w:bCs/>
          <w:sz w:val="22"/>
          <w:szCs w:val="22"/>
          <w:highlight w:val="yellow"/>
        </w:rPr>
      </w:pPr>
    </w:p>
    <w:p w14:paraId="132E93F8" w14:textId="77777777" w:rsidR="00472329" w:rsidRPr="00AB6F58" w:rsidRDefault="00472329" w:rsidP="00374A42">
      <w:pPr>
        <w:pStyle w:val="Default"/>
        <w:spacing w:after="240" w:line="276" w:lineRule="auto"/>
        <w:rPr>
          <w:rFonts w:ascii="Arial" w:hAnsi="Arial" w:cs="Arial"/>
        </w:rPr>
      </w:pPr>
    </w:p>
    <w:p w14:paraId="167FB19E" w14:textId="77777777" w:rsidR="0030523C" w:rsidRPr="00EF510A" w:rsidRDefault="0030523C" w:rsidP="00AD33C7">
      <w:pPr>
        <w:rPr>
          <w:sz w:val="2"/>
          <w:szCs w:val="22"/>
          <w:highlight w:val="yellow"/>
          <w:lang w:bidi="ar-TN"/>
        </w:rPr>
      </w:pPr>
    </w:p>
    <w:sectPr w:rsidR="0030523C" w:rsidRPr="00EF510A" w:rsidSect="00F53E8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40" w:right="1440" w:bottom="14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FFAC5" w14:textId="77777777" w:rsidR="00C92287" w:rsidRDefault="00C92287" w:rsidP="0030523C">
      <w:r>
        <w:separator/>
      </w:r>
    </w:p>
  </w:endnote>
  <w:endnote w:type="continuationSeparator" w:id="0">
    <w:p w14:paraId="6929482A" w14:textId="77777777" w:rsidR="00C92287" w:rsidRDefault="00C92287" w:rsidP="0030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umnst777 Lt BT">
    <w:altName w:val="Calibri"/>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55">
    <w:altName w:val="Bell M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ITC Charter Co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8B4A7" w14:textId="77777777" w:rsidR="00E441B7" w:rsidRDefault="00E44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56BE" w14:textId="77777777" w:rsidR="0065619A" w:rsidRPr="00F67DB3" w:rsidRDefault="0065619A" w:rsidP="0052688B">
    <w:pPr>
      <w:pStyle w:val="Footer"/>
      <w:pBdr>
        <w:top w:val="single" w:sz="4" w:space="1" w:color="0070C0"/>
      </w:pBdr>
      <w:tabs>
        <w:tab w:val="clear" w:pos="4513"/>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sidRPr="00F67DB3">
      <w:rPr>
        <w:noProof/>
        <w:sz w:val="16"/>
      </w:rPr>
      <w:t>88</w:t>
    </w:r>
    <w:r w:rsidRPr="00F67DB3">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72EE" w14:textId="6DBC0249" w:rsidR="00E441B7" w:rsidRPr="00942492" w:rsidRDefault="00E441B7" w:rsidP="00942492">
    <w:pPr>
      <w:pStyle w:val="Footer"/>
      <w:pBdr>
        <w:top w:val="single" w:sz="4" w:space="1" w:color="0070C0"/>
      </w:pBdr>
      <w:tabs>
        <w:tab w:val="clear" w:pos="4513"/>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Pr>
        <w:sz w:val="16"/>
      </w:rPr>
      <w:t>2</w:t>
    </w:r>
    <w:r w:rsidRPr="00F67DB3">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171D9" w14:textId="77777777" w:rsidR="00C92287" w:rsidRDefault="00C92287" w:rsidP="0030523C">
      <w:r>
        <w:separator/>
      </w:r>
    </w:p>
  </w:footnote>
  <w:footnote w:type="continuationSeparator" w:id="0">
    <w:p w14:paraId="154032B5" w14:textId="77777777" w:rsidR="00C92287" w:rsidRDefault="00C92287" w:rsidP="0030523C">
      <w:r>
        <w:continuationSeparator/>
      </w:r>
    </w:p>
  </w:footnote>
  <w:footnote w:id="1">
    <w:p w14:paraId="60A89F21" w14:textId="77777777" w:rsidR="0065619A" w:rsidRPr="00893D64" w:rsidRDefault="0065619A" w:rsidP="00893D64">
      <w:pPr>
        <w:pStyle w:val="FootnoteText"/>
        <w:keepLines/>
        <w:spacing w:before="120" w:line="276" w:lineRule="auto"/>
        <w:rPr>
          <w:rFonts w:cs="Arial"/>
          <w:sz w:val="20"/>
          <w:lang w:val="en-GB"/>
        </w:rPr>
      </w:pPr>
      <w:r w:rsidRPr="00893D64">
        <w:rPr>
          <w:rStyle w:val="FootnoteReference"/>
          <w:rFonts w:cs="Arial"/>
          <w:sz w:val="20"/>
          <w:lang w:val="en-GB"/>
        </w:rPr>
        <w:footnoteRef/>
      </w:r>
      <w:r w:rsidRPr="00893D64">
        <w:rPr>
          <w:rFonts w:cs="Arial"/>
          <w:sz w:val="20"/>
          <w:lang w:val="en-GB"/>
        </w:rPr>
        <w:t xml:space="preserve"> </w:t>
      </w:r>
      <w:hyperlink r:id="rId1" w:history="1">
        <w:r w:rsidRPr="00893D64">
          <w:rPr>
            <w:rStyle w:val="Hyperlink"/>
            <w:rFonts w:cs="Arial"/>
            <w:sz w:val="20"/>
            <w:lang w:val="en-GB"/>
          </w:rPr>
          <w:t>http://www.legislation.gov.uk/uksi/2014/3209/contents/made</w:t>
        </w:r>
      </w:hyperlink>
    </w:p>
  </w:footnote>
  <w:footnote w:id="2">
    <w:p w14:paraId="2304871D" w14:textId="1EC9CA2A" w:rsidR="00740EFD" w:rsidRPr="00942492" w:rsidRDefault="00AE2916" w:rsidP="00942492">
      <w:pPr>
        <w:pStyle w:val="FootnoteText"/>
        <w:spacing w:before="120" w:line="276" w:lineRule="auto"/>
        <w:rPr>
          <w:sz w:val="20"/>
        </w:rPr>
      </w:pPr>
      <w:r w:rsidRPr="00942492">
        <w:rPr>
          <w:rStyle w:val="FootnoteReference"/>
          <w:sz w:val="20"/>
        </w:rPr>
        <w:footnoteRef/>
      </w:r>
      <w:r w:rsidRPr="00942492">
        <w:rPr>
          <w:sz w:val="20"/>
        </w:rPr>
        <w:t xml:space="preserve"> </w:t>
      </w:r>
      <w:hyperlink r:id="rId2" w:history="1">
        <w:r w:rsidR="00740EFD" w:rsidRPr="00942492">
          <w:rPr>
            <w:rStyle w:val="Hyperlink"/>
            <w:sz w:val="20"/>
          </w:rPr>
          <w:t>https://www.gov.uk/government/consultations/eu-accounting-directive-smaller-companies-reporting</w:t>
        </w:r>
      </w:hyperlink>
    </w:p>
    <w:p w14:paraId="53A25A16" w14:textId="77777777" w:rsidR="00740EFD" w:rsidRPr="00F94E9B" w:rsidRDefault="00740EFD">
      <w:pPr>
        <w:pStyle w:val="FootnoteText"/>
        <w:rPr>
          <w:lang w:val="en-GB"/>
        </w:rPr>
      </w:pPr>
    </w:p>
  </w:footnote>
  <w:footnote w:id="3">
    <w:p w14:paraId="552AF8D3" w14:textId="77777777" w:rsidR="0065619A" w:rsidRPr="004E7263" w:rsidRDefault="0065619A" w:rsidP="00FE1750">
      <w:pPr>
        <w:pStyle w:val="FootnoteText"/>
        <w:keepLines/>
        <w:spacing w:before="120" w:line="276" w:lineRule="auto"/>
        <w:rPr>
          <w:rFonts w:cs="Arial"/>
          <w:sz w:val="20"/>
          <w:lang w:val="en-GB"/>
        </w:rPr>
      </w:pPr>
      <w:r w:rsidRPr="004E7263">
        <w:rPr>
          <w:rStyle w:val="FootnoteReference"/>
          <w:rFonts w:cs="Arial"/>
          <w:sz w:val="20"/>
          <w:lang w:val="en-GB"/>
        </w:rPr>
        <w:footnoteRef/>
      </w:r>
      <w:r w:rsidRPr="004E7263">
        <w:rPr>
          <w:rFonts w:cs="Arial"/>
          <w:sz w:val="20"/>
          <w:lang w:val="en-GB"/>
        </w:rPr>
        <w:t xml:space="preserve"> </w:t>
      </w:r>
      <w:hyperlink r:id="rId3" w:history="1">
        <w:r w:rsidRPr="004E7263">
          <w:rPr>
            <w:rStyle w:val="Hyperlink"/>
            <w:rFonts w:cs="Arial"/>
            <w:sz w:val="20"/>
            <w:lang w:val="en-GB"/>
          </w:rPr>
          <w:t>http://www.legislation.gov.uk/ukpga/2015/26/contents/enacted</w:t>
        </w:r>
      </w:hyperlink>
    </w:p>
  </w:footnote>
  <w:footnote w:id="4">
    <w:p w14:paraId="6C989F40" w14:textId="77777777" w:rsidR="0065619A" w:rsidRPr="002B00F8" w:rsidRDefault="0065619A" w:rsidP="00FE1750">
      <w:pPr>
        <w:pStyle w:val="FootnoteText"/>
        <w:keepLines/>
        <w:spacing w:before="120" w:line="276" w:lineRule="auto"/>
        <w:rPr>
          <w:rFonts w:cs="Arial"/>
          <w:sz w:val="20"/>
          <w:lang w:val="en-GB"/>
        </w:rPr>
      </w:pPr>
      <w:r w:rsidRPr="004E7263">
        <w:rPr>
          <w:rStyle w:val="FootnoteReference"/>
          <w:rFonts w:cs="Arial"/>
          <w:sz w:val="20"/>
          <w:lang w:val="en-GB"/>
        </w:rPr>
        <w:footnoteRef/>
      </w:r>
      <w:r w:rsidRPr="004E7263">
        <w:rPr>
          <w:rFonts w:cs="Arial"/>
          <w:sz w:val="20"/>
          <w:lang w:val="en-GB"/>
        </w:rPr>
        <w:t xml:space="preserve"> </w:t>
      </w:r>
      <w:r w:rsidRPr="002B00F8">
        <w:t xml:space="preserve"> </w:t>
      </w:r>
      <w:hyperlink r:id="rId4" w:history="1">
        <w:r w:rsidRPr="001D398D">
          <w:rPr>
            <w:rStyle w:val="Hyperlink"/>
            <w:sz w:val="20"/>
          </w:rPr>
          <w:t>http://download.companieshouse.gov.uk/en_pscdata.html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9587" w14:textId="77777777" w:rsidR="00E441B7" w:rsidRDefault="00E44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EE7C5" w14:textId="5B545BF0" w:rsidR="00863C36" w:rsidRPr="00942492" w:rsidRDefault="00863C36" w:rsidP="00942492">
    <w:pPr>
      <w:pBdr>
        <w:bottom w:val="single" w:sz="4" w:space="1" w:color="0070C0"/>
      </w:pBdr>
      <w:jc w:val="right"/>
      <w:rPr>
        <w:bCs/>
        <w:i/>
        <w:iCs/>
        <w:color w:val="0070C0"/>
        <w:sz w:val="16"/>
      </w:rPr>
    </w:pPr>
    <w:r>
      <w:rPr>
        <w:bCs/>
        <w:i/>
        <w:iCs/>
        <w:color w:val="0070C0"/>
        <w:sz w:val="16"/>
      </w:rPr>
      <w:t>UK EITI report for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1ACA" w14:textId="5D50F9D0" w:rsidR="0065619A" w:rsidRPr="0052688B" w:rsidRDefault="0065619A" w:rsidP="0052688B">
    <w:pPr>
      <w:pBdr>
        <w:bottom w:val="single" w:sz="4" w:space="1" w:color="0070C0"/>
      </w:pBdr>
      <w:jc w:val="right"/>
      <w:rPr>
        <w:bCs/>
        <w:i/>
        <w:iCs/>
        <w:color w:val="0070C0"/>
        <w:sz w:val="16"/>
      </w:rPr>
    </w:pPr>
    <w:r>
      <w:rPr>
        <w:bCs/>
        <w:i/>
        <w:iCs/>
        <w:color w:val="0070C0"/>
        <w:sz w:val="16"/>
      </w:rPr>
      <w:t>UK EITI report for 201</w:t>
    </w:r>
    <w:r w:rsidR="00AC355E">
      <w:rPr>
        <w:bCs/>
        <w:i/>
        <w:iCs/>
        <w:color w:val="0070C0"/>
        <w:sz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ED1967"/>
    <w:multiLevelType w:val="hybridMultilevel"/>
    <w:tmpl w:val="E94C0F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23B89006"/>
    <w:lvl w:ilvl="0">
      <w:start w:val="1"/>
      <w:numFmt w:val="decimal"/>
      <w:pStyle w:val="ListNumber2"/>
      <w:lvlText w:val="%1."/>
      <w:lvlJc w:val="left"/>
      <w:pPr>
        <w:tabs>
          <w:tab w:val="num" w:pos="643"/>
        </w:tabs>
        <w:ind w:left="643" w:hanging="360"/>
      </w:pPr>
    </w:lvl>
  </w:abstractNum>
  <w:abstractNum w:abstractNumId="2" w15:restartNumberingAfterBreak="0">
    <w:nsid w:val="00416306"/>
    <w:multiLevelType w:val="hybridMultilevel"/>
    <w:tmpl w:val="401CD196"/>
    <w:lvl w:ilvl="0" w:tplc="086A4EFC">
      <w:start w:val="1"/>
      <w:numFmt w:val="lowerRoman"/>
      <w:lvlText w:val="%1."/>
      <w:lvlJc w:val="right"/>
      <w:pPr>
        <w:ind w:left="720" w:hanging="360"/>
      </w:pPr>
      <w:rPr>
        <w:rFonts w:ascii="Arial" w:hAnsi="Arial" w:cs="Arial" w:hint="default"/>
        <w:b/>
        <w:sz w:val="20"/>
        <w:szCs w:val="2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851A97"/>
    <w:multiLevelType w:val="multilevel"/>
    <w:tmpl w:val="CA7EE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AB1A28"/>
    <w:multiLevelType w:val="hybridMultilevel"/>
    <w:tmpl w:val="43BA9D8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8682163"/>
    <w:multiLevelType w:val="hybridMultilevel"/>
    <w:tmpl w:val="9EDCCAFC"/>
    <w:lvl w:ilvl="0" w:tplc="B7F60DC0">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9837A4"/>
    <w:multiLevelType w:val="multilevel"/>
    <w:tmpl w:val="040C001F"/>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337E18"/>
    <w:multiLevelType w:val="hybridMultilevel"/>
    <w:tmpl w:val="42844BA2"/>
    <w:lvl w:ilvl="0" w:tplc="0DA60EDC">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63F04"/>
    <w:multiLevelType w:val="multilevel"/>
    <w:tmpl w:val="28082A52"/>
    <w:lvl w:ilvl="0">
      <w:start w:val="1"/>
      <w:numFmt w:val="upperRoman"/>
      <w:pStyle w:val="MSHouseLevel1"/>
      <w:lvlText w:val="%1."/>
      <w:lvlJc w:val="left"/>
      <w:pPr>
        <w:tabs>
          <w:tab w:val="num" w:pos="851"/>
        </w:tabs>
        <w:ind w:left="851" w:hanging="851"/>
      </w:pPr>
      <w:rPr>
        <w:rFonts w:hint="default"/>
      </w:rPr>
    </w:lvl>
    <w:lvl w:ilvl="1">
      <w:start w:val="1"/>
      <w:numFmt w:val="decimal"/>
      <w:lvlRestart w:val="0"/>
      <w:pStyle w:val="MSHouseLevel2"/>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cs="Times New Roman" w:hint="default"/>
      </w:rPr>
    </w:lvl>
    <w:lvl w:ilvl="6">
      <w:start w:val="1"/>
      <w:numFmt w:val="bullet"/>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DA35B8D"/>
    <w:multiLevelType w:val="multilevel"/>
    <w:tmpl w:val="08F64136"/>
    <w:lvl w:ilvl="0">
      <w:start w:val="2"/>
      <w:numFmt w:val="decimal"/>
      <w:lvlText w:val="%1."/>
      <w:lvlJc w:val="left"/>
      <w:pPr>
        <w:ind w:left="720" w:hanging="720"/>
      </w:pPr>
      <w:rPr>
        <w:rFonts w:hint="default"/>
      </w:rPr>
    </w:lvl>
    <w:lvl w:ilvl="1">
      <w:start w:val="1"/>
      <w:numFmt w:val="decimal"/>
      <w:lvlText w:val="5.%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0" w15:restartNumberingAfterBreak="0">
    <w:nsid w:val="130C573E"/>
    <w:multiLevelType w:val="multilevel"/>
    <w:tmpl w:val="F33A88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4D5A32"/>
    <w:multiLevelType w:val="multilevel"/>
    <w:tmpl w:val="F74CBA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BF332C"/>
    <w:multiLevelType w:val="multilevel"/>
    <w:tmpl w:val="4B2A2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D34FA6"/>
    <w:multiLevelType w:val="multilevel"/>
    <w:tmpl w:val="F7B6C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763840"/>
    <w:multiLevelType w:val="hybridMultilevel"/>
    <w:tmpl w:val="2DEE77E4"/>
    <w:lvl w:ilvl="0" w:tplc="FDBE0ECA">
      <w:start w:val="1"/>
      <w:numFmt w:val="decimal"/>
      <w:lvlText w:val="%1."/>
      <w:lvlJc w:val="left"/>
      <w:pPr>
        <w:ind w:left="644" w:hanging="360"/>
      </w:pPr>
      <w:rPr>
        <w:rFonts w:hint="default"/>
        <w:b w:val="0"/>
        <w:i w:val="0"/>
        <w:iCs w:val="0"/>
        <w:sz w:val="20"/>
        <w:szCs w:val="20"/>
      </w:rPr>
    </w:lvl>
    <w:lvl w:ilvl="1" w:tplc="D7CE82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8"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19" w15:restartNumberingAfterBreak="0">
    <w:nsid w:val="32017A82"/>
    <w:multiLevelType w:val="multilevel"/>
    <w:tmpl w:val="490CE56E"/>
    <w:styleLink w:val="Style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34211818"/>
    <w:multiLevelType w:val="hybridMultilevel"/>
    <w:tmpl w:val="1D000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5C2788"/>
    <w:multiLevelType w:val="multilevel"/>
    <w:tmpl w:val="040C001F"/>
    <w:styleLink w:val="IFIAlgeriastyle"/>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40B10ADD"/>
    <w:multiLevelType w:val="multilevel"/>
    <w:tmpl w:val="64101E52"/>
    <w:lvl w:ilvl="0">
      <w:start w:val="2"/>
      <w:numFmt w:val="decimal"/>
      <w:lvlText w:val="%1."/>
      <w:lvlJc w:val="left"/>
      <w:pPr>
        <w:ind w:left="720" w:hanging="720"/>
      </w:pPr>
      <w:rPr>
        <w:rFonts w:hint="default"/>
      </w:rPr>
    </w:lvl>
    <w:lvl w:ilvl="1">
      <w:start w:val="1"/>
      <w:numFmt w:val="decimal"/>
      <w:lvlText w:val="4.%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5" w15:restartNumberingAfterBreak="0">
    <w:nsid w:val="47DE4D35"/>
    <w:multiLevelType w:val="multilevel"/>
    <w:tmpl w:val="24ECFBA2"/>
    <w:lvl w:ilvl="0">
      <w:start w:val="2"/>
      <w:numFmt w:val="decimal"/>
      <w:lvlText w:val="%1."/>
      <w:lvlJc w:val="left"/>
      <w:pPr>
        <w:ind w:left="720" w:hanging="720"/>
      </w:pPr>
      <w:rPr>
        <w:rFonts w:hint="default"/>
      </w:rPr>
    </w:lvl>
    <w:lvl w:ilvl="1">
      <w:start w:val="1"/>
      <w:numFmt w:val="decimal"/>
      <w:lvlText w:val="1.%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6" w15:restartNumberingAfterBreak="0">
    <w:nsid w:val="48C20AD8"/>
    <w:multiLevelType w:val="hybridMultilevel"/>
    <w:tmpl w:val="198F3B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1BA11A7"/>
    <w:multiLevelType w:val="multilevel"/>
    <w:tmpl w:val="ADAE6A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2134D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0" w15:restartNumberingAfterBreak="0">
    <w:nsid w:val="5A1F0FE6"/>
    <w:multiLevelType w:val="multilevel"/>
    <w:tmpl w:val="4A2AB0B2"/>
    <w:lvl w:ilvl="0">
      <w:start w:val="5"/>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AC5124B"/>
    <w:multiLevelType w:val="hybridMultilevel"/>
    <w:tmpl w:val="D2E654F8"/>
    <w:lvl w:ilvl="0" w:tplc="6E46DF84">
      <w:start w:val="1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E5D7309"/>
    <w:multiLevelType w:val="multilevel"/>
    <w:tmpl w:val="54B299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4B587C"/>
    <w:multiLevelType w:val="multilevel"/>
    <w:tmpl w:val="62F849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304B86"/>
    <w:multiLevelType w:val="hybridMultilevel"/>
    <w:tmpl w:val="35742D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49666B"/>
    <w:multiLevelType w:val="hybridMultilevel"/>
    <w:tmpl w:val="D6867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7"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C36E6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615DAF"/>
    <w:multiLevelType w:val="multilevel"/>
    <w:tmpl w:val="34E6B93C"/>
    <w:name w:val="ChapNum"/>
    <w:lvl w:ilvl="0">
      <w:start w:val="1"/>
      <w:numFmt w:val="decimal"/>
      <w:lvlRestart w:val="0"/>
      <w:pStyle w:val="BodyText2"/>
      <w:suff w:val="nothing"/>
      <w:lvlText w:val="%1"/>
      <w:lvlJc w:val="left"/>
      <w:pPr>
        <w:ind w:left="5580" w:hanging="5580"/>
      </w:pPr>
      <w:rPr>
        <w:rFonts w:hint="default"/>
      </w:r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num w:numId="1">
    <w:abstractNumId w:val="40"/>
  </w:num>
  <w:num w:numId="2">
    <w:abstractNumId w:val="39"/>
  </w:num>
  <w:num w:numId="3">
    <w:abstractNumId w:val="16"/>
  </w:num>
  <w:num w:numId="4">
    <w:abstractNumId w:val="1"/>
  </w:num>
  <w:num w:numId="5">
    <w:abstractNumId w:val="36"/>
  </w:num>
  <w:num w:numId="6">
    <w:abstractNumId w:val="29"/>
  </w:num>
  <w:num w:numId="7">
    <w:abstractNumId w:val="23"/>
  </w:num>
  <w:num w:numId="8">
    <w:abstractNumId w:val="17"/>
  </w:num>
  <w:num w:numId="9">
    <w:abstractNumId w:val="8"/>
  </w:num>
  <w:num w:numId="10">
    <w:abstractNumId w:val="20"/>
  </w:num>
  <w:num w:numId="11">
    <w:abstractNumId w:val="15"/>
  </w:num>
  <w:num w:numId="12">
    <w:abstractNumId w:val="18"/>
  </w:num>
  <w:num w:numId="13">
    <w:abstractNumId w:val="6"/>
    <w:lvlOverride w:ilvl="0">
      <w:lvl w:ilvl="0">
        <w:start w:val="1"/>
        <w:numFmt w:val="decimal"/>
        <w:lvlText w:val="%1."/>
        <w:lvlJc w:val="left"/>
        <w:pPr>
          <w:ind w:left="360" w:hanging="360"/>
        </w:pPr>
        <w:rPr>
          <w:rFonts w:ascii="Arial" w:hAnsi="Arial"/>
          <w:color w:val="FFFFFF" w:themeColor="background1"/>
          <w:sz w:val="24"/>
        </w:rPr>
      </w:lvl>
    </w:lvlOverride>
  </w:num>
  <w:num w:numId="14">
    <w:abstractNumId w:val="22"/>
  </w:num>
  <w:num w:numId="15">
    <w:abstractNumId w:val="6"/>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3"/>
  </w:num>
  <w:num w:numId="17">
    <w:abstractNumId w:val="19"/>
  </w:num>
  <w:num w:numId="18">
    <w:abstractNumId w:val="11"/>
  </w:num>
  <w:num w:numId="19">
    <w:abstractNumId w:val="12"/>
  </w:num>
  <w:num w:numId="20">
    <w:abstractNumId w:val="32"/>
  </w:num>
  <w:num w:numId="21">
    <w:abstractNumId w:val="27"/>
  </w:num>
  <w:num w:numId="22">
    <w:abstractNumId w:val="37"/>
  </w:num>
  <w:num w:numId="23">
    <w:abstractNumId w:val="14"/>
  </w:num>
  <w:num w:numId="24">
    <w:abstractNumId w:val="34"/>
  </w:num>
  <w:num w:numId="25">
    <w:abstractNumId w:val="7"/>
  </w:num>
  <w:num w:numId="26">
    <w:abstractNumId w:val="5"/>
  </w:num>
  <w:num w:numId="27">
    <w:abstractNumId w:val="3"/>
  </w:num>
  <w:num w:numId="28">
    <w:abstractNumId w:val="4"/>
  </w:num>
  <w:num w:numId="29">
    <w:abstractNumId w:val="30"/>
  </w:num>
  <w:num w:numId="30">
    <w:abstractNumId w:val="2"/>
  </w:num>
  <w:num w:numId="31">
    <w:abstractNumId w:val="26"/>
  </w:num>
  <w:num w:numId="32">
    <w:abstractNumId w:val="0"/>
  </w:num>
  <w:num w:numId="33">
    <w:abstractNumId w:val="31"/>
  </w:num>
  <w:num w:numId="34">
    <w:abstractNumId w:val="21"/>
  </w:num>
  <w:num w:numId="35">
    <w:abstractNumId w:val="28"/>
  </w:num>
  <w:num w:numId="36">
    <w:abstractNumId w:val="35"/>
  </w:num>
  <w:num w:numId="37">
    <w:abstractNumId w:val="25"/>
  </w:num>
  <w:num w:numId="38">
    <w:abstractNumId w:val="25"/>
    <w:lvlOverride w:ilvl="0">
      <w:lvl w:ilvl="0">
        <w:start w:val="2"/>
        <w:numFmt w:val="decimal"/>
        <w:lvlText w:val="%1."/>
        <w:lvlJc w:val="left"/>
        <w:pPr>
          <w:ind w:left="720" w:hanging="720"/>
        </w:pPr>
        <w:rPr>
          <w:rFonts w:hint="default"/>
        </w:rPr>
      </w:lvl>
    </w:lvlOverride>
    <w:lvlOverride w:ilvl="1">
      <w:lvl w:ilvl="1">
        <w:start w:val="1"/>
        <w:numFmt w:val="decimal"/>
        <w:lvlText w:val="4.%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39">
    <w:abstractNumId w:val="24"/>
  </w:num>
  <w:num w:numId="40">
    <w:abstractNumId w:val="25"/>
    <w:lvlOverride w:ilvl="0">
      <w:lvl w:ilvl="0">
        <w:start w:val="2"/>
        <w:numFmt w:val="decimal"/>
        <w:lvlText w:val="%1."/>
        <w:lvlJc w:val="left"/>
        <w:pPr>
          <w:ind w:left="720" w:hanging="720"/>
        </w:pPr>
        <w:rPr>
          <w:rFonts w:hint="default"/>
        </w:rPr>
      </w:lvl>
    </w:lvlOverride>
    <w:lvlOverride w:ilvl="1">
      <w:lvl w:ilvl="1">
        <w:start w:val="1"/>
        <w:numFmt w:val="decimal"/>
        <w:lvlText w:val="5.%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41">
    <w:abstractNumId w:val="9"/>
  </w:num>
  <w:num w:numId="42">
    <w:abstractNumId w:val="38"/>
  </w:num>
  <w:num w:numId="43">
    <w:abstractNumId w:val="33"/>
  </w:num>
  <w:num w:numId="44">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5.%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3C"/>
    <w:rsid w:val="000002E1"/>
    <w:rsid w:val="0000071F"/>
    <w:rsid w:val="00000818"/>
    <w:rsid w:val="00000D95"/>
    <w:rsid w:val="000017FC"/>
    <w:rsid w:val="00001832"/>
    <w:rsid w:val="00001A7A"/>
    <w:rsid w:val="00004C38"/>
    <w:rsid w:val="00006060"/>
    <w:rsid w:val="000063B8"/>
    <w:rsid w:val="00006EBE"/>
    <w:rsid w:val="0000711F"/>
    <w:rsid w:val="00007A07"/>
    <w:rsid w:val="00007F77"/>
    <w:rsid w:val="00010331"/>
    <w:rsid w:val="00010816"/>
    <w:rsid w:val="000119A8"/>
    <w:rsid w:val="00011E34"/>
    <w:rsid w:val="00013A1F"/>
    <w:rsid w:val="00013E74"/>
    <w:rsid w:val="00015FBB"/>
    <w:rsid w:val="000165BA"/>
    <w:rsid w:val="000169D4"/>
    <w:rsid w:val="000204AE"/>
    <w:rsid w:val="0002236D"/>
    <w:rsid w:val="00023039"/>
    <w:rsid w:val="00023EC4"/>
    <w:rsid w:val="00024A1B"/>
    <w:rsid w:val="0002544E"/>
    <w:rsid w:val="00025A01"/>
    <w:rsid w:val="000269D7"/>
    <w:rsid w:val="00026F67"/>
    <w:rsid w:val="00027422"/>
    <w:rsid w:val="000301D5"/>
    <w:rsid w:val="00030218"/>
    <w:rsid w:val="00030475"/>
    <w:rsid w:val="00030481"/>
    <w:rsid w:val="000309C3"/>
    <w:rsid w:val="00030C81"/>
    <w:rsid w:val="000311C3"/>
    <w:rsid w:val="000322ED"/>
    <w:rsid w:val="00033253"/>
    <w:rsid w:val="000337CA"/>
    <w:rsid w:val="00034091"/>
    <w:rsid w:val="000346F7"/>
    <w:rsid w:val="00034A5B"/>
    <w:rsid w:val="00034F68"/>
    <w:rsid w:val="0003579F"/>
    <w:rsid w:val="00035B15"/>
    <w:rsid w:val="0003601D"/>
    <w:rsid w:val="0004022A"/>
    <w:rsid w:val="000416CF"/>
    <w:rsid w:val="00041A96"/>
    <w:rsid w:val="000424EB"/>
    <w:rsid w:val="00043D9F"/>
    <w:rsid w:val="00045097"/>
    <w:rsid w:val="000450A1"/>
    <w:rsid w:val="00045A08"/>
    <w:rsid w:val="00045B1F"/>
    <w:rsid w:val="00047EFB"/>
    <w:rsid w:val="000500F1"/>
    <w:rsid w:val="00050222"/>
    <w:rsid w:val="0005067B"/>
    <w:rsid w:val="00050AE9"/>
    <w:rsid w:val="00050E1D"/>
    <w:rsid w:val="00051385"/>
    <w:rsid w:val="000513A5"/>
    <w:rsid w:val="00052D78"/>
    <w:rsid w:val="000534F7"/>
    <w:rsid w:val="0005487C"/>
    <w:rsid w:val="00056191"/>
    <w:rsid w:val="00056269"/>
    <w:rsid w:val="000562A7"/>
    <w:rsid w:val="000565B8"/>
    <w:rsid w:val="00056ADC"/>
    <w:rsid w:val="00056E43"/>
    <w:rsid w:val="00057D66"/>
    <w:rsid w:val="00060774"/>
    <w:rsid w:val="00062669"/>
    <w:rsid w:val="000634EB"/>
    <w:rsid w:val="00063E95"/>
    <w:rsid w:val="00063F0C"/>
    <w:rsid w:val="00065FEE"/>
    <w:rsid w:val="00067199"/>
    <w:rsid w:val="000678C1"/>
    <w:rsid w:val="00067E8D"/>
    <w:rsid w:val="00070104"/>
    <w:rsid w:val="000703D5"/>
    <w:rsid w:val="00070411"/>
    <w:rsid w:val="0007055E"/>
    <w:rsid w:val="00070917"/>
    <w:rsid w:val="000710FE"/>
    <w:rsid w:val="00071202"/>
    <w:rsid w:val="000714CC"/>
    <w:rsid w:val="00071601"/>
    <w:rsid w:val="00071AC1"/>
    <w:rsid w:val="0007212F"/>
    <w:rsid w:val="000724FD"/>
    <w:rsid w:val="00072CB3"/>
    <w:rsid w:val="00073E57"/>
    <w:rsid w:val="00073FDF"/>
    <w:rsid w:val="00074500"/>
    <w:rsid w:val="00074D7D"/>
    <w:rsid w:val="00075832"/>
    <w:rsid w:val="00076027"/>
    <w:rsid w:val="00076568"/>
    <w:rsid w:val="00076750"/>
    <w:rsid w:val="00076C80"/>
    <w:rsid w:val="00076FD5"/>
    <w:rsid w:val="00077967"/>
    <w:rsid w:val="00080945"/>
    <w:rsid w:val="00081138"/>
    <w:rsid w:val="000825DA"/>
    <w:rsid w:val="00083270"/>
    <w:rsid w:val="00083512"/>
    <w:rsid w:val="000836E8"/>
    <w:rsid w:val="00084E73"/>
    <w:rsid w:val="00085469"/>
    <w:rsid w:val="00085A4B"/>
    <w:rsid w:val="000863DD"/>
    <w:rsid w:val="00087590"/>
    <w:rsid w:val="00087EF2"/>
    <w:rsid w:val="0009077C"/>
    <w:rsid w:val="00090A95"/>
    <w:rsid w:val="00092F3C"/>
    <w:rsid w:val="000932E4"/>
    <w:rsid w:val="00093861"/>
    <w:rsid w:val="00093C8C"/>
    <w:rsid w:val="00094896"/>
    <w:rsid w:val="00094ACB"/>
    <w:rsid w:val="00095C97"/>
    <w:rsid w:val="00097E38"/>
    <w:rsid w:val="000A021F"/>
    <w:rsid w:val="000A094F"/>
    <w:rsid w:val="000A0E8D"/>
    <w:rsid w:val="000A118E"/>
    <w:rsid w:val="000A22AB"/>
    <w:rsid w:val="000A2C7A"/>
    <w:rsid w:val="000A4E1E"/>
    <w:rsid w:val="000A5D49"/>
    <w:rsid w:val="000A6F86"/>
    <w:rsid w:val="000A6F8F"/>
    <w:rsid w:val="000B0075"/>
    <w:rsid w:val="000B045B"/>
    <w:rsid w:val="000B1576"/>
    <w:rsid w:val="000B236F"/>
    <w:rsid w:val="000B282D"/>
    <w:rsid w:val="000B286B"/>
    <w:rsid w:val="000B4978"/>
    <w:rsid w:val="000B4CDB"/>
    <w:rsid w:val="000B4E79"/>
    <w:rsid w:val="000B5516"/>
    <w:rsid w:val="000B565F"/>
    <w:rsid w:val="000B5DB0"/>
    <w:rsid w:val="000B6D63"/>
    <w:rsid w:val="000B72C9"/>
    <w:rsid w:val="000B79B0"/>
    <w:rsid w:val="000C0F01"/>
    <w:rsid w:val="000C14A3"/>
    <w:rsid w:val="000C1E84"/>
    <w:rsid w:val="000C32AA"/>
    <w:rsid w:val="000C3A40"/>
    <w:rsid w:val="000C3BE0"/>
    <w:rsid w:val="000C4572"/>
    <w:rsid w:val="000C4D98"/>
    <w:rsid w:val="000C5D2A"/>
    <w:rsid w:val="000C68DD"/>
    <w:rsid w:val="000C706B"/>
    <w:rsid w:val="000C7DC2"/>
    <w:rsid w:val="000D09A5"/>
    <w:rsid w:val="000D1B33"/>
    <w:rsid w:val="000D1BF3"/>
    <w:rsid w:val="000D26CF"/>
    <w:rsid w:val="000D316E"/>
    <w:rsid w:val="000D37B4"/>
    <w:rsid w:val="000D3D5D"/>
    <w:rsid w:val="000D7424"/>
    <w:rsid w:val="000D7D9E"/>
    <w:rsid w:val="000E1B9D"/>
    <w:rsid w:val="000E1D4C"/>
    <w:rsid w:val="000E284F"/>
    <w:rsid w:val="000E3609"/>
    <w:rsid w:val="000E3E03"/>
    <w:rsid w:val="000E4273"/>
    <w:rsid w:val="000E5C6F"/>
    <w:rsid w:val="000E6437"/>
    <w:rsid w:val="000E6E00"/>
    <w:rsid w:val="000E7763"/>
    <w:rsid w:val="000F00EA"/>
    <w:rsid w:val="000F1229"/>
    <w:rsid w:val="000F45A6"/>
    <w:rsid w:val="000F4C73"/>
    <w:rsid w:val="000F6511"/>
    <w:rsid w:val="000F71E5"/>
    <w:rsid w:val="000F7245"/>
    <w:rsid w:val="00100203"/>
    <w:rsid w:val="00100309"/>
    <w:rsid w:val="00100893"/>
    <w:rsid w:val="00101B95"/>
    <w:rsid w:val="00101CB5"/>
    <w:rsid w:val="00102461"/>
    <w:rsid w:val="001034AF"/>
    <w:rsid w:val="00104DEE"/>
    <w:rsid w:val="0010556C"/>
    <w:rsid w:val="0010617D"/>
    <w:rsid w:val="00106493"/>
    <w:rsid w:val="0010712D"/>
    <w:rsid w:val="0010718D"/>
    <w:rsid w:val="00107504"/>
    <w:rsid w:val="00110821"/>
    <w:rsid w:val="00111B8C"/>
    <w:rsid w:val="00111D45"/>
    <w:rsid w:val="00112539"/>
    <w:rsid w:val="00112E04"/>
    <w:rsid w:val="001130B7"/>
    <w:rsid w:val="00114BF6"/>
    <w:rsid w:val="0011625F"/>
    <w:rsid w:val="00117B8F"/>
    <w:rsid w:val="0012114E"/>
    <w:rsid w:val="0012154B"/>
    <w:rsid w:val="00121E30"/>
    <w:rsid w:val="0012299E"/>
    <w:rsid w:val="00123223"/>
    <w:rsid w:val="001236C0"/>
    <w:rsid w:val="00124073"/>
    <w:rsid w:val="00124880"/>
    <w:rsid w:val="0012494E"/>
    <w:rsid w:val="001249BF"/>
    <w:rsid w:val="00124A09"/>
    <w:rsid w:val="00125E6B"/>
    <w:rsid w:val="001264BB"/>
    <w:rsid w:val="00126B9F"/>
    <w:rsid w:val="00127109"/>
    <w:rsid w:val="00127F8C"/>
    <w:rsid w:val="00132F81"/>
    <w:rsid w:val="00133506"/>
    <w:rsid w:val="0013382A"/>
    <w:rsid w:val="00133D25"/>
    <w:rsid w:val="00134496"/>
    <w:rsid w:val="001347F6"/>
    <w:rsid w:val="00134A4A"/>
    <w:rsid w:val="00134AB2"/>
    <w:rsid w:val="00135699"/>
    <w:rsid w:val="00135B05"/>
    <w:rsid w:val="00135D9F"/>
    <w:rsid w:val="00135DCC"/>
    <w:rsid w:val="0013676D"/>
    <w:rsid w:val="00136DE0"/>
    <w:rsid w:val="00140161"/>
    <w:rsid w:val="001406FC"/>
    <w:rsid w:val="00140EB9"/>
    <w:rsid w:val="00143182"/>
    <w:rsid w:val="00144032"/>
    <w:rsid w:val="001440EE"/>
    <w:rsid w:val="001442FF"/>
    <w:rsid w:val="00144568"/>
    <w:rsid w:val="0014475D"/>
    <w:rsid w:val="00145028"/>
    <w:rsid w:val="00145833"/>
    <w:rsid w:val="00145901"/>
    <w:rsid w:val="00145B67"/>
    <w:rsid w:val="0014661F"/>
    <w:rsid w:val="001467A5"/>
    <w:rsid w:val="001471AF"/>
    <w:rsid w:val="00147798"/>
    <w:rsid w:val="00147AE3"/>
    <w:rsid w:val="00147C83"/>
    <w:rsid w:val="00147F5E"/>
    <w:rsid w:val="00147FC1"/>
    <w:rsid w:val="00150A9F"/>
    <w:rsid w:val="00150BB2"/>
    <w:rsid w:val="00150DF1"/>
    <w:rsid w:val="001520CD"/>
    <w:rsid w:val="00152197"/>
    <w:rsid w:val="0015250B"/>
    <w:rsid w:val="00152567"/>
    <w:rsid w:val="00153031"/>
    <w:rsid w:val="00153064"/>
    <w:rsid w:val="001535A3"/>
    <w:rsid w:val="001540F9"/>
    <w:rsid w:val="00156EC6"/>
    <w:rsid w:val="001572BE"/>
    <w:rsid w:val="00157B9A"/>
    <w:rsid w:val="00160BC8"/>
    <w:rsid w:val="00161509"/>
    <w:rsid w:val="001626A5"/>
    <w:rsid w:val="001639EA"/>
    <w:rsid w:val="00164200"/>
    <w:rsid w:val="001650A2"/>
    <w:rsid w:val="0016540D"/>
    <w:rsid w:val="00167D6D"/>
    <w:rsid w:val="00170313"/>
    <w:rsid w:val="001703D7"/>
    <w:rsid w:val="001704FA"/>
    <w:rsid w:val="00170D53"/>
    <w:rsid w:val="00170D92"/>
    <w:rsid w:val="00172261"/>
    <w:rsid w:val="00173723"/>
    <w:rsid w:val="001737C7"/>
    <w:rsid w:val="00173EAD"/>
    <w:rsid w:val="00174113"/>
    <w:rsid w:val="0017412C"/>
    <w:rsid w:val="0017464C"/>
    <w:rsid w:val="00174712"/>
    <w:rsid w:val="00174840"/>
    <w:rsid w:val="00174914"/>
    <w:rsid w:val="00175D1E"/>
    <w:rsid w:val="00176462"/>
    <w:rsid w:val="001775F7"/>
    <w:rsid w:val="0018094E"/>
    <w:rsid w:val="00180E0E"/>
    <w:rsid w:val="0018188A"/>
    <w:rsid w:val="00181FC7"/>
    <w:rsid w:val="00182147"/>
    <w:rsid w:val="00182B1F"/>
    <w:rsid w:val="00183189"/>
    <w:rsid w:val="00183293"/>
    <w:rsid w:val="001833E3"/>
    <w:rsid w:val="001842C1"/>
    <w:rsid w:val="0018454E"/>
    <w:rsid w:val="001845BA"/>
    <w:rsid w:val="001847B5"/>
    <w:rsid w:val="001863E6"/>
    <w:rsid w:val="0018722F"/>
    <w:rsid w:val="00187537"/>
    <w:rsid w:val="001875AA"/>
    <w:rsid w:val="00187E2D"/>
    <w:rsid w:val="00187E37"/>
    <w:rsid w:val="00187E58"/>
    <w:rsid w:val="00192DBE"/>
    <w:rsid w:val="00193263"/>
    <w:rsid w:val="00194049"/>
    <w:rsid w:val="00194FDB"/>
    <w:rsid w:val="001963FF"/>
    <w:rsid w:val="001965E2"/>
    <w:rsid w:val="00196F94"/>
    <w:rsid w:val="00197CB6"/>
    <w:rsid w:val="001A0663"/>
    <w:rsid w:val="001A1505"/>
    <w:rsid w:val="001A1CF0"/>
    <w:rsid w:val="001A1FD4"/>
    <w:rsid w:val="001A231D"/>
    <w:rsid w:val="001A2C43"/>
    <w:rsid w:val="001A2EFF"/>
    <w:rsid w:val="001A30DB"/>
    <w:rsid w:val="001A3158"/>
    <w:rsid w:val="001A5594"/>
    <w:rsid w:val="001A565D"/>
    <w:rsid w:val="001A5E8C"/>
    <w:rsid w:val="001A60D8"/>
    <w:rsid w:val="001A749E"/>
    <w:rsid w:val="001A7AC9"/>
    <w:rsid w:val="001B1356"/>
    <w:rsid w:val="001B17DF"/>
    <w:rsid w:val="001B19F5"/>
    <w:rsid w:val="001B1A25"/>
    <w:rsid w:val="001B27F7"/>
    <w:rsid w:val="001B2999"/>
    <w:rsid w:val="001B2EE6"/>
    <w:rsid w:val="001B2FC6"/>
    <w:rsid w:val="001B30B4"/>
    <w:rsid w:val="001B30C3"/>
    <w:rsid w:val="001B3AAE"/>
    <w:rsid w:val="001B46CA"/>
    <w:rsid w:val="001B4AAC"/>
    <w:rsid w:val="001B4FDF"/>
    <w:rsid w:val="001B5255"/>
    <w:rsid w:val="001B5BAA"/>
    <w:rsid w:val="001B6214"/>
    <w:rsid w:val="001B67E5"/>
    <w:rsid w:val="001B77C9"/>
    <w:rsid w:val="001C09A4"/>
    <w:rsid w:val="001C1046"/>
    <w:rsid w:val="001C1C6A"/>
    <w:rsid w:val="001C2828"/>
    <w:rsid w:val="001C3D72"/>
    <w:rsid w:val="001C49CA"/>
    <w:rsid w:val="001C5DE6"/>
    <w:rsid w:val="001C6121"/>
    <w:rsid w:val="001C628D"/>
    <w:rsid w:val="001C66A8"/>
    <w:rsid w:val="001C73E7"/>
    <w:rsid w:val="001C7C0F"/>
    <w:rsid w:val="001D039E"/>
    <w:rsid w:val="001D0D7D"/>
    <w:rsid w:val="001D15A2"/>
    <w:rsid w:val="001D171C"/>
    <w:rsid w:val="001D1752"/>
    <w:rsid w:val="001D18B0"/>
    <w:rsid w:val="001D33A7"/>
    <w:rsid w:val="001D406D"/>
    <w:rsid w:val="001D4954"/>
    <w:rsid w:val="001D4B6B"/>
    <w:rsid w:val="001D58C1"/>
    <w:rsid w:val="001D5FCB"/>
    <w:rsid w:val="001D62A0"/>
    <w:rsid w:val="001D68F5"/>
    <w:rsid w:val="001D77C5"/>
    <w:rsid w:val="001E02B9"/>
    <w:rsid w:val="001E3D3E"/>
    <w:rsid w:val="001E3E3B"/>
    <w:rsid w:val="001E4ADF"/>
    <w:rsid w:val="001E4B9C"/>
    <w:rsid w:val="001E5F83"/>
    <w:rsid w:val="001E6D4B"/>
    <w:rsid w:val="001E7420"/>
    <w:rsid w:val="001E763C"/>
    <w:rsid w:val="001E780F"/>
    <w:rsid w:val="001F088D"/>
    <w:rsid w:val="001F1CB5"/>
    <w:rsid w:val="001F227E"/>
    <w:rsid w:val="001F2427"/>
    <w:rsid w:val="001F385D"/>
    <w:rsid w:val="001F3930"/>
    <w:rsid w:val="001F3DD3"/>
    <w:rsid w:val="001F4216"/>
    <w:rsid w:val="001F42D6"/>
    <w:rsid w:val="001F4618"/>
    <w:rsid w:val="001F563F"/>
    <w:rsid w:val="001F5683"/>
    <w:rsid w:val="001F66DA"/>
    <w:rsid w:val="001F73D7"/>
    <w:rsid w:val="00201B31"/>
    <w:rsid w:val="00201FAE"/>
    <w:rsid w:val="00202227"/>
    <w:rsid w:val="0020252F"/>
    <w:rsid w:val="0020414F"/>
    <w:rsid w:val="002054B5"/>
    <w:rsid w:val="00206C05"/>
    <w:rsid w:val="00206C9B"/>
    <w:rsid w:val="00207041"/>
    <w:rsid w:val="002109DA"/>
    <w:rsid w:val="002116D6"/>
    <w:rsid w:val="00211E52"/>
    <w:rsid w:val="00212081"/>
    <w:rsid w:val="002121A2"/>
    <w:rsid w:val="002126B0"/>
    <w:rsid w:val="00212CCB"/>
    <w:rsid w:val="00212D50"/>
    <w:rsid w:val="00212F27"/>
    <w:rsid w:val="002130E3"/>
    <w:rsid w:val="00213AE8"/>
    <w:rsid w:val="00213D89"/>
    <w:rsid w:val="00214120"/>
    <w:rsid w:val="002154BA"/>
    <w:rsid w:val="002157A2"/>
    <w:rsid w:val="00216B01"/>
    <w:rsid w:val="00220621"/>
    <w:rsid w:val="00220A49"/>
    <w:rsid w:val="00220CB0"/>
    <w:rsid w:val="00222711"/>
    <w:rsid w:val="00223132"/>
    <w:rsid w:val="0022382B"/>
    <w:rsid w:val="00224B7B"/>
    <w:rsid w:val="0022543F"/>
    <w:rsid w:val="002260E7"/>
    <w:rsid w:val="00226EFB"/>
    <w:rsid w:val="00227CC0"/>
    <w:rsid w:val="00227E3C"/>
    <w:rsid w:val="002315D5"/>
    <w:rsid w:val="00231690"/>
    <w:rsid w:val="00231769"/>
    <w:rsid w:val="00231A5C"/>
    <w:rsid w:val="00232888"/>
    <w:rsid w:val="00233480"/>
    <w:rsid w:val="00233DF2"/>
    <w:rsid w:val="00235172"/>
    <w:rsid w:val="00235CF2"/>
    <w:rsid w:val="00235E00"/>
    <w:rsid w:val="00236286"/>
    <w:rsid w:val="002362FD"/>
    <w:rsid w:val="00236AC0"/>
    <w:rsid w:val="00236DE6"/>
    <w:rsid w:val="0024022A"/>
    <w:rsid w:val="00240720"/>
    <w:rsid w:val="00241129"/>
    <w:rsid w:val="002419F8"/>
    <w:rsid w:val="0024225A"/>
    <w:rsid w:val="00243255"/>
    <w:rsid w:val="0024509C"/>
    <w:rsid w:val="00245BBB"/>
    <w:rsid w:val="00246098"/>
    <w:rsid w:val="00246C49"/>
    <w:rsid w:val="00246FBB"/>
    <w:rsid w:val="00247BF4"/>
    <w:rsid w:val="00250027"/>
    <w:rsid w:val="00250917"/>
    <w:rsid w:val="00250EEC"/>
    <w:rsid w:val="00250EFD"/>
    <w:rsid w:val="002519A9"/>
    <w:rsid w:val="00251FDB"/>
    <w:rsid w:val="00251FFD"/>
    <w:rsid w:val="00252607"/>
    <w:rsid w:val="002530CF"/>
    <w:rsid w:val="00253174"/>
    <w:rsid w:val="00254F92"/>
    <w:rsid w:val="00255294"/>
    <w:rsid w:val="002558D8"/>
    <w:rsid w:val="00255A2F"/>
    <w:rsid w:val="0025657B"/>
    <w:rsid w:val="0025794F"/>
    <w:rsid w:val="002606E9"/>
    <w:rsid w:val="00261123"/>
    <w:rsid w:val="002620AF"/>
    <w:rsid w:val="002624E1"/>
    <w:rsid w:val="0026282D"/>
    <w:rsid w:val="00262CF3"/>
    <w:rsid w:val="002630E3"/>
    <w:rsid w:val="00263E21"/>
    <w:rsid w:val="002640E6"/>
    <w:rsid w:val="00264B18"/>
    <w:rsid w:val="00264B29"/>
    <w:rsid w:val="00265839"/>
    <w:rsid w:val="00265A25"/>
    <w:rsid w:val="00266383"/>
    <w:rsid w:val="00267456"/>
    <w:rsid w:val="00267DD6"/>
    <w:rsid w:val="0027169C"/>
    <w:rsid w:val="00271E37"/>
    <w:rsid w:val="002726B4"/>
    <w:rsid w:val="00272F47"/>
    <w:rsid w:val="00273A04"/>
    <w:rsid w:val="00274F78"/>
    <w:rsid w:val="00275B9E"/>
    <w:rsid w:val="00275C49"/>
    <w:rsid w:val="00275E01"/>
    <w:rsid w:val="00276379"/>
    <w:rsid w:val="00277187"/>
    <w:rsid w:val="00277737"/>
    <w:rsid w:val="0028136B"/>
    <w:rsid w:val="002813A4"/>
    <w:rsid w:val="002813F9"/>
    <w:rsid w:val="0028219A"/>
    <w:rsid w:val="002825CE"/>
    <w:rsid w:val="00283503"/>
    <w:rsid w:val="002839C4"/>
    <w:rsid w:val="0028561B"/>
    <w:rsid w:val="00286861"/>
    <w:rsid w:val="00286D2E"/>
    <w:rsid w:val="00286FA1"/>
    <w:rsid w:val="00287B65"/>
    <w:rsid w:val="00287DF6"/>
    <w:rsid w:val="0029023A"/>
    <w:rsid w:val="002906E1"/>
    <w:rsid w:val="002914BB"/>
    <w:rsid w:val="00291510"/>
    <w:rsid w:val="00292149"/>
    <w:rsid w:val="0029293C"/>
    <w:rsid w:val="00292C01"/>
    <w:rsid w:val="00293364"/>
    <w:rsid w:val="00293AB5"/>
    <w:rsid w:val="00293D47"/>
    <w:rsid w:val="0029423A"/>
    <w:rsid w:val="0029589C"/>
    <w:rsid w:val="00295FF9"/>
    <w:rsid w:val="002961FD"/>
    <w:rsid w:val="00296597"/>
    <w:rsid w:val="00296F82"/>
    <w:rsid w:val="00297F94"/>
    <w:rsid w:val="002A0A43"/>
    <w:rsid w:val="002A1323"/>
    <w:rsid w:val="002A15C3"/>
    <w:rsid w:val="002A25A0"/>
    <w:rsid w:val="002A2B6D"/>
    <w:rsid w:val="002A2DD8"/>
    <w:rsid w:val="002A30BB"/>
    <w:rsid w:val="002A3569"/>
    <w:rsid w:val="002A3914"/>
    <w:rsid w:val="002A53D4"/>
    <w:rsid w:val="002A5CB3"/>
    <w:rsid w:val="002A5DAF"/>
    <w:rsid w:val="002A6838"/>
    <w:rsid w:val="002A6DF5"/>
    <w:rsid w:val="002A7F38"/>
    <w:rsid w:val="002B00F8"/>
    <w:rsid w:val="002B05FB"/>
    <w:rsid w:val="002B0B36"/>
    <w:rsid w:val="002B121A"/>
    <w:rsid w:val="002B1272"/>
    <w:rsid w:val="002B1FAC"/>
    <w:rsid w:val="002B3B2C"/>
    <w:rsid w:val="002B4205"/>
    <w:rsid w:val="002B46D2"/>
    <w:rsid w:val="002B4BAE"/>
    <w:rsid w:val="002B5392"/>
    <w:rsid w:val="002B62AF"/>
    <w:rsid w:val="002B66CA"/>
    <w:rsid w:val="002B71BE"/>
    <w:rsid w:val="002B7C25"/>
    <w:rsid w:val="002C067B"/>
    <w:rsid w:val="002C0D0A"/>
    <w:rsid w:val="002C1FA5"/>
    <w:rsid w:val="002C2328"/>
    <w:rsid w:val="002C2FEE"/>
    <w:rsid w:val="002C3563"/>
    <w:rsid w:val="002C36E8"/>
    <w:rsid w:val="002C3B8E"/>
    <w:rsid w:val="002C5981"/>
    <w:rsid w:val="002C598C"/>
    <w:rsid w:val="002C5BB5"/>
    <w:rsid w:val="002C627E"/>
    <w:rsid w:val="002C6FB0"/>
    <w:rsid w:val="002C72F8"/>
    <w:rsid w:val="002D0CD4"/>
    <w:rsid w:val="002D13B9"/>
    <w:rsid w:val="002D171A"/>
    <w:rsid w:val="002D1BF9"/>
    <w:rsid w:val="002D28EA"/>
    <w:rsid w:val="002D2A80"/>
    <w:rsid w:val="002D3B9B"/>
    <w:rsid w:val="002D407C"/>
    <w:rsid w:val="002D4311"/>
    <w:rsid w:val="002D46AA"/>
    <w:rsid w:val="002D4791"/>
    <w:rsid w:val="002D47B9"/>
    <w:rsid w:val="002D79FA"/>
    <w:rsid w:val="002D7F63"/>
    <w:rsid w:val="002E0B44"/>
    <w:rsid w:val="002E192B"/>
    <w:rsid w:val="002E21AF"/>
    <w:rsid w:val="002E2316"/>
    <w:rsid w:val="002E2753"/>
    <w:rsid w:val="002E3B20"/>
    <w:rsid w:val="002E600E"/>
    <w:rsid w:val="002E6278"/>
    <w:rsid w:val="002E6986"/>
    <w:rsid w:val="002E7005"/>
    <w:rsid w:val="002E7BB4"/>
    <w:rsid w:val="002F0144"/>
    <w:rsid w:val="002F018B"/>
    <w:rsid w:val="002F1A41"/>
    <w:rsid w:val="002F1D9F"/>
    <w:rsid w:val="002F2315"/>
    <w:rsid w:val="002F25F8"/>
    <w:rsid w:val="002F2DE7"/>
    <w:rsid w:val="002F3270"/>
    <w:rsid w:val="002F3FB7"/>
    <w:rsid w:val="002F4D23"/>
    <w:rsid w:val="002F4F0E"/>
    <w:rsid w:val="002F5D2A"/>
    <w:rsid w:val="002F5E22"/>
    <w:rsid w:val="002F5F2D"/>
    <w:rsid w:val="002F5F4B"/>
    <w:rsid w:val="002F78C7"/>
    <w:rsid w:val="002F7AEB"/>
    <w:rsid w:val="00301D2B"/>
    <w:rsid w:val="0030252A"/>
    <w:rsid w:val="00302A63"/>
    <w:rsid w:val="003038EA"/>
    <w:rsid w:val="00303BF2"/>
    <w:rsid w:val="00303D68"/>
    <w:rsid w:val="0030415A"/>
    <w:rsid w:val="003049FA"/>
    <w:rsid w:val="00304B6D"/>
    <w:rsid w:val="0030523C"/>
    <w:rsid w:val="003076AE"/>
    <w:rsid w:val="00310885"/>
    <w:rsid w:val="003109C4"/>
    <w:rsid w:val="00310A8F"/>
    <w:rsid w:val="00311263"/>
    <w:rsid w:val="00311C2F"/>
    <w:rsid w:val="00312211"/>
    <w:rsid w:val="00312A34"/>
    <w:rsid w:val="00312C5C"/>
    <w:rsid w:val="00312F5E"/>
    <w:rsid w:val="00313836"/>
    <w:rsid w:val="003148DB"/>
    <w:rsid w:val="003167F4"/>
    <w:rsid w:val="0031693D"/>
    <w:rsid w:val="003179FA"/>
    <w:rsid w:val="00317C5B"/>
    <w:rsid w:val="0032060B"/>
    <w:rsid w:val="00321148"/>
    <w:rsid w:val="00321D74"/>
    <w:rsid w:val="00321E1D"/>
    <w:rsid w:val="00322234"/>
    <w:rsid w:val="003228B2"/>
    <w:rsid w:val="00323E28"/>
    <w:rsid w:val="00323FD7"/>
    <w:rsid w:val="00327172"/>
    <w:rsid w:val="00327827"/>
    <w:rsid w:val="00330C7B"/>
    <w:rsid w:val="003314C7"/>
    <w:rsid w:val="0033383C"/>
    <w:rsid w:val="003343DE"/>
    <w:rsid w:val="00335215"/>
    <w:rsid w:val="00337D05"/>
    <w:rsid w:val="00340F57"/>
    <w:rsid w:val="00341109"/>
    <w:rsid w:val="00341EF3"/>
    <w:rsid w:val="0034240A"/>
    <w:rsid w:val="003439F6"/>
    <w:rsid w:val="00344724"/>
    <w:rsid w:val="00344DF8"/>
    <w:rsid w:val="003450FB"/>
    <w:rsid w:val="003453AF"/>
    <w:rsid w:val="00345C66"/>
    <w:rsid w:val="00346E59"/>
    <w:rsid w:val="00347508"/>
    <w:rsid w:val="00350285"/>
    <w:rsid w:val="0035030D"/>
    <w:rsid w:val="00350E1D"/>
    <w:rsid w:val="00350F0B"/>
    <w:rsid w:val="00352D92"/>
    <w:rsid w:val="00353E69"/>
    <w:rsid w:val="00353ED5"/>
    <w:rsid w:val="00354A41"/>
    <w:rsid w:val="00354FDD"/>
    <w:rsid w:val="003557C0"/>
    <w:rsid w:val="00355AAD"/>
    <w:rsid w:val="00355FA3"/>
    <w:rsid w:val="00356049"/>
    <w:rsid w:val="0035643F"/>
    <w:rsid w:val="0035682A"/>
    <w:rsid w:val="00356FB0"/>
    <w:rsid w:val="00357E47"/>
    <w:rsid w:val="00360403"/>
    <w:rsid w:val="00360BF1"/>
    <w:rsid w:val="00360D81"/>
    <w:rsid w:val="003615D8"/>
    <w:rsid w:val="00363280"/>
    <w:rsid w:val="003635E5"/>
    <w:rsid w:val="00364700"/>
    <w:rsid w:val="00364ABD"/>
    <w:rsid w:val="0036575A"/>
    <w:rsid w:val="003659DE"/>
    <w:rsid w:val="003665FD"/>
    <w:rsid w:val="0036779C"/>
    <w:rsid w:val="00371023"/>
    <w:rsid w:val="00371767"/>
    <w:rsid w:val="00371FAC"/>
    <w:rsid w:val="00372328"/>
    <w:rsid w:val="00372F4E"/>
    <w:rsid w:val="003736EC"/>
    <w:rsid w:val="00373884"/>
    <w:rsid w:val="00374A42"/>
    <w:rsid w:val="00374B90"/>
    <w:rsid w:val="00374CD9"/>
    <w:rsid w:val="0037545E"/>
    <w:rsid w:val="00375562"/>
    <w:rsid w:val="003755C0"/>
    <w:rsid w:val="00376090"/>
    <w:rsid w:val="0037616A"/>
    <w:rsid w:val="003776A3"/>
    <w:rsid w:val="00377BD0"/>
    <w:rsid w:val="00377D8B"/>
    <w:rsid w:val="003800AE"/>
    <w:rsid w:val="00380214"/>
    <w:rsid w:val="00380E04"/>
    <w:rsid w:val="0038255F"/>
    <w:rsid w:val="00382776"/>
    <w:rsid w:val="003827D2"/>
    <w:rsid w:val="00383121"/>
    <w:rsid w:val="0038469D"/>
    <w:rsid w:val="003848C4"/>
    <w:rsid w:val="00384AD2"/>
    <w:rsid w:val="00385C79"/>
    <w:rsid w:val="003862F5"/>
    <w:rsid w:val="00386BE5"/>
    <w:rsid w:val="00386EC4"/>
    <w:rsid w:val="0039229F"/>
    <w:rsid w:val="003922A0"/>
    <w:rsid w:val="003926C0"/>
    <w:rsid w:val="003928C7"/>
    <w:rsid w:val="00392964"/>
    <w:rsid w:val="00392B21"/>
    <w:rsid w:val="003930D3"/>
    <w:rsid w:val="003936A3"/>
    <w:rsid w:val="00394260"/>
    <w:rsid w:val="003947A2"/>
    <w:rsid w:val="003953D1"/>
    <w:rsid w:val="003957FB"/>
    <w:rsid w:val="00395897"/>
    <w:rsid w:val="00395DFB"/>
    <w:rsid w:val="00395F0A"/>
    <w:rsid w:val="00396581"/>
    <w:rsid w:val="00396F65"/>
    <w:rsid w:val="0039724F"/>
    <w:rsid w:val="00397661"/>
    <w:rsid w:val="00397D5D"/>
    <w:rsid w:val="00397F3D"/>
    <w:rsid w:val="003A0AC5"/>
    <w:rsid w:val="003A0EFF"/>
    <w:rsid w:val="003A1416"/>
    <w:rsid w:val="003A1C6B"/>
    <w:rsid w:val="003A2B5D"/>
    <w:rsid w:val="003A30C7"/>
    <w:rsid w:val="003A3517"/>
    <w:rsid w:val="003A371B"/>
    <w:rsid w:val="003A3803"/>
    <w:rsid w:val="003A42CD"/>
    <w:rsid w:val="003A4DC9"/>
    <w:rsid w:val="003A55AD"/>
    <w:rsid w:val="003A582A"/>
    <w:rsid w:val="003A64A0"/>
    <w:rsid w:val="003A70BD"/>
    <w:rsid w:val="003A7B00"/>
    <w:rsid w:val="003A7C53"/>
    <w:rsid w:val="003B0209"/>
    <w:rsid w:val="003B0C52"/>
    <w:rsid w:val="003B0F72"/>
    <w:rsid w:val="003B1C81"/>
    <w:rsid w:val="003B2885"/>
    <w:rsid w:val="003B2C48"/>
    <w:rsid w:val="003B3543"/>
    <w:rsid w:val="003B3FBD"/>
    <w:rsid w:val="003B4AD6"/>
    <w:rsid w:val="003B5819"/>
    <w:rsid w:val="003B634C"/>
    <w:rsid w:val="003B6684"/>
    <w:rsid w:val="003B7461"/>
    <w:rsid w:val="003C1649"/>
    <w:rsid w:val="003C18B2"/>
    <w:rsid w:val="003C18BB"/>
    <w:rsid w:val="003C247E"/>
    <w:rsid w:val="003C31AA"/>
    <w:rsid w:val="003C36B1"/>
    <w:rsid w:val="003C39C0"/>
    <w:rsid w:val="003C3EF0"/>
    <w:rsid w:val="003C41B6"/>
    <w:rsid w:val="003C42EC"/>
    <w:rsid w:val="003C431B"/>
    <w:rsid w:val="003C5297"/>
    <w:rsid w:val="003C6E2D"/>
    <w:rsid w:val="003C6FC4"/>
    <w:rsid w:val="003C736F"/>
    <w:rsid w:val="003D0158"/>
    <w:rsid w:val="003D089B"/>
    <w:rsid w:val="003D0F57"/>
    <w:rsid w:val="003D248F"/>
    <w:rsid w:val="003D26C2"/>
    <w:rsid w:val="003D441E"/>
    <w:rsid w:val="003D467D"/>
    <w:rsid w:val="003D48FD"/>
    <w:rsid w:val="003D491D"/>
    <w:rsid w:val="003D56EF"/>
    <w:rsid w:val="003D5EE7"/>
    <w:rsid w:val="003D6A42"/>
    <w:rsid w:val="003D6C39"/>
    <w:rsid w:val="003D7685"/>
    <w:rsid w:val="003E060C"/>
    <w:rsid w:val="003E0ACC"/>
    <w:rsid w:val="003E0B8B"/>
    <w:rsid w:val="003E0BB5"/>
    <w:rsid w:val="003E0DE2"/>
    <w:rsid w:val="003E1398"/>
    <w:rsid w:val="003E189A"/>
    <w:rsid w:val="003E2CF3"/>
    <w:rsid w:val="003E3A3A"/>
    <w:rsid w:val="003E44CD"/>
    <w:rsid w:val="003E46AD"/>
    <w:rsid w:val="003E506E"/>
    <w:rsid w:val="003E6B55"/>
    <w:rsid w:val="003E6CFC"/>
    <w:rsid w:val="003F05D4"/>
    <w:rsid w:val="003F0A4D"/>
    <w:rsid w:val="003F171D"/>
    <w:rsid w:val="003F1B06"/>
    <w:rsid w:val="003F21EA"/>
    <w:rsid w:val="003F2286"/>
    <w:rsid w:val="003F2FDF"/>
    <w:rsid w:val="003F452A"/>
    <w:rsid w:val="003F4DD3"/>
    <w:rsid w:val="003F64E7"/>
    <w:rsid w:val="003F69CB"/>
    <w:rsid w:val="003F6FF4"/>
    <w:rsid w:val="003F71C1"/>
    <w:rsid w:val="004005F3"/>
    <w:rsid w:val="004006DE"/>
    <w:rsid w:val="00401084"/>
    <w:rsid w:val="0040114B"/>
    <w:rsid w:val="004013B3"/>
    <w:rsid w:val="00401E77"/>
    <w:rsid w:val="00404F61"/>
    <w:rsid w:val="00406156"/>
    <w:rsid w:val="00406F62"/>
    <w:rsid w:val="00406FEC"/>
    <w:rsid w:val="00407C84"/>
    <w:rsid w:val="00407E43"/>
    <w:rsid w:val="004108A8"/>
    <w:rsid w:val="0041148E"/>
    <w:rsid w:val="00411CEE"/>
    <w:rsid w:val="004122C9"/>
    <w:rsid w:val="00412459"/>
    <w:rsid w:val="0041260E"/>
    <w:rsid w:val="0041263F"/>
    <w:rsid w:val="00412910"/>
    <w:rsid w:val="00412A37"/>
    <w:rsid w:val="00413BF9"/>
    <w:rsid w:val="0041607E"/>
    <w:rsid w:val="00416178"/>
    <w:rsid w:val="004162B6"/>
    <w:rsid w:val="00417806"/>
    <w:rsid w:val="00417953"/>
    <w:rsid w:val="0041797E"/>
    <w:rsid w:val="00417A20"/>
    <w:rsid w:val="00417A26"/>
    <w:rsid w:val="004201C1"/>
    <w:rsid w:val="00420E63"/>
    <w:rsid w:val="004212A9"/>
    <w:rsid w:val="00422636"/>
    <w:rsid w:val="00422BE8"/>
    <w:rsid w:val="00424169"/>
    <w:rsid w:val="00424486"/>
    <w:rsid w:val="004255BB"/>
    <w:rsid w:val="00425E7B"/>
    <w:rsid w:val="00426E7E"/>
    <w:rsid w:val="00427C68"/>
    <w:rsid w:val="00431946"/>
    <w:rsid w:val="004329F3"/>
    <w:rsid w:val="00432DED"/>
    <w:rsid w:val="00434EC8"/>
    <w:rsid w:val="004350C1"/>
    <w:rsid w:val="00436058"/>
    <w:rsid w:val="004362D9"/>
    <w:rsid w:val="00436D3A"/>
    <w:rsid w:val="004418C3"/>
    <w:rsid w:val="00442FDA"/>
    <w:rsid w:val="00444691"/>
    <w:rsid w:val="004452D4"/>
    <w:rsid w:val="00445851"/>
    <w:rsid w:val="00445E2B"/>
    <w:rsid w:val="00445F18"/>
    <w:rsid w:val="004465ED"/>
    <w:rsid w:val="00446699"/>
    <w:rsid w:val="00446955"/>
    <w:rsid w:val="00446DCD"/>
    <w:rsid w:val="00447A59"/>
    <w:rsid w:val="00447DF9"/>
    <w:rsid w:val="004507E6"/>
    <w:rsid w:val="00450F0B"/>
    <w:rsid w:val="00451064"/>
    <w:rsid w:val="00452FB7"/>
    <w:rsid w:val="004531E5"/>
    <w:rsid w:val="00453B22"/>
    <w:rsid w:val="00453FCD"/>
    <w:rsid w:val="00454B75"/>
    <w:rsid w:val="00454CC5"/>
    <w:rsid w:val="004560E8"/>
    <w:rsid w:val="004570AF"/>
    <w:rsid w:val="004573E3"/>
    <w:rsid w:val="004574D6"/>
    <w:rsid w:val="004574EC"/>
    <w:rsid w:val="004579E3"/>
    <w:rsid w:val="00457EA7"/>
    <w:rsid w:val="00460150"/>
    <w:rsid w:val="004605F9"/>
    <w:rsid w:val="00460C82"/>
    <w:rsid w:val="00461BAC"/>
    <w:rsid w:val="00461D17"/>
    <w:rsid w:val="0046277B"/>
    <w:rsid w:val="004644B9"/>
    <w:rsid w:val="00465F79"/>
    <w:rsid w:val="00466455"/>
    <w:rsid w:val="00466F3F"/>
    <w:rsid w:val="0046733C"/>
    <w:rsid w:val="004674F4"/>
    <w:rsid w:val="00471249"/>
    <w:rsid w:val="004719A6"/>
    <w:rsid w:val="00471A68"/>
    <w:rsid w:val="00472329"/>
    <w:rsid w:val="00472BA1"/>
    <w:rsid w:val="00473360"/>
    <w:rsid w:val="00473A9B"/>
    <w:rsid w:val="00473AD0"/>
    <w:rsid w:val="00473B12"/>
    <w:rsid w:val="00473D4D"/>
    <w:rsid w:val="00474094"/>
    <w:rsid w:val="00475394"/>
    <w:rsid w:val="00475F37"/>
    <w:rsid w:val="00476A09"/>
    <w:rsid w:val="0047725A"/>
    <w:rsid w:val="00477789"/>
    <w:rsid w:val="004778D4"/>
    <w:rsid w:val="00477EF5"/>
    <w:rsid w:val="0048160C"/>
    <w:rsid w:val="004817D6"/>
    <w:rsid w:val="004820A6"/>
    <w:rsid w:val="0048265E"/>
    <w:rsid w:val="00482CC9"/>
    <w:rsid w:val="0048316B"/>
    <w:rsid w:val="00483971"/>
    <w:rsid w:val="004850B8"/>
    <w:rsid w:val="00485647"/>
    <w:rsid w:val="00485B83"/>
    <w:rsid w:val="00487BE8"/>
    <w:rsid w:val="004901FD"/>
    <w:rsid w:val="00490617"/>
    <w:rsid w:val="004909CD"/>
    <w:rsid w:val="00491791"/>
    <w:rsid w:val="00491D9A"/>
    <w:rsid w:val="00491EB3"/>
    <w:rsid w:val="004925DD"/>
    <w:rsid w:val="004933F9"/>
    <w:rsid w:val="00493514"/>
    <w:rsid w:val="004940AC"/>
    <w:rsid w:val="004963AA"/>
    <w:rsid w:val="00496636"/>
    <w:rsid w:val="00496AE0"/>
    <w:rsid w:val="00497985"/>
    <w:rsid w:val="00497E14"/>
    <w:rsid w:val="004A06FC"/>
    <w:rsid w:val="004A11B0"/>
    <w:rsid w:val="004A2197"/>
    <w:rsid w:val="004A3118"/>
    <w:rsid w:val="004A4639"/>
    <w:rsid w:val="004A4822"/>
    <w:rsid w:val="004A48CE"/>
    <w:rsid w:val="004A53D0"/>
    <w:rsid w:val="004A5563"/>
    <w:rsid w:val="004A6276"/>
    <w:rsid w:val="004A66C0"/>
    <w:rsid w:val="004A67C3"/>
    <w:rsid w:val="004A6819"/>
    <w:rsid w:val="004A70A7"/>
    <w:rsid w:val="004A7279"/>
    <w:rsid w:val="004B0264"/>
    <w:rsid w:val="004B0AE2"/>
    <w:rsid w:val="004B190C"/>
    <w:rsid w:val="004B3A7E"/>
    <w:rsid w:val="004B4304"/>
    <w:rsid w:val="004B4338"/>
    <w:rsid w:val="004B4BEC"/>
    <w:rsid w:val="004B4E9C"/>
    <w:rsid w:val="004B58A8"/>
    <w:rsid w:val="004B631F"/>
    <w:rsid w:val="004B6A62"/>
    <w:rsid w:val="004B6DC3"/>
    <w:rsid w:val="004B70C3"/>
    <w:rsid w:val="004B77C2"/>
    <w:rsid w:val="004C0C59"/>
    <w:rsid w:val="004C0FD1"/>
    <w:rsid w:val="004C3475"/>
    <w:rsid w:val="004C3857"/>
    <w:rsid w:val="004C3ECE"/>
    <w:rsid w:val="004C4679"/>
    <w:rsid w:val="004C5FEB"/>
    <w:rsid w:val="004C63A7"/>
    <w:rsid w:val="004C78A4"/>
    <w:rsid w:val="004C7C88"/>
    <w:rsid w:val="004D0F7F"/>
    <w:rsid w:val="004D0FDA"/>
    <w:rsid w:val="004D1C02"/>
    <w:rsid w:val="004D1D72"/>
    <w:rsid w:val="004D214B"/>
    <w:rsid w:val="004D2D53"/>
    <w:rsid w:val="004D2EB4"/>
    <w:rsid w:val="004D3DC3"/>
    <w:rsid w:val="004D4C49"/>
    <w:rsid w:val="004D4C76"/>
    <w:rsid w:val="004D592B"/>
    <w:rsid w:val="004D6F8B"/>
    <w:rsid w:val="004D7F93"/>
    <w:rsid w:val="004E05F0"/>
    <w:rsid w:val="004E0B47"/>
    <w:rsid w:val="004E0F40"/>
    <w:rsid w:val="004E1B04"/>
    <w:rsid w:val="004E1F41"/>
    <w:rsid w:val="004E200B"/>
    <w:rsid w:val="004E2F47"/>
    <w:rsid w:val="004E4740"/>
    <w:rsid w:val="004E62DA"/>
    <w:rsid w:val="004E7263"/>
    <w:rsid w:val="004F0EEC"/>
    <w:rsid w:val="004F26D9"/>
    <w:rsid w:val="004F3299"/>
    <w:rsid w:val="004F32DC"/>
    <w:rsid w:val="004F37D2"/>
    <w:rsid w:val="004F454F"/>
    <w:rsid w:val="004F4BFC"/>
    <w:rsid w:val="004F644C"/>
    <w:rsid w:val="004F69BA"/>
    <w:rsid w:val="004F6A15"/>
    <w:rsid w:val="004F6D90"/>
    <w:rsid w:val="004F7306"/>
    <w:rsid w:val="004F7492"/>
    <w:rsid w:val="004F76DF"/>
    <w:rsid w:val="00500A79"/>
    <w:rsid w:val="00500B21"/>
    <w:rsid w:val="005012C4"/>
    <w:rsid w:val="00501309"/>
    <w:rsid w:val="0050216C"/>
    <w:rsid w:val="00502BFE"/>
    <w:rsid w:val="00504973"/>
    <w:rsid w:val="00505716"/>
    <w:rsid w:val="005068DC"/>
    <w:rsid w:val="005073AD"/>
    <w:rsid w:val="0050794E"/>
    <w:rsid w:val="00510FE3"/>
    <w:rsid w:val="00511013"/>
    <w:rsid w:val="0051114F"/>
    <w:rsid w:val="005118FE"/>
    <w:rsid w:val="0051297E"/>
    <w:rsid w:val="00514344"/>
    <w:rsid w:val="005152A2"/>
    <w:rsid w:val="0051594D"/>
    <w:rsid w:val="00515DFC"/>
    <w:rsid w:val="0051642A"/>
    <w:rsid w:val="00516D9E"/>
    <w:rsid w:val="00517493"/>
    <w:rsid w:val="005176E3"/>
    <w:rsid w:val="00517B7F"/>
    <w:rsid w:val="00520125"/>
    <w:rsid w:val="0052023F"/>
    <w:rsid w:val="00520321"/>
    <w:rsid w:val="00520627"/>
    <w:rsid w:val="00520AE7"/>
    <w:rsid w:val="0052246A"/>
    <w:rsid w:val="00522E33"/>
    <w:rsid w:val="005230FD"/>
    <w:rsid w:val="00523755"/>
    <w:rsid w:val="005243ED"/>
    <w:rsid w:val="00524722"/>
    <w:rsid w:val="005247FF"/>
    <w:rsid w:val="00525A6E"/>
    <w:rsid w:val="00526032"/>
    <w:rsid w:val="005265C6"/>
    <w:rsid w:val="0052688B"/>
    <w:rsid w:val="00526A4B"/>
    <w:rsid w:val="00526BC4"/>
    <w:rsid w:val="00527220"/>
    <w:rsid w:val="00527252"/>
    <w:rsid w:val="00527D55"/>
    <w:rsid w:val="0053068E"/>
    <w:rsid w:val="0053084F"/>
    <w:rsid w:val="00530B6F"/>
    <w:rsid w:val="00531369"/>
    <w:rsid w:val="00532411"/>
    <w:rsid w:val="00534A23"/>
    <w:rsid w:val="00534EDF"/>
    <w:rsid w:val="0053523A"/>
    <w:rsid w:val="005365C5"/>
    <w:rsid w:val="005366B3"/>
    <w:rsid w:val="00536C2F"/>
    <w:rsid w:val="0053766B"/>
    <w:rsid w:val="005379AD"/>
    <w:rsid w:val="0054006A"/>
    <w:rsid w:val="00540476"/>
    <w:rsid w:val="00540771"/>
    <w:rsid w:val="00540996"/>
    <w:rsid w:val="00543F08"/>
    <w:rsid w:val="00543FFB"/>
    <w:rsid w:val="0054424A"/>
    <w:rsid w:val="00544701"/>
    <w:rsid w:val="0054474A"/>
    <w:rsid w:val="00544919"/>
    <w:rsid w:val="00545ED8"/>
    <w:rsid w:val="00546066"/>
    <w:rsid w:val="005468F7"/>
    <w:rsid w:val="005471A8"/>
    <w:rsid w:val="00547704"/>
    <w:rsid w:val="00547B49"/>
    <w:rsid w:val="00547EA0"/>
    <w:rsid w:val="00547FC9"/>
    <w:rsid w:val="00550457"/>
    <w:rsid w:val="00550495"/>
    <w:rsid w:val="00550896"/>
    <w:rsid w:val="00550E3B"/>
    <w:rsid w:val="005516AD"/>
    <w:rsid w:val="00551D73"/>
    <w:rsid w:val="0055254A"/>
    <w:rsid w:val="00552BF0"/>
    <w:rsid w:val="005534D8"/>
    <w:rsid w:val="0055366C"/>
    <w:rsid w:val="0055478D"/>
    <w:rsid w:val="00554DE7"/>
    <w:rsid w:val="00555084"/>
    <w:rsid w:val="00555515"/>
    <w:rsid w:val="00555ECF"/>
    <w:rsid w:val="0055614A"/>
    <w:rsid w:val="0055640A"/>
    <w:rsid w:val="00556688"/>
    <w:rsid w:val="005567F3"/>
    <w:rsid w:val="00557039"/>
    <w:rsid w:val="0056038B"/>
    <w:rsid w:val="00560DDF"/>
    <w:rsid w:val="00561267"/>
    <w:rsid w:val="00561426"/>
    <w:rsid w:val="00561B4F"/>
    <w:rsid w:val="005631AA"/>
    <w:rsid w:val="00563334"/>
    <w:rsid w:val="005634A7"/>
    <w:rsid w:val="00563715"/>
    <w:rsid w:val="00564C7C"/>
    <w:rsid w:val="00564F16"/>
    <w:rsid w:val="00565D34"/>
    <w:rsid w:val="00566A95"/>
    <w:rsid w:val="00567074"/>
    <w:rsid w:val="0056749B"/>
    <w:rsid w:val="005678E4"/>
    <w:rsid w:val="00567F6B"/>
    <w:rsid w:val="005703F0"/>
    <w:rsid w:val="00570F7C"/>
    <w:rsid w:val="0057108B"/>
    <w:rsid w:val="00571149"/>
    <w:rsid w:val="00571301"/>
    <w:rsid w:val="00571AE5"/>
    <w:rsid w:val="00571F44"/>
    <w:rsid w:val="00572446"/>
    <w:rsid w:val="00572D38"/>
    <w:rsid w:val="00573F8D"/>
    <w:rsid w:val="00574001"/>
    <w:rsid w:val="00574FC1"/>
    <w:rsid w:val="00575331"/>
    <w:rsid w:val="00575A3C"/>
    <w:rsid w:val="00576531"/>
    <w:rsid w:val="00576860"/>
    <w:rsid w:val="005774C4"/>
    <w:rsid w:val="00580317"/>
    <w:rsid w:val="00580754"/>
    <w:rsid w:val="00581EDD"/>
    <w:rsid w:val="0058201B"/>
    <w:rsid w:val="00584E8B"/>
    <w:rsid w:val="00585EA8"/>
    <w:rsid w:val="00586040"/>
    <w:rsid w:val="00586CA1"/>
    <w:rsid w:val="005871FA"/>
    <w:rsid w:val="00587867"/>
    <w:rsid w:val="005905C4"/>
    <w:rsid w:val="0059174E"/>
    <w:rsid w:val="00591BB7"/>
    <w:rsid w:val="0059276D"/>
    <w:rsid w:val="005928A6"/>
    <w:rsid w:val="00592D34"/>
    <w:rsid w:val="00592F6E"/>
    <w:rsid w:val="005932D9"/>
    <w:rsid w:val="00595947"/>
    <w:rsid w:val="00595CB3"/>
    <w:rsid w:val="0059726F"/>
    <w:rsid w:val="0059784E"/>
    <w:rsid w:val="005A0C2A"/>
    <w:rsid w:val="005A0C6B"/>
    <w:rsid w:val="005A2EA9"/>
    <w:rsid w:val="005A387A"/>
    <w:rsid w:val="005A412B"/>
    <w:rsid w:val="005A4542"/>
    <w:rsid w:val="005A5B52"/>
    <w:rsid w:val="005A5D14"/>
    <w:rsid w:val="005B162E"/>
    <w:rsid w:val="005B1C31"/>
    <w:rsid w:val="005B2D03"/>
    <w:rsid w:val="005B2E5A"/>
    <w:rsid w:val="005B301D"/>
    <w:rsid w:val="005B3D6E"/>
    <w:rsid w:val="005B3FAC"/>
    <w:rsid w:val="005B41D1"/>
    <w:rsid w:val="005B4249"/>
    <w:rsid w:val="005B460E"/>
    <w:rsid w:val="005B4BF7"/>
    <w:rsid w:val="005B5443"/>
    <w:rsid w:val="005B5968"/>
    <w:rsid w:val="005B5BF8"/>
    <w:rsid w:val="005B6485"/>
    <w:rsid w:val="005B65AD"/>
    <w:rsid w:val="005B698C"/>
    <w:rsid w:val="005B6F91"/>
    <w:rsid w:val="005B71D8"/>
    <w:rsid w:val="005B7E64"/>
    <w:rsid w:val="005C0D1D"/>
    <w:rsid w:val="005C1662"/>
    <w:rsid w:val="005C25D3"/>
    <w:rsid w:val="005C2B8C"/>
    <w:rsid w:val="005C308F"/>
    <w:rsid w:val="005C416E"/>
    <w:rsid w:val="005C4625"/>
    <w:rsid w:val="005C4783"/>
    <w:rsid w:val="005C528C"/>
    <w:rsid w:val="005C5D46"/>
    <w:rsid w:val="005C5EE1"/>
    <w:rsid w:val="005C6333"/>
    <w:rsid w:val="005C68E9"/>
    <w:rsid w:val="005C6A2D"/>
    <w:rsid w:val="005C6CE0"/>
    <w:rsid w:val="005C6FF9"/>
    <w:rsid w:val="005C74D2"/>
    <w:rsid w:val="005C7F7C"/>
    <w:rsid w:val="005D0F81"/>
    <w:rsid w:val="005D13C8"/>
    <w:rsid w:val="005D1712"/>
    <w:rsid w:val="005D1C80"/>
    <w:rsid w:val="005D2605"/>
    <w:rsid w:val="005D2D53"/>
    <w:rsid w:val="005D36F4"/>
    <w:rsid w:val="005D4360"/>
    <w:rsid w:val="005D4A3F"/>
    <w:rsid w:val="005D4BCA"/>
    <w:rsid w:val="005D54E5"/>
    <w:rsid w:val="005D5ADA"/>
    <w:rsid w:val="005D60DD"/>
    <w:rsid w:val="005D6190"/>
    <w:rsid w:val="005D66D9"/>
    <w:rsid w:val="005D70E4"/>
    <w:rsid w:val="005E0214"/>
    <w:rsid w:val="005E16E0"/>
    <w:rsid w:val="005E24C5"/>
    <w:rsid w:val="005E2FEC"/>
    <w:rsid w:val="005E33F8"/>
    <w:rsid w:val="005E3CF7"/>
    <w:rsid w:val="005E4967"/>
    <w:rsid w:val="005E5164"/>
    <w:rsid w:val="005E5A47"/>
    <w:rsid w:val="005E5B01"/>
    <w:rsid w:val="005E5E6A"/>
    <w:rsid w:val="005E611F"/>
    <w:rsid w:val="005E6377"/>
    <w:rsid w:val="005E6F9F"/>
    <w:rsid w:val="005E7957"/>
    <w:rsid w:val="005F202F"/>
    <w:rsid w:val="005F2201"/>
    <w:rsid w:val="005F24B1"/>
    <w:rsid w:val="005F283C"/>
    <w:rsid w:val="005F3238"/>
    <w:rsid w:val="005F3993"/>
    <w:rsid w:val="005F45F6"/>
    <w:rsid w:val="005F4A0A"/>
    <w:rsid w:val="005F53DE"/>
    <w:rsid w:val="005F558B"/>
    <w:rsid w:val="005F6019"/>
    <w:rsid w:val="006001A7"/>
    <w:rsid w:val="00601223"/>
    <w:rsid w:val="006019CF"/>
    <w:rsid w:val="006022A2"/>
    <w:rsid w:val="006023BF"/>
    <w:rsid w:val="0060315F"/>
    <w:rsid w:val="00603704"/>
    <w:rsid w:val="00603BAE"/>
    <w:rsid w:val="00604268"/>
    <w:rsid w:val="0060485B"/>
    <w:rsid w:val="00604DDE"/>
    <w:rsid w:val="0060580E"/>
    <w:rsid w:val="0060668D"/>
    <w:rsid w:val="00606A3C"/>
    <w:rsid w:val="006070B7"/>
    <w:rsid w:val="0061003E"/>
    <w:rsid w:val="00610489"/>
    <w:rsid w:val="00610A6F"/>
    <w:rsid w:val="00610CD8"/>
    <w:rsid w:val="006117A2"/>
    <w:rsid w:val="006138F5"/>
    <w:rsid w:val="00613AED"/>
    <w:rsid w:val="00614E7B"/>
    <w:rsid w:val="006155E4"/>
    <w:rsid w:val="006158CD"/>
    <w:rsid w:val="00617399"/>
    <w:rsid w:val="0061772F"/>
    <w:rsid w:val="00617A90"/>
    <w:rsid w:val="00620714"/>
    <w:rsid w:val="00620A98"/>
    <w:rsid w:val="00622A9C"/>
    <w:rsid w:val="00622C45"/>
    <w:rsid w:val="006237B3"/>
    <w:rsid w:val="0062414C"/>
    <w:rsid w:val="006242E4"/>
    <w:rsid w:val="006258CD"/>
    <w:rsid w:val="0062599A"/>
    <w:rsid w:val="0062601F"/>
    <w:rsid w:val="006265CC"/>
    <w:rsid w:val="00627103"/>
    <w:rsid w:val="00627D65"/>
    <w:rsid w:val="006306CA"/>
    <w:rsid w:val="00631D78"/>
    <w:rsid w:val="006323D9"/>
    <w:rsid w:val="0063387B"/>
    <w:rsid w:val="0063390E"/>
    <w:rsid w:val="00633997"/>
    <w:rsid w:val="00634261"/>
    <w:rsid w:val="00634B7E"/>
    <w:rsid w:val="00636476"/>
    <w:rsid w:val="006368B3"/>
    <w:rsid w:val="006378E2"/>
    <w:rsid w:val="00640305"/>
    <w:rsid w:val="006411F3"/>
    <w:rsid w:val="00643870"/>
    <w:rsid w:val="00643ED3"/>
    <w:rsid w:val="00644DAF"/>
    <w:rsid w:val="00646569"/>
    <w:rsid w:val="0064759B"/>
    <w:rsid w:val="00650AD7"/>
    <w:rsid w:val="00651220"/>
    <w:rsid w:val="00651B77"/>
    <w:rsid w:val="00651CA9"/>
    <w:rsid w:val="00652AAC"/>
    <w:rsid w:val="00654B53"/>
    <w:rsid w:val="0065619A"/>
    <w:rsid w:val="00656388"/>
    <w:rsid w:val="00656FB2"/>
    <w:rsid w:val="006570FF"/>
    <w:rsid w:val="006600D2"/>
    <w:rsid w:val="0066150D"/>
    <w:rsid w:val="00661633"/>
    <w:rsid w:val="0066202C"/>
    <w:rsid w:val="00662946"/>
    <w:rsid w:val="006633CE"/>
    <w:rsid w:val="00664E27"/>
    <w:rsid w:val="00665E36"/>
    <w:rsid w:val="006662D3"/>
    <w:rsid w:val="00666425"/>
    <w:rsid w:val="006668DA"/>
    <w:rsid w:val="006676D5"/>
    <w:rsid w:val="006679C3"/>
    <w:rsid w:val="00670531"/>
    <w:rsid w:val="00671536"/>
    <w:rsid w:val="006717F6"/>
    <w:rsid w:val="0067231B"/>
    <w:rsid w:val="00672546"/>
    <w:rsid w:val="00672A81"/>
    <w:rsid w:val="0067320C"/>
    <w:rsid w:val="0067370C"/>
    <w:rsid w:val="0067411C"/>
    <w:rsid w:val="00674A60"/>
    <w:rsid w:val="00675F5F"/>
    <w:rsid w:val="00677F6A"/>
    <w:rsid w:val="006806D4"/>
    <w:rsid w:val="006842C5"/>
    <w:rsid w:val="00684323"/>
    <w:rsid w:val="0068598B"/>
    <w:rsid w:val="006863C7"/>
    <w:rsid w:val="006870BB"/>
    <w:rsid w:val="00690358"/>
    <w:rsid w:val="0069202B"/>
    <w:rsid w:val="0069222D"/>
    <w:rsid w:val="00693BD7"/>
    <w:rsid w:val="00694B41"/>
    <w:rsid w:val="006952FF"/>
    <w:rsid w:val="0069585F"/>
    <w:rsid w:val="0069594D"/>
    <w:rsid w:val="00696FA5"/>
    <w:rsid w:val="006A110B"/>
    <w:rsid w:val="006A2F14"/>
    <w:rsid w:val="006A32BF"/>
    <w:rsid w:val="006A3848"/>
    <w:rsid w:val="006A5AE5"/>
    <w:rsid w:val="006A5C3A"/>
    <w:rsid w:val="006A76D0"/>
    <w:rsid w:val="006A7FB1"/>
    <w:rsid w:val="006B04A2"/>
    <w:rsid w:val="006B05E9"/>
    <w:rsid w:val="006B0F07"/>
    <w:rsid w:val="006B116D"/>
    <w:rsid w:val="006B1592"/>
    <w:rsid w:val="006B1F48"/>
    <w:rsid w:val="006B2907"/>
    <w:rsid w:val="006B2FAF"/>
    <w:rsid w:val="006B37E0"/>
    <w:rsid w:val="006B3CA0"/>
    <w:rsid w:val="006B4EBD"/>
    <w:rsid w:val="006B5BC1"/>
    <w:rsid w:val="006B733A"/>
    <w:rsid w:val="006B7857"/>
    <w:rsid w:val="006B78AE"/>
    <w:rsid w:val="006C02A5"/>
    <w:rsid w:val="006C09FB"/>
    <w:rsid w:val="006C0A1A"/>
    <w:rsid w:val="006C0A3D"/>
    <w:rsid w:val="006C19FE"/>
    <w:rsid w:val="006C1CF8"/>
    <w:rsid w:val="006C3328"/>
    <w:rsid w:val="006C3D64"/>
    <w:rsid w:val="006C3FDE"/>
    <w:rsid w:val="006C4241"/>
    <w:rsid w:val="006C43C0"/>
    <w:rsid w:val="006C495C"/>
    <w:rsid w:val="006C49F5"/>
    <w:rsid w:val="006C5673"/>
    <w:rsid w:val="006C66A2"/>
    <w:rsid w:val="006C752F"/>
    <w:rsid w:val="006D103A"/>
    <w:rsid w:val="006D1516"/>
    <w:rsid w:val="006D197C"/>
    <w:rsid w:val="006D3435"/>
    <w:rsid w:val="006D39F1"/>
    <w:rsid w:val="006D48F2"/>
    <w:rsid w:val="006D4C5E"/>
    <w:rsid w:val="006D4D9D"/>
    <w:rsid w:val="006D518F"/>
    <w:rsid w:val="006D579C"/>
    <w:rsid w:val="006D5DB1"/>
    <w:rsid w:val="006D77B5"/>
    <w:rsid w:val="006E06DE"/>
    <w:rsid w:val="006E0714"/>
    <w:rsid w:val="006E0C02"/>
    <w:rsid w:val="006E1870"/>
    <w:rsid w:val="006E1C9E"/>
    <w:rsid w:val="006E26FA"/>
    <w:rsid w:val="006E52FE"/>
    <w:rsid w:val="006E6576"/>
    <w:rsid w:val="006F02E3"/>
    <w:rsid w:val="006F1FE6"/>
    <w:rsid w:val="006F30A1"/>
    <w:rsid w:val="006F3647"/>
    <w:rsid w:val="006F43C9"/>
    <w:rsid w:val="006F446F"/>
    <w:rsid w:val="006F481E"/>
    <w:rsid w:val="006F7E97"/>
    <w:rsid w:val="007005AB"/>
    <w:rsid w:val="00700C82"/>
    <w:rsid w:val="00700F98"/>
    <w:rsid w:val="00701177"/>
    <w:rsid w:val="007014C7"/>
    <w:rsid w:val="007023BD"/>
    <w:rsid w:val="00702812"/>
    <w:rsid w:val="007035B3"/>
    <w:rsid w:val="007036FC"/>
    <w:rsid w:val="007047BA"/>
    <w:rsid w:val="00704E98"/>
    <w:rsid w:val="00704EB3"/>
    <w:rsid w:val="0070573B"/>
    <w:rsid w:val="007059CD"/>
    <w:rsid w:val="00705ACE"/>
    <w:rsid w:val="007069D0"/>
    <w:rsid w:val="00710703"/>
    <w:rsid w:val="007112AC"/>
    <w:rsid w:val="00711BCC"/>
    <w:rsid w:val="00713B12"/>
    <w:rsid w:val="00715494"/>
    <w:rsid w:val="00715D9B"/>
    <w:rsid w:val="007166E9"/>
    <w:rsid w:val="007168F6"/>
    <w:rsid w:val="00716A6D"/>
    <w:rsid w:val="00716E3E"/>
    <w:rsid w:val="0071719D"/>
    <w:rsid w:val="00717332"/>
    <w:rsid w:val="0071793A"/>
    <w:rsid w:val="00717A1E"/>
    <w:rsid w:val="00720B27"/>
    <w:rsid w:val="00720E81"/>
    <w:rsid w:val="00722842"/>
    <w:rsid w:val="00732DBA"/>
    <w:rsid w:val="00736946"/>
    <w:rsid w:val="00736F10"/>
    <w:rsid w:val="007370CA"/>
    <w:rsid w:val="007403EA"/>
    <w:rsid w:val="00740CBA"/>
    <w:rsid w:val="00740EFD"/>
    <w:rsid w:val="007414D8"/>
    <w:rsid w:val="00742139"/>
    <w:rsid w:val="00744B37"/>
    <w:rsid w:val="00745068"/>
    <w:rsid w:val="007450DD"/>
    <w:rsid w:val="00745254"/>
    <w:rsid w:val="0074547F"/>
    <w:rsid w:val="007458C6"/>
    <w:rsid w:val="007460BA"/>
    <w:rsid w:val="00747112"/>
    <w:rsid w:val="00747A1B"/>
    <w:rsid w:val="00750C57"/>
    <w:rsid w:val="0075243F"/>
    <w:rsid w:val="00752918"/>
    <w:rsid w:val="00752DFB"/>
    <w:rsid w:val="007530C5"/>
    <w:rsid w:val="00754C22"/>
    <w:rsid w:val="00754D30"/>
    <w:rsid w:val="007563BA"/>
    <w:rsid w:val="0075759E"/>
    <w:rsid w:val="007616EC"/>
    <w:rsid w:val="007617D6"/>
    <w:rsid w:val="0076191D"/>
    <w:rsid w:val="00762650"/>
    <w:rsid w:val="0076315C"/>
    <w:rsid w:val="00764555"/>
    <w:rsid w:val="00764E16"/>
    <w:rsid w:val="00764E33"/>
    <w:rsid w:val="00765C95"/>
    <w:rsid w:val="00767051"/>
    <w:rsid w:val="0076770D"/>
    <w:rsid w:val="007727ED"/>
    <w:rsid w:val="00775B44"/>
    <w:rsid w:val="00776197"/>
    <w:rsid w:val="00776333"/>
    <w:rsid w:val="00777043"/>
    <w:rsid w:val="007770BC"/>
    <w:rsid w:val="007776DA"/>
    <w:rsid w:val="007800BD"/>
    <w:rsid w:val="00780D88"/>
    <w:rsid w:val="00783026"/>
    <w:rsid w:val="0078322F"/>
    <w:rsid w:val="0078329F"/>
    <w:rsid w:val="00783C81"/>
    <w:rsid w:val="007840E1"/>
    <w:rsid w:val="0078417C"/>
    <w:rsid w:val="00785250"/>
    <w:rsid w:val="007858A3"/>
    <w:rsid w:val="00785956"/>
    <w:rsid w:val="00785E11"/>
    <w:rsid w:val="0078640A"/>
    <w:rsid w:val="00786510"/>
    <w:rsid w:val="00790105"/>
    <w:rsid w:val="007910AE"/>
    <w:rsid w:val="0079122D"/>
    <w:rsid w:val="0079136D"/>
    <w:rsid w:val="007913A8"/>
    <w:rsid w:val="00791E4B"/>
    <w:rsid w:val="007931D7"/>
    <w:rsid w:val="007949F4"/>
    <w:rsid w:val="00795454"/>
    <w:rsid w:val="0079567C"/>
    <w:rsid w:val="007958FC"/>
    <w:rsid w:val="00795F96"/>
    <w:rsid w:val="007976D3"/>
    <w:rsid w:val="00797992"/>
    <w:rsid w:val="007A1CDA"/>
    <w:rsid w:val="007A1D27"/>
    <w:rsid w:val="007A1D8D"/>
    <w:rsid w:val="007A20BA"/>
    <w:rsid w:val="007A3175"/>
    <w:rsid w:val="007A38C9"/>
    <w:rsid w:val="007A48B4"/>
    <w:rsid w:val="007A5FDE"/>
    <w:rsid w:val="007A65B4"/>
    <w:rsid w:val="007A6E96"/>
    <w:rsid w:val="007A798F"/>
    <w:rsid w:val="007A7D14"/>
    <w:rsid w:val="007B0588"/>
    <w:rsid w:val="007B0BDE"/>
    <w:rsid w:val="007B2337"/>
    <w:rsid w:val="007B2E5B"/>
    <w:rsid w:val="007B37E9"/>
    <w:rsid w:val="007B3A4A"/>
    <w:rsid w:val="007B4A16"/>
    <w:rsid w:val="007B5666"/>
    <w:rsid w:val="007B5D9B"/>
    <w:rsid w:val="007B6E7A"/>
    <w:rsid w:val="007B6F9F"/>
    <w:rsid w:val="007B706D"/>
    <w:rsid w:val="007B76A1"/>
    <w:rsid w:val="007B7EA5"/>
    <w:rsid w:val="007C0C47"/>
    <w:rsid w:val="007C1CE6"/>
    <w:rsid w:val="007C1DF4"/>
    <w:rsid w:val="007C246D"/>
    <w:rsid w:val="007C2B3C"/>
    <w:rsid w:val="007C2D2F"/>
    <w:rsid w:val="007C3186"/>
    <w:rsid w:val="007C3DD3"/>
    <w:rsid w:val="007C429B"/>
    <w:rsid w:val="007C4982"/>
    <w:rsid w:val="007C4AA9"/>
    <w:rsid w:val="007C4DAA"/>
    <w:rsid w:val="007C5148"/>
    <w:rsid w:val="007C568A"/>
    <w:rsid w:val="007C5B96"/>
    <w:rsid w:val="007C6FA2"/>
    <w:rsid w:val="007C7D7F"/>
    <w:rsid w:val="007D1648"/>
    <w:rsid w:val="007D2024"/>
    <w:rsid w:val="007D21B1"/>
    <w:rsid w:val="007D2603"/>
    <w:rsid w:val="007D2823"/>
    <w:rsid w:val="007D2942"/>
    <w:rsid w:val="007D2C6F"/>
    <w:rsid w:val="007D30D8"/>
    <w:rsid w:val="007D3CB0"/>
    <w:rsid w:val="007D42BF"/>
    <w:rsid w:val="007D4A9D"/>
    <w:rsid w:val="007D4EFA"/>
    <w:rsid w:val="007D4F93"/>
    <w:rsid w:val="007D5103"/>
    <w:rsid w:val="007D52FC"/>
    <w:rsid w:val="007D54AC"/>
    <w:rsid w:val="007D596F"/>
    <w:rsid w:val="007D6BFD"/>
    <w:rsid w:val="007D6D7C"/>
    <w:rsid w:val="007D7352"/>
    <w:rsid w:val="007E23CB"/>
    <w:rsid w:val="007E261F"/>
    <w:rsid w:val="007E2E3F"/>
    <w:rsid w:val="007E45A0"/>
    <w:rsid w:val="007E5290"/>
    <w:rsid w:val="007E5706"/>
    <w:rsid w:val="007E5983"/>
    <w:rsid w:val="007E69DB"/>
    <w:rsid w:val="007E6CF6"/>
    <w:rsid w:val="007E7121"/>
    <w:rsid w:val="007E728A"/>
    <w:rsid w:val="007E760F"/>
    <w:rsid w:val="007F0499"/>
    <w:rsid w:val="007F0B25"/>
    <w:rsid w:val="007F2FF0"/>
    <w:rsid w:val="007F309D"/>
    <w:rsid w:val="007F3A45"/>
    <w:rsid w:val="007F3C85"/>
    <w:rsid w:val="007F5248"/>
    <w:rsid w:val="007F5617"/>
    <w:rsid w:val="007F617C"/>
    <w:rsid w:val="007F6AF2"/>
    <w:rsid w:val="007F6D9F"/>
    <w:rsid w:val="007F79D2"/>
    <w:rsid w:val="007F7A5A"/>
    <w:rsid w:val="00800EB7"/>
    <w:rsid w:val="00802179"/>
    <w:rsid w:val="00802311"/>
    <w:rsid w:val="00805570"/>
    <w:rsid w:val="00806D26"/>
    <w:rsid w:val="00807038"/>
    <w:rsid w:val="0080792A"/>
    <w:rsid w:val="008106DE"/>
    <w:rsid w:val="00810B95"/>
    <w:rsid w:val="00810C7E"/>
    <w:rsid w:val="00812D69"/>
    <w:rsid w:val="00813AAE"/>
    <w:rsid w:val="00815274"/>
    <w:rsid w:val="008157B4"/>
    <w:rsid w:val="00817288"/>
    <w:rsid w:val="0081736B"/>
    <w:rsid w:val="00817407"/>
    <w:rsid w:val="00817A09"/>
    <w:rsid w:val="00817B10"/>
    <w:rsid w:val="00817D40"/>
    <w:rsid w:val="008200B1"/>
    <w:rsid w:val="008213BE"/>
    <w:rsid w:val="00821407"/>
    <w:rsid w:val="008217BA"/>
    <w:rsid w:val="00821D28"/>
    <w:rsid w:val="00822D80"/>
    <w:rsid w:val="008237F1"/>
    <w:rsid w:val="008243B1"/>
    <w:rsid w:val="00824432"/>
    <w:rsid w:val="008254FB"/>
    <w:rsid w:val="0082555B"/>
    <w:rsid w:val="00825BF9"/>
    <w:rsid w:val="0082625C"/>
    <w:rsid w:val="00826487"/>
    <w:rsid w:val="00827146"/>
    <w:rsid w:val="00827357"/>
    <w:rsid w:val="00827B48"/>
    <w:rsid w:val="00830883"/>
    <w:rsid w:val="00832A8D"/>
    <w:rsid w:val="00834D65"/>
    <w:rsid w:val="00835D0D"/>
    <w:rsid w:val="008363A2"/>
    <w:rsid w:val="0084190A"/>
    <w:rsid w:val="008429E4"/>
    <w:rsid w:val="00842ADA"/>
    <w:rsid w:val="00842FE1"/>
    <w:rsid w:val="008430F9"/>
    <w:rsid w:val="00843944"/>
    <w:rsid w:val="00843AD3"/>
    <w:rsid w:val="0084431A"/>
    <w:rsid w:val="00844F2C"/>
    <w:rsid w:val="00846AA9"/>
    <w:rsid w:val="008506A0"/>
    <w:rsid w:val="00850798"/>
    <w:rsid w:val="008507E3"/>
    <w:rsid w:val="00850C29"/>
    <w:rsid w:val="008513F1"/>
    <w:rsid w:val="00851415"/>
    <w:rsid w:val="00851841"/>
    <w:rsid w:val="00851AD6"/>
    <w:rsid w:val="00851DCA"/>
    <w:rsid w:val="0085268C"/>
    <w:rsid w:val="00852756"/>
    <w:rsid w:val="00853218"/>
    <w:rsid w:val="0085363E"/>
    <w:rsid w:val="00853767"/>
    <w:rsid w:val="00855321"/>
    <w:rsid w:val="00855AB6"/>
    <w:rsid w:val="00855CEC"/>
    <w:rsid w:val="00855EAA"/>
    <w:rsid w:val="00856A7E"/>
    <w:rsid w:val="00857182"/>
    <w:rsid w:val="008618EE"/>
    <w:rsid w:val="00861B02"/>
    <w:rsid w:val="00862218"/>
    <w:rsid w:val="008625D9"/>
    <w:rsid w:val="00862CA0"/>
    <w:rsid w:val="0086342A"/>
    <w:rsid w:val="00863C36"/>
    <w:rsid w:val="00863F7A"/>
    <w:rsid w:val="008645AA"/>
    <w:rsid w:val="00864740"/>
    <w:rsid w:val="008647A4"/>
    <w:rsid w:val="00864EE3"/>
    <w:rsid w:val="00865D43"/>
    <w:rsid w:val="00866D09"/>
    <w:rsid w:val="00867DE9"/>
    <w:rsid w:val="00870275"/>
    <w:rsid w:val="00872B8D"/>
    <w:rsid w:val="0087343C"/>
    <w:rsid w:val="008750F0"/>
    <w:rsid w:val="0087630C"/>
    <w:rsid w:val="0087664B"/>
    <w:rsid w:val="0087708A"/>
    <w:rsid w:val="008806ED"/>
    <w:rsid w:val="00880C1F"/>
    <w:rsid w:val="0088237A"/>
    <w:rsid w:val="0088251C"/>
    <w:rsid w:val="00884453"/>
    <w:rsid w:val="00885006"/>
    <w:rsid w:val="008856EE"/>
    <w:rsid w:val="00885D5D"/>
    <w:rsid w:val="00886269"/>
    <w:rsid w:val="00886DA3"/>
    <w:rsid w:val="00887E79"/>
    <w:rsid w:val="0089010F"/>
    <w:rsid w:val="00890177"/>
    <w:rsid w:val="00891DCE"/>
    <w:rsid w:val="00892A31"/>
    <w:rsid w:val="008931EA"/>
    <w:rsid w:val="0089334B"/>
    <w:rsid w:val="00893535"/>
    <w:rsid w:val="00893D64"/>
    <w:rsid w:val="00893E3E"/>
    <w:rsid w:val="0089491A"/>
    <w:rsid w:val="00894B84"/>
    <w:rsid w:val="00895609"/>
    <w:rsid w:val="008956BE"/>
    <w:rsid w:val="008957F2"/>
    <w:rsid w:val="00895B40"/>
    <w:rsid w:val="008969D8"/>
    <w:rsid w:val="008A1791"/>
    <w:rsid w:val="008A298A"/>
    <w:rsid w:val="008A2AC9"/>
    <w:rsid w:val="008A3158"/>
    <w:rsid w:val="008A343D"/>
    <w:rsid w:val="008A36AE"/>
    <w:rsid w:val="008A36D2"/>
    <w:rsid w:val="008A3A4E"/>
    <w:rsid w:val="008A3C50"/>
    <w:rsid w:val="008A453F"/>
    <w:rsid w:val="008A4618"/>
    <w:rsid w:val="008A51D3"/>
    <w:rsid w:val="008A527C"/>
    <w:rsid w:val="008A53F5"/>
    <w:rsid w:val="008A5BDF"/>
    <w:rsid w:val="008A5CE8"/>
    <w:rsid w:val="008A6BFA"/>
    <w:rsid w:val="008B050C"/>
    <w:rsid w:val="008B0591"/>
    <w:rsid w:val="008B07E9"/>
    <w:rsid w:val="008B0CF0"/>
    <w:rsid w:val="008B17A1"/>
    <w:rsid w:val="008B19EF"/>
    <w:rsid w:val="008B1A84"/>
    <w:rsid w:val="008B1BD1"/>
    <w:rsid w:val="008B2ACD"/>
    <w:rsid w:val="008B33F3"/>
    <w:rsid w:val="008B3C2A"/>
    <w:rsid w:val="008B421E"/>
    <w:rsid w:val="008B5265"/>
    <w:rsid w:val="008B558E"/>
    <w:rsid w:val="008B5A74"/>
    <w:rsid w:val="008B65CD"/>
    <w:rsid w:val="008B6DA4"/>
    <w:rsid w:val="008B7771"/>
    <w:rsid w:val="008B7893"/>
    <w:rsid w:val="008B7F05"/>
    <w:rsid w:val="008C093F"/>
    <w:rsid w:val="008C1866"/>
    <w:rsid w:val="008C1DBA"/>
    <w:rsid w:val="008C32DE"/>
    <w:rsid w:val="008C3593"/>
    <w:rsid w:val="008C4A17"/>
    <w:rsid w:val="008C4D47"/>
    <w:rsid w:val="008C4F82"/>
    <w:rsid w:val="008C5A0B"/>
    <w:rsid w:val="008C5E01"/>
    <w:rsid w:val="008C69AD"/>
    <w:rsid w:val="008C7B43"/>
    <w:rsid w:val="008C7E1F"/>
    <w:rsid w:val="008D00CD"/>
    <w:rsid w:val="008D0237"/>
    <w:rsid w:val="008D0B84"/>
    <w:rsid w:val="008D1BD1"/>
    <w:rsid w:val="008D3471"/>
    <w:rsid w:val="008D40DA"/>
    <w:rsid w:val="008D49DF"/>
    <w:rsid w:val="008D4AFA"/>
    <w:rsid w:val="008D4EF6"/>
    <w:rsid w:val="008D604A"/>
    <w:rsid w:val="008D6109"/>
    <w:rsid w:val="008D63C9"/>
    <w:rsid w:val="008D6D56"/>
    <w:rsid w:val="008D758A"/>
    <w:rsid w:val="008E1101"/>
    <w:rsid w:val="008E1791"/>
    <w:rsid w:val="008E1CB9"/>
    <w:rsid w:val="008E2597"/>
    <w:rsid w:val="008E2825"/>
    <w:rsid w:val="008E454A"/>
    <w:rsid w:val="008E57B2"/>
    <w:rsid w:val="008E59CD"/>
    <w:rsid w:val="008E5E44"/>
    <w:rsid w:val="008E706A"/>
    <w:rsid w:val="008E768E"/>
    <w:rsid w:val="008F03E4"/>
    <w:rsid w:val="008F0771"/>
    <w:rsid w:val="008F09E3"/>
    <w:rsid w:val="008F0A22"/>
    <w:rsid w:val="008F11B3"/>
    <w:rsid w:val="008F1884"/>
    <w:rsid w:val="008F2275"/>
    <w:rsid w:val="008F235B"/>
    <w:rsid w:val="008F2515"/>
    <w:rsid w:val="008F2B45"/>
    <w:rsid w:val="008F2B58"/>
    <w:rsid w:val="008F32EF"/>
    <w:rsid w:val="008F33B7"/>
    <w:rsid w:val="008F33DF"/>
    <w:rsid w:val="008F37BC"/>
    <w:rsid w:val="008F4707"/>
    <w:rsid w:val="008F47D1"/>
    <w:rsid w:val="008F67D5"/>
    <w:rsid w:val="008F6FB0"/>
    <w:rsid w:val="009004E6"/>
    <w:rsid w:val="009011DE"/>
    <w:rsid w:val="00902707"/>
    <w:rsid w:val="009027B8"/>
    <w:rsid w:val="0090460E"/>
    <w:rsid w:val="00904D2F"/>
    <w:rsid w:val="0090556D"/>
    <w:rsid w:val="00905C1A"/>
    <w:rsid w:val="009060E1"/>
    <w:rsid w:val="0090628B"/>
    <w:rsid w:val="0090657E"/>
    <w:rsid w:val="00906CF9"/>
    <w:rsid w:val="00906E90"/>
    <w:rsid w:val="00906EBE"/>
    <w:rsid w:val="009071B9"/>
    <w:rsid w:val="009072E4"/>
    <w:rsid w:val="00907ACC"/>
    <w:rsid w:val="00907D71"/>
    <w:rsid w:val="00907DBB"/>
    <w:rsid w:val="00911CD9"/>
    <w:rsid w:val="00912533"/>
    <w:rsid w:val="0091383B"/>
    <w:rsid w:val="00913985"/>
    <w:rsid w:val="00914B22"/>
    <w:rsid w:val="00916087"/>
    <w:rsid w:val="0091727F"/>
    <w:rsid w:val="00920087"/>
    <w:rsid w:val="009202CF"/>
    <w:rsid w:val="009204E1"/>
    <w:rsid w:val="0092218E"/>
    <w:rsid w:val="009224C0"/>
    <w:rsid w:val="0092384E"/>
    <w:rsid w:val="00924A67"/>
    <w:rsid w:val="00924D32"/>
    <w:rsid w:val="00925212"/>
    <w:rsid w:val="0092550D"/>
    <w:rsid w:val="00925AE9"/>
    <w:rsid w:val="00925D8C"/>
    <w:rsid w:val="009261D5"/>
    <w:rsid w:val="00926376"/>
    <w:rsid w:val="00926BA1"/>
    <w:rsid w:val="00930168"/>
    <w:rsid w:val="00930402"/>
    <w:rsid w:val="009306A4"/>
    <w:rsid w:val="0093103E"/>
    <w:rsid w:val="00931B5B"/>
    <w:rsid w:val="00931C8B"/>
    <w:rsid w:val="00931F62"/>
    <w:rsid w:val="009327B0"/>
    <w:rsid w:val="00933677"/>
    <w:rsid w:val="00933E62"/>
    <w:rsid w:val="00934499"/>
    <w:rsid w:val="00934857"/>
    <w:rsid w:val="00935C63"/>
    <w:rsid w:val="00935E8B"/>
    <w:rsid w:val="009371DA"/>
    <w:rsid w:val="0093772B"/>
    <w:rsid w:val="009378BF"/>
    <w:rsid w:val="00940936"/>
    <w:rsid w:val="0094130C"/>
    <w:rsid w:val="00942492"/>
    <w:rsid w:val="009432E0"/>
    <w:rsid w:val="00943901"/>
    <w:rsid w:val="00944221"/>
    <w:rsid w:val="009443C8"/>
    <w:rsid w:val="00944BCC"/>
    <w:rsid w:val="009459B7"/>
    <w:rsid w:val="00945C94"/>
    <w:rsid w:val="00947900"/>
    <w:rsid w:val="00950400"/>
    <w:rsid w:val="00950BC6"/>
    <w:rsid w:val="00952542"/>
    <w:rsid w:val="00952EEC"/>
    <w:rsid w:val="009530E2"/>
    <w:rsid w:val="009530FF"/>
    <w:rsid w:val="00953F61"/>
    <w:rsid w:val="009548C0"/>
    <w:rsid w:val="00955A46"/>
    <w:rsid w:val="00955BCB"/>
    <w:rsid w:val="00955C26"/>
    <w:rsid w:val="00955D98"/>
    <w:rsid w:val="00955E3B"/>
    <w:rsid w:val="0095744D"/>
    <w:rsid w:val="00961234"/>
    <w:rsid w:val="00961421"/>
    <w:rsid w:val="009625C6"/>
    <w:rsid w:val="00964212"/>
    <w:rsid w:val="009645F7"/>
    <w:rsid w:val="00964794"/>
    <w:rsid w:val="00964ECA"/>
    <w:rsid w:val="00964F38"/>
    <w:rsid w:val="0096588F"/>
    <w:rsid w:val="00965A2F"/>
    <w:rsid w:val="009660EF"/>
    <w:rsid w:val="00966336"/>
    <w:rsid w:val="009703DC"/>
    <w:rsid w:val="00970D03"/>
    <w:rsid w:val="00970F77"/>
    <w:rsid w:val="00971303"/>
    <w:rsid w:val="00972A55"/>
    <w:rsid w:val="009745E1"/>
    <w:rsid w:val="009759DB"/>
    <w:rsid w:val="00976C80"/>
    <w:rsid w:val="0097725D"/>
    <w:rsid w:val="00977B99"/>
    <w:rsid w:val="0098064C"/>
    <w:rsid w:val="009814E7"/>
    <w:rsid w:val="00981A5D"/>
    <w:rsid w:val="0098282D"/>
    <w:rsid w:val="00982848"/>
    <w:rsid w:val="0098292B"/>
    <w:rsid w:val="00983A6B"/>
    <w:rsid w:val="00983CA8"/>
    <w:rsid w:val="00984597"/>
    <w:rsid w:val="0098494E"/>
    <w:rsid w:val="00984DAD"/>
    <w:rsid w:val="00986975"/>
    <w:rsid w:val="00986FBA"/>
    <w:rsid w:val="00987223"/>
    <w:rsid w:val="00987E95"/>
    <w:rsid w:val="009922EF"/>
    <w:rsid w:val="00993D5F"/>
    <w:rsid w:val="00994F63"/>
    <w:rsid w:val="009952A1"/>
    <w:rsid w:val="00996801"/>
    <w:rsid w:val="00997654"/>
    <w:rsid w:val="00997B93"/>
    <w:rsid w:val="00997C34"/>
    <w:rsid w:val="009A0474"/>
    <w:rsid w:val="009A0DB9"/>
    <w:rsid w:val="009A0F28"/>
    <w:rsid w:val="009A1EF3"/>
    <w:rsid w:val="009A24C1"/>
    <w:rsid w:val="009A2842"/>
    <w:rsid w:val="009A29ED"/>
    <w:rsid w:val="009A2F12"/>
    <w:rsid w:val="009A305F"/>
    <w:rsid w:val="009A308F"/>
    <w:rsid w:val="009A43D9"/>
    <w:rsid w:val="009A45D8"/>
    <w:rsid w:val="009A4776"/>
    <w:rsid w:val="009A48A3"/>
    <w:rsid w:val="009A4C33"/>
    <w:rsid w:val="009A4EF8"/>
    <w:rsid w:val="009A5128"/>
    <w:rsid w:val="009A52C5"/>
    <w:rsid w:val="009A5568"/>
    <w:rsid w:val="009A5587"/>
    <w:rsid w:val="009A56C3"/>
    <w:rsid w:val="009A65BA"/>
    <w:rsid w:val="009A6805"/>
    <w:rsid w:val="009A70A1"/>
    <w:rsid w:val="009A720F"/>
    <w:rsid w:val="009B082C"/>
    <w:rsid w:val="009B1157"/>
    <w:rsid w:val="009B1430"/>
    <w:rsid w:val="009B1E5C"/>
    <w:rsid w:val="009B1EC9"/>
    <w:rsid w:val="009B292E"/>
    <w:rsid w:val="009B2C35"/>
    <w:rsid w:val="009B2D0A"/>
    <w:rsid w:val="009B2E18"/>
    <w:rsid w:val="009B3CE1"/>
    <w:rsid w:val="009B5B94"/>
    <w:rsid w:val="009B60A2"/>
    <w:rsid w:val="009B65AC"/>
    <w:rsid w:val="009B687D"/>
    <w:rsid w:val="009B6A0B"/>
    <w:rsid w:val="009B72B3"/>
    <w:rsid w:val="009B746F"/>
    <w:rsid w:val="009B7A07"/>
    <w:rsid w:val="009C0014"/>
    <w:rsid w:val="009C042B"/>
    <w:rsid w:val="009C09C4"/>
    <w:rsid w:val="009C120D"/>
    <w:rsid w:val="009C1A83"/>
    <w:rsid w:val="009C1CC7"/>
    <w:rsid w:val="009C217F"/>
    <w:rsid w:val="009C436F"/>
    <w:rsid w:val="009C4BD2"/>
    <w:rsid w:val="009C564F"/>
    <w:rsid w:val="009C63ED"/>
    <w:rsid w:val="009C6940"/>
    <w:rsid w:val="009D0355"/>
    <w:rsid w:val="009D278B"/>
    <w:rsid w:val="009D29CD"/>
    <w:rsid w:val="009D3AAD"/>
    <w:rsid w:val="009D3F8D"/>
    <w:rsid w:val="009D41BA"/>
    <w:rsid w:val="009D549B"/>
    <w:rsid w:val="009D650C"/>
    <w:rsid w:val="009D6F06"/>
    <w:rsid w:val="009D7C5A"/>
    <w:rsid w:val="009E2232"/>
    <w:rsid w:val="009E2340"/>
    <w:rsid w:val="009E23AB"/>
    <w:rsid w:val="009E29F3"/>
    <w:rsid w:val="009E2B12"/>
    <w:rsid w:val="009E3ADD"/>
    <w:rsid w:val="009E3ED5"/>
    <w:rsid w:val="009E4F59"/>
    <w:rsid w:val="009E56FC"/>
    <w:rsid w:val="009E5AAB"/>
    <w:rsid w:val="009E6E7F"/>
    <w:rsid w:val="009E6FE5"/>
    <w:rsid w:val="009E7725"/>
    <w:rsid w:val="009E7A9D"/>
    <w:rsid w:val="009F1C1F"/>
    <w:rsid w:val="009F20B5"/>
    <w:rsid w:val="009F24A3"/>
    <w:rsid w:val="009F250D"/>
    <w:rsid w:val="009F268B"/>
    <w:rsid w:val="009F496F"/>
    <w:rsid w:val="009F5C99"/>
    <w:rsid w:val="009F61CE"/>
    <w:rsid w:val="009F6570"/>
    <w:rsid w:val="009F7263"/>
    <w:rsid w:val="009F7E89"/>
    <w:rsid w:val="00A024C7"/>
    <w:rsid w:val="00A0278A"/>
    <w:rsid w:val="00A028C6"/>
    <w:rsid w:val="00A02D9E"/>
    <w:rsid w:val="00A02FF9"/>
    <w:rsid w:val="00A030C2"/>
    <w:rsid w:val="00A0507F"/>
    <w:rsid w:val="00A060AF"/>
    <w:rsid w:val="00A068E4"/>
    <w:rsid w:val="00A10B9E"/>
    <w:rsid w:val="00A10EDF"/>
    <w:rsid w:val="00A11D2B"/>
    <w:rsid w:val="00A124D5"/>
    <w:rsid w:val="00A12B36"/>
    <w:rsid w:val="00A14CC2"/>
    <w:rsid w:val="00A15F05"/>
    <w:rsid w:val="00A1622C"/>
    <w:rsid w:val="00A16A88"/>
    <w:rsid w:val="00A16C2F"/>
    <w:rsid w:val="00A170B1"/>
    <w:rsid w:val="00A17E26"/>
    <w:rsid w:val="00A20C4F"/>
    <w:rsid w:val="00A20D79"/>
    <w:rsid w:val="00A219D5"/>
    <w:rsid w:val="00A21A20"/>
    <w:rsid w:val="00A220DA"/>
    <w:rsid w:val="00A22405"/>
    <w:rsid w:val="00A244C2"/>
    <w:rsid w:val="00A24BCC"/>
    <w:rsid w:val="00A24FF5"/>
    <w:rsid w:val="00A253B4"/>
    <w:rsid w:val="00A25893"/>
    <w:rsid w:val="00A2729B"/>
    <w:rsid w:val="00A27398"/>
    <w:rsid w:val="00A275B2"/>
    <w:rsid w:val="00A276DC"/>
    <w:rsid w:val="00A27FEC"/>
    <w:rsid w:val="00A31F19"/>
    <w:rsid w:val="00A32383"/>
    <w:rsid w:val="00A3297C"/>
    <w:rsid w:val="00A33005"/>
    <w:rsid w:val="00A34AB2"/>
    <w:rsid w:val="00A35389"/>
    <w:rsid w:val="00A354E6"/>
    <w:rsid w:val="00A36AA3"/>
    <w:rsid w:val="00A36C13"/>
    <w:rsid w:val="00A36CF0"/>
    <w:rsid w:val="00A40256"/>
    <w:rsid w:val="00A404BD"/>
    <w:rsid w:val="00A40C3F"/>
    <w:rsid w:val="00A41529"/>
    <w:rsid w:val="00A4243F"/>
    <w:rsid w:val="00A42CBE"/>
    <w:rsid w:val="00A42F53"/>
    <w:rsid w:val="00A44BB4"/>
    <w:rsid w:val="00A4509F"/>
    <w:rsid w:val="00A45B71"/>
    <w:rsid w:val="00A45E26"/>
    <w:rsid w:val="00A46764"/>
    <w:rsid w:val="00A5039C"/>
    <w:rsid w:val="00A505EE"/>
    <w:rsid w:val="00A519B6"/>
    <w:rsid w:val="00A5240B"/>
    <w:rsid w:val="00A52690"/>
    <w:rsid w:val="00A54486"/>
    <w:rsid w:val="00A546CE"/>
    <w:rsid w:val="00A5524A"/>
    <w:rsid w:val="00A55586"/>
    <w:rsid w:val="00A55A47"/>
    <w:rsid w:val="00A57977"/>
    <w:rsid w:val="00A5799F"/>
    <w:rsid w:val="00A57C19"/>
    <w:rsid w:val="00A627EB"/>
    <w:rsid w:val="00A63EBD"/>
    <w:rsid w:val="00A6413A"/>
    <w:rsid w:val="00A6422B"/>
    <w:rsid w:val="00A64646"/>
    <w:rsid w:val="00A66A3B"/>
    <w:rsid w:val="00A66BBF"/>
    <w:rsid w:val="00A66E85"/>
    <w:rsid w:val="00A67268"/>
    <w:rsid w:val="00A6744A"/>
    <w:rsid w:val="00A73818"/>
    <w:rsid w:val="00A74081"/>
    <w:rsid w:val="00A74266"/>
    <w:rsid w:val="00A751C6"/>
    <w:rsid w:val="00A75392"/>
    <w:rsid w:val="00A758B8"/>
    <w:rsid w:val="00A774A9"/>
    <w:rsid w:val="00A7787A"/>
    <w:rsid w:val="00A77B63"/>
    <w:rsid w:val="00A8012E"/>
    <w:rsid w:val="00A80306"/>
    <w:rsid w:val="00A803AD"/>
    <w:rsid w:val="00A80F4E"/>
    <w:rsid w:val="00A828DB"/>
    <w:rsid w:val="00A82F24"/>
    <w:rsid w:val="00A82FC3"/>
    <w:rsid w:val="00A83146"/>
    <w:rsid w:val="00A83CDE"/>
    <w:rsid w:val="00A851E8"/>
    <w:rsid w:val="00A85431"/>
    <w:rsid w:val="00A85F9D"/>
    <w:rsid w:val="00A90ABC"/>
    <w:rsid w:val="00A92588"/>
    <w:rsid w:val="00A9289E"/>
    <w:rsid w:val="00A92B92"/>
    <w:rsid w:val="00A92BE3"/>
    <w:rsid w:val="00A93944"/>
    <w:rsid w:val="00A9445C"/>
    <w:rsid w:val="00A95569"/>
    <w:rsid w:val="00A956E2"/>
    <w:rsid w:val="00A958D5"/>
    <w:rsid w:val="00A95D8B"/>
    <w:rsid w:val="00A962CB"/>
    <w:rsid w:val="00A96484"/>
    <w:rsid w:val="00A96731"/>
    <w:rsid w:val="00A97EE5"/>
    <w:rsid w:val="00A97FBB"/>
    <w:rsid w:val="00AA02E7"/>
    <w:rsid w:val="00AA04DD"/>
    <w:rsid w:val="00AA05BE"/>
    <w:rsid w:val="00AA1360"/>
    <w:rsid w:val="00AA14DE"/>
    <w:rsid w:val="00AA22B5"/>
    <w:rsid w:val="00AA41D2"/>
    <w:rsid w:val="00AA4617"/>
    <w:rsid w:val="00AA5141"/>
    <w:rsid w:val="00AA57B2"/>
    <w:rsid w:val="00AA5E5D"/>
    <w:rsid w:val="00AA65A6"/>
    <w:rsid w:val="00AA721E"/>
    <w:rsid w:val="00AB041A"/>
    <w:rsid w:val="00AB0512"/>
    <w:rsid w:val="00AB113D"/>
    <w:rsid w:val="00AB1378"/>
    <w:rsid w:val="00AB2A90"/>
    <w:rsid w:val="00AB2AC3"/>
    <w:rsid w:val="00AB2ED7"/>
    <w:rsid w:val="00AB3CEA"/>
    <w:rsid w:val="00AB5AD7"/>
    <w:rsid w:val="00AB6547"/>
    <w:rsid w:val="00AB6F58"/>
    <w:rsid w:val="00AC067E"/>
    <w:rsid w:val="00AC0A29"/>
    <w:rsid w:val="00AC1402"/>
    <w:rsid w:val="00AC1ECA"/>
    <w:rsid w:val="00AC290B"/>
    <w:rsid w:val="00AC355E"/>
    <w:rsid w:val="00AC4976"/>
    <w:rsid w:val="00AC7207"/>
    <w:rsid w:val="00AC7615"/>
    <w:rsid w:val="00AC7EE5"/>
    <w:rsid w:val="00AC7FD3"/>
    <w:rsid w:val="00AD0AD6"/>
    <w:rsid w:val="00AD1FA2"/>
    <w:rsid w:val="00AD33C7"/>
    <w:rsid w:val="00AD4D05"/>
    <w:rsid w:val="00AD5E33"/>
    <w:rsid w:val="00AD6523"/>
    <w:rsid w:val="00AE10BD"/>
    <w:rsid w:val="00AE1579"/>
    <w:rsid w:val="00AE2334"/>
    <w:rsid w:val="00AE2456"/>
    <w:rsid w:val="00AE2705"/>
    <w:rsid w:val="00AE2916"/>
    <w:rsid w:val="00AE3210"/>
    <w:rsid w:val="00AE3226"/>
    <w:rsid w:val="00AE436F"/>
    <w:rsid w:val="00AE619E"/>
    <w:rsid w:val="00AE6CCD"/>
    <w:rsid w:val="00AE6E7D"/>
    <w:rsid w:val="00AF067E"/>
    <w:rsid w:val="00AF10D8"/>
    <w:rsid w:val="00AF27DD"/>
    <w:rsid w:val="00AF3C51"/>
    <w:rsid w:val="00AF40CE"/>
    <w:rsid w:val="00AF472B"/>
    <w:rsid w:val="00AF4DD7"/>
    <w:rsid w:val="00AF4DE3"/>
    <w:rsid w:val="00AF5325"/>
    <w:rsid w:val="00AF54A8"/>
    <w:rsid w:val="00AF576B"/>
    <w:rsid w:val="00AF57E3"/>
    <w:rsid w:val="00AF64D5"/>
    <w:rsid w:val="00AF6FED"/>
    <w:rsid w:val="00B0015A"/>
    <w:rsid w:val="00B0136F"/>
    <w:rsid w:val="00B02254"/>
    <w:rsid w:val="00B03174"/>
    <w:rsid w:val="00B04687"/>
    <w:rsid w:val="00B04C6D"/>
    <w:rsid w:val="00B04DCA"/>
    <w:rsid w:val="00B050E7"/>
    <w:rsid w:val="00B057B6"/>
    <w:rsid w:val="00B063EA"/>
    <w:rsid w:val="00B0750E"/>
    <w:rsid w:val="00B10326"/>
    <w:rsid w:val="00B106E9"/>
    <w:rsid w:val="00B10BAD"/>
    <w:rsid w:val="00B112A4"/>
    <w:rsid w:val="00B118AB"/>
    <w:rsid w:val="00B119EF"/>
    <w:rsid w:val="00B122CC"/>
    <w:rsid w:val="00B1243A"/>
    <w:rsid w:val="00B14DC9"/>
    <w:rsid w:val="00B150D2"/>
    <w:rsid w:val="00B15829"/>
    <w:rsid w:val="00B15F88"/>
    <w:rsid w:val="00B16E59"/>
    <w:rsid w:val="00B1743C"/>
    <w:rsid w:val="00B17849"/>
    <w:rsid w:val="00B17F9B"/>
    <w:rsid w:val="00B2187C"/>
    <w:rsid w:val="00B22853"/>
    <w:rsid w:val="00B22E4B"/>
    <w:rsid w:val="00B24A46"/>
    <w:rsid w:val="00B24D38"/>
    <w:rsid w:val="00B26055"/>
    <w:rsid w:val="00B26686"/>
    <w:rsid w:val="00B27531"/>
    <w:rsid w:val="00B27F20"/>
    <w:rsid w:val="00B30B3D"/>
    <w:rsid w:val="00B312A1"/>
    <w:rsid w:val="00B32027"/>
    <w:rsid w:val="00B323DF"/>
    <w:rsid w:val="00B328E2"/>
    <w:rsid w:val="00B32D93"/>
    <w:rsid w:val="00B33CAD"/>
    <w:rsid w:val="00B34AC2"/>
    <w:rsid w:val="00B355DC"/>
    <w:rsid w:val="00B3568B"/>
    <w:rsid w:val="00B365D7"/>
    <w:rsid w:val="00B36AB0"/>
    <w:rsid w:val="00B36C07"/>
    <w:rsid w:val="00B36D11"/>
    <w:rsid w:val="00B36D8B"/>
    <w:rsid w:val="00B40542"/>
    <w:rsid w:val="00B407FD"/>
    <w:rsid w:val="00B418F5"/>
    <w:rsid w:val="00B41D8F"/>
    <w:rsid w:val="00B41FEF"/>
    <w:rsid w:val="00B421E6"/>
    <w:rsid w:val="00B4281D"/>
    <w:rsid w:val="00B43145"/>
    <w:rsid w:val="00B43163"/>
    <w:rsid w:val="00B43A21"/>
    <w:rsid w:val="00B43A65"/>
    <w:rsid w:val="00B44F00"/>
    <w:rsid w:val="00B44FF4"/>
    <w:rsid w:val="00B4565F"/>
    <w:rsid w:val="00B476E2"/>
    <w:rsid w:val="00B47BBE"/>
    <w:rsid w:val="00B502F2"/>
    <w:rsid w:val="00B51900"/>
    <w:rsid w:val="00B51FBE"/>
    <w:rsid w:val="00B520A7"/>
    <w:rsid w:val="00B52E71"/>
    <w:rsid w:val="00B5429D"/>
    <w:rsid w:val="00B54A5A"/>
    <w:rsid w:val="00B54AC7"/>
    <w:rsid w:val="00B5512E"/>
    <w:rsid w:val="00B556FF"/>
    <w:rsid w:val="00B558E9"/>
    <w:rsid w:val="00B567FD"/>
    <w:rsid w:val="00B56AEF"/>
    <w:rsid w:val="00B57213"/>
    <w:rsid w:val="00B5738F"/>
    <w:rsid w:val="00B60E88"/>
    <w:rsid w:val="00B60F02"/>
    <w:rsid w:val="00B611B6"/>
    <w:rsid w:val="00B611ED"/>
    <w:rsid w:val="00B6199C"/>
    <w:rsid w:val="00B61B29"/>
    <w:rsid w:val="00B62734"/>
    <w:rsid w:val="00B62AFF"/>
    <w:rsid w:val="00B62BF2"/>
    <w:rsid w:val="00B64D2A"/>
    <w:rsid w:val="00B650F6"/>
    <w:rsid w:val="00B65619"/>
    <w:rsid w:val="00B662C4"/>
    <w:rsid w:val="00B668B1"/>
    <w:rsid w:val="00B66EA6"/>
    <w:rsid w:val="00B671B2"/>
    <w:rsid w:val="00B67D1D"/>
    <w:rsid w:val="00B7004D"/>
    <w:rsid w:val="00B70D4F"/>
    <w:rsid w:val="00B733D1"/>
    <w:rsid w:val="00B735BC"/>
    <w:rsid w:val="00B736B1"/>
    <w:rsid w:val="00B740F2"/>
    <w:rsid w:val="00B74815"/>
    <w:rsid w:val="00B75FF5"/>
    <w:rsid w:val="00B766E4"/>
    <w:rsid w:val="00B76DCF"/>
    <w:rsid w:val="00B77C1D"/>
    <w:rsid w:val="00B80B6F"/>
    <w:rsid w:val="00B816DE"/>
    <w:rsid w:val="00B83BB1"/>
    <w:rsid w:val="00B8445E"/>
    <w:rsid w:val="00B85146"/>
    <w:rsid w:val="00B8591E"/>
    <w:rsid w:val="00B85D04"/>
    <w:rsid w:val="00B869E9"/>
    <w:rsid w:val="00B86DDA"/>
    <w:rsid w:val="00B8731A"/>
    <w:rsid w:val="00B876FD"/>
    <w:rsid w:val="00B87E75"/>
    <w:rsid w:val="00B9129A"/>
    <w:rsid w:val="00B919BD"/>
    <w:rsid w:val="00B91E55"/>
    <w:rsid w:val="00B92DD1"/>
    <w:rsid w:val="00B932EE"/>
    <w:rsid w:val="00B9402D"/>
    <w:rsid w:val="00B94FC1"/>
    <w:rsid w:val="00B950A0"/>
    <w:rsid w:val="00B952BE"/>
    <w:rsid w:val="00B9561C"/>
    <w:rsid w:val="00B96E62"/>
    <w:rsid w:val="00B978C7"/>
    <w:rsid w:val="00B97F69"/>
    <w:rsid w:val="00BA03D9"/>
    <w:rsid w:val="00BA092A"/>
    <w:rsid w:val="00BA1567"/>
    <w:rsid w:val="00BA20E4"/>
    <w:rsid w:val="00BA2C17"/>
    <w:rsid w:val="00BA2E7F"/>
    <w:rsid w:val="00BA48C6"/>
    <w:rsid w:val="00BA49D5"/>
    <w:rsid w:val="00BA4D10"/>
    <w:rsid w:val="00BA5DED"/>
    <w:rsid w:val="00BA6FAD"/>
    <w:rsid w:val="00BA7321"/>
    <w:rsid w:val="00BA75C9"/>
    <w:rsid w:val="00BB022E"/>
    <w:rsid w:val="00BB0FDC"/>
    <w:rsid w:val="00BB190A"/>
    <w:rsid w:val="00BB259E"/>
    <w:rsid w:val="00BB32D0"/>
    <w:rsid w:val="00BB3C1A"/>
    <w:rsid w:val="00BB3ED7"/>
    <w:rsid w:val="00BB3FCD"/>
    <w:rsid w:val="00BB41D3"/>
    <w:rsid w:val="00BB4641"/>
    <w:rsid w:val="00BB5225"/>
    <w:rsid w:val="00BB57CC"/>
    <w:rsid w:val="00BB65A6"/>
    <w:rsid w:val="00BB698A"/>
    <w:rsid w:val="00BB6A12"/>
    <w:rsid w:val="00BB76D2"/>
    <w:rsid w:val="00BB7731"/>
    <w:rsid w:val="00BB7EDB"/>
    <w:rsid w:val="00BC08F5"/>
    <w:rsid w:val="00BC1B34"/>
    <w:rsid w:val="00BC2C73"/>
    <w:rsid w:val="00BC2D5E"/>
    <w:rsid w:val="00BC34CB"/>
    <w:rsid w:val="00BC40B3"/>
    <w:rsid w:val="00BC4203"/>
    <w:rsid w:val="00BC4BA0"/>
    <w:rsid w:val="00BC533A"/>
    <w:rsid w:val="00BC5BFF"/>
    <w:rsid w:val="00BC5C92"/>
    <w:rsid w:val="00BC65AF"/>
    <w:rsid w:val="00BC7065"/>
    <w:rsid w:val="00BC7561"/>
    <w:rsid w:val="00BC7719"/>
    <w:rsid w:val="00BD0549"/>
    <w:rsid w:val="00BD0DCE"/>
    <w:rsid w:val="00BD10B5"/>
    <w:rsid w:val="00BD1963"/>
    <w:rsid w:val="00BD1C7A"/>
    <w:rsid w:val="00BD28D1"/>
    <w:rsid w:val="00BD2CD6"/>
    <w:rsid w:val="00BD3528"/>
    <w:rsid w:val="00BD35E7"/>
    <w:rsid w:val="00BD3989"/>
    <w:rsid w:val="00BD4188"/>
    <w:rsid w:val="00BD4531"/>
    <w:rsid w:val="00BD46F8"/>
    <w:rsid w:val="00BD581F"/>
    <w:rsid w:val="00BD5B28"/>
    <w:rsid w:val="00BD6785"/>
    <w:rsid w:val="00BD6ACB"/>
    <w:rsid w:val="00BD6B2A"/>
    <w:rsid w:val="00BD6E9B"/>
    <w:rsid w:val="00BD7752"/>
    <w:rsid w:val="00BD7AC0"/>
    <w:rsid w:val="00BD7D2A"/>
    <w:rsid w:val="00BE2106"/>
    <w:rsid w:val="00BE2130"/>
    <w:rsid w:val="00BE2796"/>
    <w:rsid w:val="00BE4161"/>
    <w:rsid w:val="00BE41B5"/>
    <w:rsid w:val="00BE7A10"/>
    <w:rsid w:val="00BE7E72"/>
    <w:rsid w:val="00BF0800"/>
    <w:rsid w:val="00BF260D"/>
    <w:rsid w:val="00BF2FC9"/>
    <w:rsid w:val="00BF3A5F"/>
    <w:rsid w:val="00BF3C18"/>
    <w:rsid w:val="00BF48B7"/>
    <w:rsid w:val="00BF5BF5"/>
    <w:rsid w:val="00BF62AF"/>
    <w:rsid w:val="00BF65DF"/>
    <w:rsid w:val="00BF67B2"/>
    <w:rsid w:val="00BF6FEB"/>
    <w:rsid w:val="00BF793C"/>
    <w:rsid w:val="00C02DC6"/>
    <w:rsid w:val="00C0320D"/>
    <w:rsid w:val="00C032B9"/>
    <w:rsid w:val="00C05824"/>
    <w:rsid w:val="00C05BBC"/>
    <w:rsid w:val="00C05CC1"/>
    <w:rsid w:val="00C05ED6"/>
    <w:rsid w:val="00C11082"/>
    <w:rsid w:val="00C120E1"/>
    <w:rsid w:val="00C126EE"/>
    <w:rsid w:val="00C12899"/>
    <w:rsid w:val="00C13077"/>
    <w:rsid w:val="00C13663"/>
    <w:rsid w:val="00C14642"/>
    <w:rsid w:val="00C14773"/>
    <w:rsid w:val="00C15FFE"/>
    <w:rsid w:val="00C17990"/>
    <w:rsid w:val="00C17CD0"/>
    <w:rsid w:val="00C17DD2"/>
    <w:rsid w:val="00C17FB6"/>
    <w:rsid w:val="00C218C4"/>
    <w:rsid w:val="00C21C6B"/>
    <w:rsid w:val="00C22198"/>
    <w:rsid w:val="00C22DA8"/>
    <w:rsid w:val="00C22F0F"/>
    <w:rsid w:val="00C24392"/>
    <w:rsid w:val="00C2478F"/>
    <w:rsid w:val="00C2480F"/>
    <w:rsid w:val="00C24F9A"/>
    <w:rsid w:val="00C253E9"/>
    <w:rsid w:val="00C255E7"/>
    <w:rsid w:val="00C25B85"/>
    <w:rsid w:val="00C25C4B"/>
    <w:rsid w:val="00C2793E"/>
    <w:rsid w:val="00C27E57"/>
    <w:rsid w:val="00C27F36"/>
    <w:rsid w:val="00C27FA8"/>
    <w:rsid w:val="00C30866"/>
    <w:rsid w:val="00C30B0B"/>
    <w:rsid w:val="00C31050"/>
    <w:rsid w:val="00C313A0"/>
    <w:rsid w:val="00C31B97"/>
    <w:rsid w:val="00C32D3D"/>
    <w:rsid w:val="00C339FF"/>
    <w:rsid w:val="00C33B31"/>
    <w:rsid w:val="00C357A5"/>
    <w:rsid w:val="00C36C5C"/>
    <w:rsid w:val="00C3720A"/>
    <w:rsid w:val="00C37426"/>
    <w:rsid w:val="00C37EBC"/>
    <w:rsid w:val="00C4049B"/>
    <w:rsid w:val="00C404D6"/>
    <w:rsid w:val="00C407F2"/>
    <w:rsid w:val="00C40BC9"/>
    <w:rsid w:val="00C40C98"/>
    <w:rsid w:val="00C411B4"/>
    <w:rsid w:val="00C41792"/>
    <w:rsid w:val="00C41956"/>
    <w:rsid w:val="00C41EA5"/>
    <w:rsid w:val="00C431F1"/>
    <w:rsid w:val="00C4340D"/>
    <w:rsid w:val="00C43476"/>
    <w:rsid w:val="00C4460C"/>
    <w:rsid w:val="00C45021"/>
    <w:rsid w:val="00C45316"/>
    <w:rsid w:val="00C46600"/>
    <w:rsid w:val="00C468DD"/>
    <w:rsid w:val="00C4693D"/>
    <w:rsid w:val="00C46AAE"/>
    <w:rsid w:val="00C47D59"/>
    <w:rsid w:val="00C50807"/>
    <w:rsid w:val="00C5082F"/>
    <w:rsid w:val="00C5146B"/>
    <w:rsid w:val="00C51ACE"/>
    <w:rsid w:val="00C532F0"/>
    <w:rsid w:val="00C536DB"/>
    <w:rsid w:val="00C537DD"/>
    <w:rsid w:val="00C53A6F"/>
    <w:rsid w:val="00C541B1"/>
    <w:rsid w:val="00C54A9A"/>
    <w:rsid w:val="00C54AFF"/>
    <w:rsid w:val="00C54B2E"/>
    <w:rsid w:val="00C54D79"/>
    <w:rsid w:val="00C551D5"/>
    <w:rsid w:val="00C55DB0"/>
    <w:rsid w:val="00C563B1"/>
    <w:rsid w:val="00C57169"/>
    <w:rsid w:val="00C576F2"/>
    <w:rsid w:val="00C60717"/>
    <w:rsid w:val="00C60788"/>
    <w:rsid w:val="00C60CF7"/>
    <w:rsid w:val="00C61B1D"/>
    <w:rsid w:val="00C62306"/>
    <w:rsid w:val="00C62734"/>
    <w:rsid w:val="00C62C5D"/>
    <w:rsid w:val="00C63BED"/>
    <w:rsid w:val="00C64623"/>
    <w:rsid w:val="00C64C94"/>
    <w:rsid w:val="00C655C8"/>
    <w:rsid w:val="00C66427"/>
    <w:rsid w:val="00C67EFD"/>
    <w:rsid w:val="00C67F37"/>
    <w:rsid w:val="00C7050E"/>
    <w:rsid w:val="00C70A68"/>
    <w:rsid w:val="00C70F4B"/>
    <w:rsid w:val="00C71574"/>
    <w:rsid w:val="00C71A01"/>
    <w:rsid w:val="00C71C3C"/>
    <w:rsid w:val="00C72D32"/>
    <w:rsid w:val="00C73E61"/>
    <w:rsid w:val="00C7461D"/>
    <w:rsid w:val="00C76261"/>
    <w:rsid w:val="00C76790"/>
    <w:rsid w:val="00C76D36"/>
    <w:rsid w:val="00C775B7"/>
    <w:rsid w:val="00C80893"/>
    <w:rsid w:val="00C81213"/>
    <w:rsid w:val="00C8231E"/>
    <w:rsid w:val="00C832E7"/>
    <w:rsid w:val="00C8408A"/>
    <w:rsid w:val="00C8443A"/>
    <w:rsid w:val="00C8552F"/>
    <w:rsid w:val="00C85873"/>
    <w:rsid w:val="00C858E3"/>
    <w:rsid w:val="00C85A3D"/>
    <w:rsid w:val="00C85AE2"/>
    <w:rsid w:val="00C85E0C"/>
    <w:rsid w:val="00C8659B"/>
    <w:rsid w:val="00C872C6"/>
    <w:rsid w:val="00C90044"/>
    <w:rsid w:val="00C90BFA"/>
    <w:rsid w:val="00C90F4F"/>
    <w:rsid w:val="00C913AA"/>
    <w:rsid w:val="00C91FDB"/>
    <w:rsid w:val="00C92287"/>
    <w:rsid w:val="00C928F0"/>
    <w:rsid w:val="00C92EBB"/>
    <w:rsid w:val="00C93FA3"/>
    <w:rsid w:val="00C94CB9"/>
    <w:rsid w:val="00C95D16"/>
    <w:rsid w:val="00C95EBE"/>
    <w:rsid w:val="00C9652E"/>
    <w:rsid w:val="00C96E5F"/>
    <w:rsid w:val="00C9718A"/>
    <w:rsid w:val="00C979AD"/>
    <w:rsid w:val="00C97C39"/>
    <w:rsid w:val="00CA057B"/>
    <w:rsid w:val="00CA1D18"/>
    <w:rsid w:val="00CA22D0"/>
    <w:rsid w:val="00CA41FF"/>
    <w:rsid w:val="00CA512E"/>
    <w:rsid w:val="00CA5A16"/>
    <w:rsid w:val="00CA5C2F"/>
    <w:rsid w:val="00CA5DE3"/>
    <w:rsid w:val="00CA6838"/>
    <w:rsid w:val="00CB0105"/>
    <w:rsid w:val="00CB0430"/>
    <w:rsid w:val="00CB1E81"/>
    <w:rsid w:val="00CB24A7"/>
    <w:rsid w:val="00CB333B"/>
    <w:rsid w:val="00CB3BEA"/>
    <w:rsid w:val="00CB3D70"/>
    <w:rsid w:val="00CB4315"/>
    <w:rsid w:val="00CB43D1"/>
    <w:rsid w:val="00CB4B0D"/>
    <w:rsid w:val="00CB4BD9"/>
    <w:rsid w:val="00CB4FFC"/>
    <w:rsid w:val="00CB76BB"/>
    <w:rsid w:val="00CB77D0"/>
    <w:rsid w:val="00CB79C7"/>
    <w:rsid w:val="00CB7F91"/>
    <w:rsid w:val="00CC1123"/>
    <w:rsid w:val="00CC288F"/>
    <w:rsid w:val="00CC6296"/>
    <w:rsid w:val="00CC6357"/>
    <w:rsid w:val="00CC6F47"/>
    <w:rsid w:val="00CD04BA"/>
    <w:rsid w:val="00CD0F4F"/>
    <w:rsid w:val="00CD23D7"/>
    <w:rsid w:val="00CD2924"/>
    <w:rsid w:val="00CD2E63"/>
    <w:rsid w:val="00CD3AA4"/>
    <w:rsid w:val="00CD3EFF"/>
    <w:rsid w:val="00CD4DBB"/>
    <w:rsid w:val="00CD559D"/>
    <w:rsid w:val="00CD5BF2"/>
    <w:rsid w:val="00CD672F"/>
    <w:rsid w:val="00CD763B"/>
    <w:rsid w:val="00CD7F7B"/>
    <w:rsid w:val="00CD7FB9"/>
    <w:rsid w:val="00CE09A6"/>
    <w:rsid w:val="00CE1367"/>
    <w:rsid w:val="00CE138A"/>
    <w:rsid w:val="00CE1FB8"/>
    <w:rsid w:val="00CE2EC4"/>
    <w:rsid w:val="00CE332B"/>
    <w:rsid w:val="00CE4E59"/>
    <w:rsid w:val="00CE5759"/>
    <w:rsid w:val="00CE66D8"/>
    <w:rsid w:val="00CF04A4"/>
    <w:rsid w:val="00CF0A1F"/>
    <w:rsid w:val="00CF0AFC"/>
    <w:rsid w:val="00CF0D76"/>
    <w:rsid w:val="00CF0E66"/>
    <w:rsid w:val="00CF110F"/>
    <w:rsid w:val="00CF1310"/>
    <w:rsid w:val="00CF241B"/>
    <w:rsid w:val="00CF35ED"/>
    <w:rsid w:val="00CF4B4C"/>
    <w:rsid w:val="00CF5530"/>
    <w:rsid w:val="00CF5B3B"/>
    <w:rsid w:val="00CF71D8"/>
    <w:rsid w:val="00CF73A5"/>
    <w:rsid w:val="00CF77D2"/>
    <w:rsid w:val="00CF78CA"/>
    <w:rsid w:val="00D0015C"/>
    <w:rsid w:val="00D00280"/>
    <w:rsid w:val="00D00A7A"/>
    <w:rsid w:val="00D01277"/>
    <w:rsid w:val="00D0142A"/>
    <w:rsid w:val="00D01894"/>
    <w:rsid w:val="00D01E93"/>
    <w:rsid w:val="00D02869"/>
    <w:rsid w:val="00D029F5"/>
    <w:rsid w:val="00D03A05"/>
    <w:rsid w:val="00D03BFA"/>
    <w:rsid w:val="00D04EA6"/>
    <w:rsid w:val="00D058D5"/>
    <w:rsid w:val="00D0630A"/>
    <w:rsid w:val="00D06476"/>
    <w:rsid w:val="00D06FA4"/>
    <w:rsid w:val="00D0729F"/>
    <w:rsid w:val="00D103C7"/>
    <w:rsid w:val="00D11051"/>
    <w:rsid w:val="00D12DDB"/>
    <w:rsid w:val="00D13049"/>
    <w:rsid w:val="00D14B17"/>
    <w:rsid w:val="00D15190"/>
    <w:rsid w:val="00D1692C"/>
    <w:rsid w:val="00D17655"/>
    <w:rsid w:val="00D178BC"/>
    <w:rsid w:val="00D202DC"/>
    <w:rsid w:val="00D20E1C"/>
    <w:rsid w:val="00D2218B"/>
    <w:rsid w:val="00D23396"/>
    <w:rsid w:val="00D235B1"/>
    <w:rsid w:val="00D240AE"/>
    <w:rsid w:val="00D248B3"/>
    <w:rsid w:val="00D2506B"/>
    <w:rsid w:val="00D2526A"/>
    <w:rsid w:val="00D25F67"/>
    <w:rsid w:val="00D264B2"/>
    <w:rsid w:val="00D26A80"/>
    <w:rsid w:val="00D26C6D"/>
    <w:rsid w:val="00D26EA4"/>
    <w:rsid w:val="00D27FF6"/>
    <w:rsid w:val="00D30EFA"/>
    <w:rsid w:val="00D31D2F"/>
    <w:rsid w:val="00D31E59"/>
    <w:rsid w:val="00D33263"/>
    <w:rsid w:val="00D33CB2"/>
    <w:rsid w:val="00D34334"/>
    <w:rsid w:val="00D34DB8"/>
    <w:rsid w:val="00D357FD"/>
    <w:rsid w:val="00D35B69"/>
    <w:rsid w:val="00D36EFB"/>
    <w:rsid w:val="00D40114"/>
    <w:rsid w:val="00D405DC"/>
    <w:rsid w:val="00D41529"/>
    <w:rsid w:val="00D427B8"/>
    <w:rsid w:val="00D42B45"/>
    <w:rsid w:val="00D42B91"/>
    <w:rsid w:val="00D42F1B"/>
    <w:rsid w:val="00D43B9E"/>
    <w:rsid w:val="00D44237"/>
    <w:rsid w:val="00D4465F"/>
    <w:rsid w:val="00D45238"/>
    <w:rsid w:val="00D456B4"/>
    <w:rsid w:val="00D45848"/>
    <w:rsid w:val="00D45F95"/>
    <w:rsid w:val="00D46D42"/>
    <w:rsid w:val="00D4728E"/>
    <w:rsid w:val="00D472A2"/>
    <w:rsid w:val="00D508B5"/>
    <w:rsid w:val="00D50B66"/>
    <w:rsid w:val="00D50F28"/>
    <w:rsid w:val="00D51413"/>
    <w:rsid w:val="00D521EF"/>
    <w:rsid w:val="00D525A3"/>
    <w:rsid w:val="00D52AB2"/>
    <w:rsid w:val="00D53862"/>
    <w:rsid w:val="00D53D60"/>
    <w:rsid w:val="00D54137"/>
    <w:rsid w:val="00D54BFF"/>
    <w:rsid w:val="00D55A19"/>
    <w:rsid w:val="00D55CC8"/>
    <w:rsid w:val="00D5683C"/>
    <w:rsid w:val="00D57182"/>
    <w:rsid w:val="00D57E1D"/>
    <w:rsid w:val="00D60035"/>
    <w:rsid w:val="00D60849"/>
    <w:rsid w:val="00D60D38"/>
    <w:rsid w:val="00D62A74"/>
    <w:rsid w:val="00D63243"/>
    <w:rsid w:val="00D63852"/>
    <w:rsid w:val="00D63FE1"/>
    <w:rsid w:val="00D64C07"/>
    <w:rsid w:val="00D65240"/>
    <w:rsid w:val="00D6546C"/>
    <w:rsid w:val="00D65574"/>
    <w:rsid w:val="00D65836"/>
    <w:rsid w:val="00D65B3E"/>
    <w:rsid w:val="00D65EF3"/>
    <w:rsid w:val="00D6744C"/>
    <w:rsid w:val="00D67669"/>
    <w:rsid w:val="00D67A3E"/>
    <w:rsid w:val="00D67E11"/>
    <w:rsid w:val="00D67E1D"/>
    <w:rsid w:val="00D71601"/>
    <w:rsid w:val="00D71E5E"/>
    <w:rsid w:val="00D73C77"/>
    <w:rsid w:val="00D7498E"/>
    <w:rsid w:val="00D75D51"/>
    <w:rsid w:val="00D760C8"/>
    <w:rsid w:val="00D76B72"/>
    <w:rsid w:val="00D8021F"/>
    <w:rsid w:val="00D81629"/>
    <w:rsid w:val="00D817E8"/>
    <w:rsid w:val="00D830B9"/>
    <w:rsid w:val="00D8353A"/>
    <w:rsid w:val="00D8376E"/>
    <w:rsid w:val="00D85DA3"/>
    <w:rsid w:val="00D85F4D"/>
    <w:rsid w:val="00D86E1C"/>
    <w:rsid w:val="00D87170"/>
    <w:rsid w:val="00D872B8"/>
    <w:rsid w:val="00D90EBC"/>
    <w:rsid w:val="00D9144A"/>
    <w:rsid w:val="00D92622"/>
    <w:rsid w:val="00D92DFA"/>
    <w:rsid w:val="00D93612"/>
    <w:rsid w:val="00D937BD"/>
    <w:rsid w:val="00D94189"/>
    <w:rsid w:val="00D9464E"/>
    <w:rsid w:val="00D95B55"/>
    <w:rsid w:val="00D95F88"/>
    <w:rsid w:val="00D96107"/>
    <w:rsid w:val="00D96677"/>
    <w:rsid w:val="00D96AD9"/>
    <w:rsid w:val="00D96C6E"/>
    <w:rsid w:val="00D97686"/>
    <w:rsid w:val="00DA03BB"/>
    <w:rsid w:val="00DA0D4F"/>
    <w:rsid w:val="00DA2065"/>
    <w:rsid w:val="00DA254C"/>
    <w:rsid w:val="00DA284D"/>
    <w:rsid w:val="00DA2AAC"/>
    <w:rsid w:val="00DA2BBC"/>
    <w:rsid w:val="00DA3D54"/>
    <w:rsid w:val="00DA54E7"/>
    <w:rsid w:val="00DA5558"/>
    <w:rsid w:val="00DA60A2"/>
    <w:rsid w:val="00DA6421"/>
    <w:rsid w:val="00DA6D2E"/>
    <w:rsid w:val="00DA6D42"/>
    <w:rsid w:val="00DA7BB2"/>
    <w:rsid w:val="00DA7D37"/>
    <w:rsid w:val="00DA7DBD"/>
    <w:rsid w:val="00DB00E1"/>
    <w:rsid w:val="00DB0982"/>
    <w:rsid w:val="00DB0FD0"/>
    <w:rsid w:val="00DB1DD6"/>
    <w:rsid w:val="00DB1EC6"/>
    <w:rsid w:val="00DB2264"/>
    <w:rsid w:val="00DB27F2"/>
    <w:rsid w:val="00DB2A16"/>
    <w:rsid w:val="00DB2BAA"/>
    <w:rsid w:val="00DB4329"/>
    <w:rsid w:val="00DB4DCD"/>
    <w:rsid w:val="00DB5773"/>
    <w:rsid w:val="00DB66E0"/>
    <w:rsid w:val="00DB6D18"/>
    <w:rsid w:val="00DB7C1B"/>
    <w:rsid w:val="00DC0624"/>
    <w:rsid w:val="00DC0729"/>
    <w:rsid w:val="00DC0A9F"/>
    <w:rsid w:val="00DC0B8F"/>
    <w:rsid w:val="00DC1715"/>
    <w:rsid w:val="00DC18D3"/>
    <w:rsid w:val="00DC2A00"/>
    <w:rsid w:val="00DC35B9"/>
    <w:rsid w:val="00DC4186"/>
    <w:rsid w:val="00DC4D19"/>
    <w:rsid w:val="00DC6417"/>
    <w:rsid w:val="00DC6E17"/>
    <w:rsid w:val="00DC772C"/>
    <w:rsid w:val="00DC7D5B"/>
    <w:rsid w:val="00DD04FC"/>
    <w:rsid w:val="00DD0F2E"/>
    <w:rsid w:val="00DD101F"/>
    <w:rsid w:val="00DD17E0"/>
    <w:rsid w:val="00DD1828"/>
    <w:rsid w:val="00DD2074"/>
    <w:rsid w:val="00DD23E8"/>
    <w:rsid w:val="00DD25F0"/>
    <w:rsid w:val="00DD269E"/>
    <w:rsid w:val="00DD35E3"/>
    <w:rsid w:val="00DD37AC"/>
    <w:rsid w:val="00DD62D8"/>
    <w:rsid w:val="00DD6BAA"/>
    <w:rsid w:val="00DD70DB"/>
    <w:rsid w:val="00DD7A1E"/>
    <w:rsid w:val="00DE02E1"/>
    <w:rsid w:val="00DE03AC"/>
    <w:rsid w:val="00DE2098"/>
    <w:rsid w:val="00DE26EF"/>
    <w:rsid w:val="00DE2918"/>
    <w:rsid w:val="00DE3C19"/>
    <w:rsid w:val="00DE3DDB"/>
    <w:rsid w:val="00DE41EC"/>
    <w:rsid w:val="00DE4635"/>
    <w:rsid w:val="00DE5633"/>
    <w:rsid w:val="00DE6283"/>
    <w:rsid w:val="00DE6294"/>
    <w:rsid w:val="00DE634B"/>
    <w:rsid w:val="00DE6379"/>
    <w:rsid w:val="00DE65EC"/>
    <w:rsid w:val="00DE6E92"/>
    <w:rsid w:val="00DE7600"/>
    <w:rsid w:val="00DE7E1E"/>
    <w:rsid w:val="00DE7F1C"/>
    <w:rsid w:val="00DF0CB4"/>
    <w:rsid w:val="00DF0FD2"/>
    <w:rsid w:val="00DF12F3"/>
    <w:rsid w:val="00DF3830"/>
    <w:rsid w:val="00DF4C62"/>
    <w:rsid w:val="00DF5384"/>
    <w:rsid w:val="00DF53AD"/>
    <w:rsid w:val="00DF5BF8"/>
    <w:rsid w:val="00DF6518"/>
    <w:rsid w:val="00DF66BD"/>
    <w:rsid w:val="00DF6862"/>
    <w:rsid w:val="00DF6C54"/>
    <w:rsid w:val="00DF70E2"/>
    <w:rsid w:val="00E006FC"/>
    <w:rsid w:val="00E008A6"/>
    <w:rsid w:val="00E00DF6"/>
    <w:rsid w:val="00E012DD"/>
    <w:rsid w:val="00E02076"/>
    <w:rsid w:val="00E02B26"/>
    <w:rsid w:val="00E02E0E"/>
    <w:rsid w:val="00E0313A"/>
    <w:rsid w:val="00E035EB"/>
    <w:rsid w:val="00E03E22"/>
    <w:rsid w:val="00E0495E"/>
    <w:rsid w:val="00E04A2F"/>
    <w:rsid w:val="00E06C94"/>
    <w:rsid w:val="00E06D0A"/>
    <w:rsid w:val="00E070DF"/>
    <w:rsid w:val="00E0725C"/>
    <w:rsid w:val="00E07382"/>
    <w:rsid w:val="00E10281"/>
    <w:rsid w:val="00E11FA1"/>
    <w:rsid w:val="00E12302"/>
    <w:rsid w:val="00E12DD4"/>
    <w:rsid w:val="00E156C7"/>
    <w:rsid w:val="00E163CB"/>
    <w:rsid w:val="00E166BD"/>
    <w:rsid w:val="00E217A9"/>
    <w:rsid w:val="00E2221E"/>
    <w:rsid w:val="00E22557"/>
    <w:rsid w:val="00E226A1"/>
    <w:rsid w:val="00E22A69"/>
    <w:rsid w:val="00E22AE1"/>
    <w:rsid w:val="00E22DE1"/>
    <w:rsid w:val="00E22F0A"/>
    <w:rsid w:val="00E2478E"/>
    <w:rsid w:val="00E25550"/>
    <w:rsid w:val="00E26336"/>
    <w:rsid w:val="00E273D9"/>
    <w:rsid w:val="00E306CB"/>
    <w:rsid w:val="00E30AEE"/>
    <w:rsid w:val="00E315CB"/>
    <w:rsid w:val="00E31D71"/>
    <w:rsid w:val="00E32589"/>
    <w:rsid w:val="00E32C8D"/>
    <w:rsid w:val="00E33255"/>
    <w:rsid w:val="00E3340A"/>
    <w:rsid w:val="00E33B1D"/>
    <w:rsid w:val="00E3412F"/>
    <w:rsid w:val="00E344B7"/>
    <w:rsid w:val="00E34B55"/>
    <w:rsid w:val="00E36609"/>
    <w:rsid w:val="00E366AE"/>
    <w:rsid w:val="00E36B78"/>
    <w:rsid w:val="00E372CF"/>
    <w:rsid w:val="00E37412"/>
    <w:rsid w:val="00E374D8"/>
    <w:rsid w:val="00E37633"/>
    <w:rsid w:val="00E40A20"/>
    <w:rsid w:val="00E41032"/>
    <w:rsid w:val="00E416FF"/>
    <w:rsid w:val="00E42439"/>
    <w:rsid w:val="00E441B7"/>
    <w:rsid w:val="00E447B4"/>
    <w:rsid w:val="00E44918"/>
    <w:rsid w:val="00E4498A"/>
    <w:rsid w:val="00E44BF8"/>
    <w:rsid w:val="00E463A7"/>
    <w:rsid w:val="00E470AC"/>
    <w:rsid w:val="00E47B11"/>
    <w:rsid w:val="00E506F3"/>
    <w:rsid w:val="00E50BCE"/>
    <w:rsid w:val="00E50E7D"/>
    <w:rsid w:val="00E51F0E"/>
    <w:rsid w:val="00E52127"/>
    <w:rsid w:val="00E522BE"/>
    <w:rsid w:val="00E52B01"/>
    <w:rsid w:val="00E52F45"/>
    <w:rsid w:val="00E54634"/>
    <w:rsid w:val="00E546B2"/>
    <w:rsid w:val="00E5492B"/>
    <w:rsid w:val="00E54DD1"/>
    <w:rsid w:val="00E55FDB"/>
    <w:rsid w:val="00E567DB"/>
    <w:rsid w:val="00E56B58"/>
    <w:rsid w:val="00E57605"/>
    <w:rsid w:val="00E60405"/>
    <w:rsid w:val="00E60954"/>
    <w:rsid w:val="00E623F8"/>
    <w:rsid w:val="00E62B93"/>
    <w:rsid w:val="00E63284"/>
    <w:rsid w:val="00E6359F"/>
    <w:rsid w:val="00E63683"/>
    <w:rsid w:val="00E639D0"/>
    <w:rsid w:val="00E63CC2"/>
    <w:rsid w:val="00E63D16"/>
    <w:rsid w:val="00E63EC9"/>
    <w:rsid w:val="00E6458B"/>
    <w:rsid w:val="00E65045"/>
    <w:rsid w:val="00E650E7"/>
    <w:rsid w:val="00E651A6"/>
    <w:rsid w:val="00E65D10"/>
    <w:rsid w:val="00E65D1B"/>
    <w:rsid w:val="00E70C36"/>
    <w:rsid w:val="00E712B2"/>
    <w:rsid w:val="00E7151A"/>
    <w:rsid w:val="00E71EAD"/>
    <w:rsid w:val="00E723C0"/>
    <w:rsid w:val="00E72C6A"/>
    <w:rsid w:val="00E7335A"/>
    <w:rsid w:val="00E743C6"/>
    <w:rsid w:val="00E7686C"/>
    <w:rsid w:val="00E76EB2"/>
    <w:rsid w:val="00E771A8"/>
    <w:rsid w:val="00E77D29"/>
    <w:rsid w:val="00E77D7E"/>
    <w:rsid w:val="00E77E7E"/>
    <w:rsid w:val="00E8058F"/>
    <w:rsid w:val="00E80705"/>
    <w:rsid w:val="00E81A67"/>
    <w:rsid w:val="00E82465"/>
    <w:rsid w:val="00E827D8"/>
    <w:rsid w:val="00E8313E"/>
    <w:rsid w:val="00E8359B"/>
    <w:rsid w:val="00E84882"/>
    <w:rsid w:val="00E85812"/>
    <w:rsid w:val="00E8651B"/>
    <w:rsid w:val="00E876CC"/>
    <w:rsid w:val="00E90816"/>
    <w:rsid w:val="00E90F0A"/>
    <w:rsid w:val="00E91607"/>
    <w:rsid w:val="00E91823"/>
    <w:rsid w:val="00E93898"/>
    <w:rsid w:val="00E93D2F"/>
    <w:rsid w:val="00E93DB8"/>
    <w:rsid w:val="00E93DD4"/>
    <w:rsid w:val="00E93DDF"/>
    <w:rsid w:val="00E941AD"/>
    <w:rsid w:val="00E9577A"/>
    <w:rsid w:val="00E9601D"/>
    <w:rsid w:val="00E968F8"/>
    <w:rsid w:val="00E9706E"/>
    <w:rsid w:val="00E9730D"/>
    <w:rsid w:val="00E9740E"/>
    <w:rsid w:val="00E97C79"/>
    <w:rsid w:val="00E97E18"/>
    <w:rsid w:val="00E97ED0"/>
    <w:rsid w:val="00EA1E91"/>
    <w:rsid w:val="00EA2E93"/>
    <w:rsid w:val="00EA3661"/>
    <w:rsid w:val="00EA3A15"/>
    <w:rsid w:val="00EA4341"/>
    <w:rsid w:val="00EA43C1"/>
    <w:rsid w:val="00EA5304"/>
    <w:rsid w:val="00EA5836"/>
    <w:rsid w:val="00EA77AB"/>
    <w:rsid w:val="00EA7B39"/>
    <w:rsid w:val="00EB026B"/>
    <w:rsid w:val="00EB10E6"/>
    <w:rsid w:val="00EB147A"/>
    <w:rsid w:val="00EB1B4A"/>
    <w:rsid w:val="00EB1BE9"/>
    <w:rsid w:val="00EB392C"/>
    <w:rsid w:val="00EB3DD1"/>
    <w:rsid w:val="00EB4393"/>
    <w:rsid w:val="00EB4A74"/>
    <w:rsid w:val="00EB4B83"/>
    <w:rsid w:val="00EB4D74"/>
    <w:rsid w:val="00EB5067"/>
    <w:rsid w:val="00EB59B3"/>
    <w:rsid w:val="00EB5F1C"/>
    <w:rsid w:val="00EB616F"/>
    <w:rsid w:val="00EB7E76"/>
    <w:rsid w:val="00EC0683"/>
    <w:rsid w:val="00EC08AB"/>
    <w:rsid w:val="00EC2ED3"/>
    <w:rsid w:val="00EC3983"/>
    <w:rsid w:val="00EC3E01"/>
    <w:rsid w:val="00EC45B8"/>
    <w:rsid w:val="00EC4D1E"/>
    <w:rsid w:val="00EC61D1"/>
    <w:rsid w:val="00EC6482"/>
    <w:rsid w:val="00EC6881"/>
    <w:rsid w:val="00EC74C4"/>
    <w:rsid w:val="00EC781B"/>
    <w:rsid w:val="00EC7E6F"/>
    <w:rsid w:val="00EC7EFE"/>
    <w:rsid w:val="00ED05BD"/>
    <w:rsid w:val="00ED0BE5"/>
    <w:rsid w:val="00ED183A"/>
    <w:rsid w:val="00ED1DDA"/>
    <w:rsid w:val="00ED3879"/>
    <w:rsid w:val="00ED389C"/>
    <w:rsid w:val="00ED38E5"/>
    <w:rsid w:val="00ED555B"/>
    <w:rsid w:val="00ED606B"/>
    <w:rsid w:val="00ED72A6"/>
    <w:rsid w:val="00ED7769"/>
    <w:rsid w:val="00ED78D6"/>
    <w:rsid w:val="00EE1035"/>
    <w:rsid w:val="00EE1CFA"/>
    <w:rsid w:val="00EE1D1E"/>
    <w:rsid w:val="00EE2CFE"/>
    <w:rsid w:val="00EE306F"/>
    <w:rsid w:val="00EE31D5"/>
    <w:rsid w:val="00EE493D"/>
    <w:rsid w:val="00EE5AA0"/>
    <w:rsid w:val="00EE627A"/>
    <w:rsid w:val="00EE6BAA"/>
    <w:rsid w:val="00EE7162"/>
    <w:rsid w:val="00EE7B82"/>
    <w:rsid w:val="00EE7C26"/>
    <w:rsid w:val="00EF06E5"/>
    <w:rsid w:val="00EF0EF3"/>
    <w:rsid w:val="00EF200C"/>
    <w:rsid w:val="00EF2128"/>
    <w:rsid w:val="00EF280D"/>
    <w:rsid w:val="00EF2E5B"/>
    <w:rsid w:val="00EF3620"/>
    <w:rsid w:val="00EF373B"/>
    <w:rsid w:val="00EF3D7D"/>
    <w:rsid w:val="00EF510A"/>
    <w:rsid w:val="00EF56A4"/>
    <w:rsid w:val="00EF6748"/>
    <w:rsid w:val="00EF67B7"/>
    <w:rsid w:val="00F01099"/>
    <w:rsid w:val="00F010F0"/>
    <w:rsid w:val="00F01523"/>
    <w:rsid w:val="00F02B38"/>
    <w:rsid w:val="00F02C01"/>
    <w:rsid w:val="00F02CEF"/>
    <w:rsid w:val="00F02D71"/>
    <w:rsid w:val="00F040BE"/>
    <w:rsid w:val="00F06296"/>
    <w:rsid w:val="00F064D0"/>
    <w:rsid w:val="00F0751A"/>
    <w:rsid w:val="00F07A15"/>
    <w:rsid w:val="00F100D6"/>
    <w:rsid w:val="00F106A0"/>
    <w:rsid w:val="00F10811"/>
    <w:rsid w:val="00F125DC"/>
    <w:rsid w:val="00F127D8"/>
    <w:rsid w:val="00F132EA"/>
    <w:rsid w:val="00F13377"/>
    <w:rsid w:val="00F136E4"/>
    <w:rsid w:val="00F13781"/>
    <w:rsid w:val="00F13797"/>
    <w:rsid w:val="00F13ABD"/>
    <w:rsid w:val="00F14016"/>
    <w:rsid w:val="00F14984"/>
    <w:rsid w:val="00F14C47"/>
    <w:rsid w:val="00F165D0"/>
    <w:rsid w:val="00F16752"/>
    <w:rsid w:val="00F17F49"/>
    <w:rsid w:val="00F206F9"/>
    <w:rsid w:val="00F2111E"/>
    <w:rsid w:val="00F215CB"/>
    <w:rsid w:val="00F215D3"/>
    <w:rsid w:val="00F21DFB"/>
    <w:rsid w:val="00F21E64"/>
    <w:rsid w:val="00F22636"/>
    <w:rsid w:val="00F22910"/>
    <w:rsid w:val="00F23ECE"/>
    <w:rsid w:val="00F24272"/>
    <w:rsid w:val="00F24E45"/>
    <w:rsid w:val="00F253CA"/>
    <w:rsid w:val="00F25D27"/>
    <w:rsid w:val="00F266D7"/>
    <w:rsid w:val="00F27127"/>
    <w:rsid w:val="00F27A6F"/>
    <w:rsid w:val="00F3044D"/>
    <w:rsid w:val="00F323F3"/>
    <w:rsid w:val="00F326B5"/>
    <w:rsid w:val="00F33EFB"/>
    <w:rsid w:val="00F34037"/>
    <w:rsid w:val="00F34EE1"/>
    <w:rsid w:val="00F368C2"/>
    <w:rsid w:val="00F36A00"/>
    <w:rsid w:val="00F3712C"/>
    <w:rsid w:val="00F377AE"/>
    <w:rsid w:val="00F4018D"/>
    <w:rsid w:val="00F40D4E"/>
    <w:rsid w:val="00F40FAA"/>
    <w:rsid w:val="00F4122A"/>
    <w:rsid w:val="00F4123A"/>
    <w:rsid w:val="00F42761"/>
    <w:rsid w:val="00F42B9A"/>
    <w:rsid w:val="00F42F24"/>
    <w:rsid w:val="00F43A27"/>
    <w:rsid w:val="00F4423A"/>
    <w:rsid w:val="00F44643"/>
    <w:rsid w:val="00F44AC7"/>
    <w:rsid w:val="00F45DFC"/>
    <w:rsid w:val="00F46AB7"/>
    <w:rsid w:val="00F47147"/>
    <w:rsid w:val="00F51FAF"/>
    <w:rsid w:val="00F52442"/>
    <w:rsid w:val="00F52D4F"/>
    <w:rsid w:val="00F53E8A"/>
    <w:rsid w:val="00F54147"/>
    <w:rsid w:val="00F548D2"/>
    <w:rsid w:val="00F56687"/>
    <w:rsid w:val="00F56A3D"/>
    <w:rsid w:val="00F5707B"/>
    <w:rsid w:val="00F5719B"/>
    <w:rsid w:val="00F5762B"/>
    <w:rsid w:val="00F579BA"/>
    <w:rsid w:val="00F57CC7"/>
    <w:rsid w:val="00F57F84"/>
    <w:rsid w:val="00F6038D"/>
    <w:rsid w:val="00F610A0"/>
    <w:rsid w:val="00F614C6"/>
    <w:rsid w:val="00F6171D"/>
    <w:rsid w:val="00F61EFD"/>
    <w:rsid w:val="00F62AD3"/>
    <w:rsid w:val="00F62EA1"/>
    <w:rsid w:val="00F635BD"/>
    <w:rsid w:val="00F64C74"/>
    <w:rsid w:val="00F64CF7"/>
    <w:rsid w:val="00F65334"/>
    <w:rsid w:val="00F65955"/>
    <w:rsid w:val="00F66AE6"/>
    <w:rsid w:val="00F66C5F"/>
    <w:rsid w:val="00F6736B"/>
    <w:rsid w:val="00F67A70"/>
    <w:rsid w:val="00F67DB3"/>
    <w:rsid w:val="00F7016D"/>
    <w:rsid w:val="00F70769"/>
    <w:rsid w:val="00F70F63"/>
    <w:rsid w:val="00F71EAC"/>
    <w:rsid w:val="00F72A40"/>
    <w:rsid w:val="00F72B04"/>
    <w:rsid w:val="00F72BBC"/>
    <w:rsid w:val="00F72DE4"/>
    <w:rsid w:val="00F72E9B"/>
    <w:rsid w:val="00F74EBC"/>
    <w:rsid w:val="00F75CAC"/>
    <w:rsid w:val="00F75EF8"/>
    <w:rsid w:val="00F7664D"/>
    <w:rsid w:val="00F7731A"/>
    <w:rsid w:val="00F773F5"/>
    <w:rsid w:val="00F77F72"/>
    <w:rsid w:val="00F80921"/>
    <w:rsid w:val="00F81205"/>
    <w:rsid w:val="00F816E2"/>
    <w:rsid w:val="00F822FA"/>
    <w:rsid w:val="00F82433"/>
    <w:rsid w:val="00F82EF7"/>
    <w:rsid w:val="00F83012"/>
    <w:rsid w:val="00F83C50"/>
    <w:rsid w:val="00F83E44"/>
    <w:rsid w:val="00F842CE"/>
    <w:rsid w:val="00F845C9"/>
    <w:rsid w:val="00F8460D"/>
    <w:rsid w:val="00F84B24"/>
    <w:rsid w:val="00F853E8"/>
    <w:rsid w:val="00F8654E"/>
    <w:rsid w:val="00F86620"/>
    <w:rsid w:val="00F91941"/>
    <w:rsid w:val="00F91FE0"/>
    <w:rsid w:val="00F941F7"/>
    <w:rsid w:val="00F94619"/>
    <w:rsid w:val="00F94D37"/>
    <w:rsid w:val="00F94E9B"/>
    <w:rsid w:val="00F95501"/>
    <w:rsid w:val="00F96569"/>
    <w:rsid w:val="00FA09D3"/>
    <w:rsid w:val="00FA0C2D"/>
    <w:rsid w:val="00FA2037"/>
    <w:rsid w:val="00FA23EA"/>
    <w:rsid w:val="00FA2B70"/>
    <w:rsid w:val="00FA2D3E"/>
    <w:rsid w:val="00FA3652"/>
    <w:rsid w:val="00FA3C9A"/>
    <w:rsid w:val="00FA5FA4"/>
    <w:rsid w:val="00FA6337"/>
    <w:rsid w:val="00FA79BD"/>
    <w:rsid w:val="00FB06C2"/>
    <w:rsid w:val="00FB22EB"/>
    <w:rsid w:val="00FB235C"/>
    <w:rsid w:val="00FB3104"/>
    <w:rsid w:val="00FB330E"/>
    <w:rsid w:val="00FB37E6"/>
    <w:rsid w:val="00FB44FE"/>
    <w:rsid w:val="00FB52F0"/>
    <w:rsid w:val="00FB5D10"/>
    <w:rsid w:val="00FB6F18"/>
    <w:rsid w:val="00FC1F17"/>
    <w:rsid w:val="00FC20A6"/>
    <w:rsid w:val="00FC387A"/>
    <w:rsid w:val="00FC3A7A"/>
    <w:rsid w:val="00FC4070"/>
    <w:rsid w:val="00FC43EF"/>
    <w:rsid w:val="00FC4932"/>
    <w:rsid w:val="00FC4AF6"/>
    <w:rsid w:val="00FC5478"/>
    <w:rsid w:val="00FC56DB"/>
    <w:rsid w:val="00FC5775"/>
    <w:rsid w:val="00FC6875"/>
    <w:rsid w:val="00FD17A8"/>
    <w:rsid w:val="00FD2B04"/>
    <w:rsid w:val="00FD2E49"/>
    <w:rsid w:val="00FD3688"/>
    <w:rsid w:val="00FD3AE9"/>
    <w:rsid w:val="00FD4ADC"/>
    <w:rsid w:val="00FD6248"/>
    <w:rsid w:val="00FD6EF7"/>
    <w:rsid w:val="00FD7306"/>
    <w:rsid w:val="00FD7633"/>
    <w:rsid w:val="00FD7C0E"/>
    <w:rsid w:val="00FE04FE"/>
    <w:rsid w:val="00FE0697"/>
    <w:rsid w:val="00FE0E21"/>
    <w:rsid w:val="00FE11B9"/>
    <w:rsid w:val="00FE1750"/>
    <w:rsid w:val="00FE1BBB"/>
    <w:rsid w:val="00FE2F6C"/>
    <w:rsid w:val="00FE2FF5"/>
    <w:rsid w:val="00FE3188"/>
    <w:rsid w:val="00FE43A1"/>
    <w:rsid w:val="00FE48A4"/>
    <w:rsid w:val="00FE5741"/>
    <w:rsid w:val="00FF024A"/>
    <w:rsid w:val="00FF09FE"/>
    <w:rsid w:val="00FF200A"/>
    <w:rsid w:val="00FF3E79"/>
    <w:rsid w:val="00FF3EFB"/>
    <w:rsid w:val="00FF46F7"/>
    <w:rsid w:val="00FF4BE9"/>
    <w:rsid w:val="00FF5322"/>
    <w:rsid w:val="00FF64BC"/>
    <w:rsid w:val="00FF68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0DA3C"/>
  <w15:docId w15:val="{1469E8AC-82F3-4195-896E-86AB604A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1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3C"/>
    <w:pPr>
      <w:spacing w:after="0" w:line="240" w:lineRule="auto"/>
    </w:p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rsid w:val="0030523C"/>
    <w:pPr>
      <w:keepNext/>
      <w:keepLines/>
      <w:shd w:val="clear" w:color="auto" w:fill="244061"/>
      <w:tabs>
        <w:tab w:val="left" w:pos="567"/>
      </w:tabs>
      <w:outlineLvl w:val="0"/>
    </w:pPr>
    <w:rPr>
      <w:rFonts w:eastAsia="Times New Roman" w:cs="Times New Roman"/>
      <w:b/>
      <w:bCs/>
      <w:caps/>
      <w:color w:val="FFFFFF"/>
      <w:szCs w:val="28"/>
      <w:lang w:val="x-none" w:eastAsia="x-none"/>
    </w:rPr>
  </w:style>
  <w:style w:type="paragraph" w:styleId="Heading2">
    <w:name w:val="heading 2"/>
    <w:basedOn w:val="Normal"/>
    <w:next w:val="Normal"/>
    <w:link w:val="Heading2Char"/>
    <w:unhideWhenUsed/>
    <w:qFormat/>
    <w:rsid w:val="0030523C"/>
    <w:pPr>
      <w:keepNext/>
      <w:keepLines/>
      <w:shd w:val="clear" w:color="auto" w:fill="D9D9D9"/>
      <w:tabs>
        <w:tab w:val="left" w:pos="567"/>
      </w:tabs>
      <w:outlineLvl w:val="1"/>
    </w:pPr>
    <w:rPr>
      <w:rFonts w:eastAsia="Times New Roman" w:cs="Times New Roman"/>
      <w:b/>
      <w:color w:val="000000"/>
      <w:szCs w:val="26"/>
    </w:rPr>
  </w:style>
  <w:style w:type="paragraph" w:styleId="Heading3">
    <w:name w:val="heading 3"/>
    <w:basedOn w:val="Sub1"/>
    <w:next w:val="Normal"/>
    <w:link w:val="Heading3Char"/>
    <w:unhideWhenUsed/>
    <w:qFormat/>
    <w:rsid w:val="008E1CB9"/>
    <w:pPr>
      <w:spacing w:after="180"/>
      <w:jc w:val="both"/>
      <w:outlineLvl w:val="2"/>
    </w:pPr>
    <w:rPr>
      <w:sz w:val="28"/>
    </w:rPr>
  </w:style>
  <w:style w:type="paragraph" w:styleId="Heading4">
    <w:name w:val="heading 4"/>
    <w:basedOn w:val="Normal"/>
    <w:next w:val="Normal"/>
    <w:link w:val="Heading4Char"/>
    <w:unhideWhenUsed/>
    <w:qFormat/>
    <w:rsid w:val="009814E7"/>
    <w:pPr>
      <w:keepNext/>
      <w:keepLines/>
      <w:spacing w:before="200"/>
      <w:outlineLvl w:val="3"/>
    </w:pPr>
    <w:rPr>
      <w:rFonts w:eastAsia="Times New Roman" w:cs="Times New Roman"/>
      <w:b/>
      <w:bCs/>
      <w:iCs/>
      <w:sz w:val="28"/>
      <w:szCs w:val="20"/>
      <w:lang w:val="x-none" w:eastAsia="x-none"/>
    </w:rPr>
  </w:style>
  <w:style w:type="paragraph" w:styleId="Heading5">
    <w:name w:val="heading 5"/>
    <w:basedOn w:val="Normal"/>
    <w:next w:val="Normal"/>
    <w:link w:val="Heading5Char"/>
    <w:unhideWhenUsed/>
    <w:qFormat/>
    <w:rsid w:val="009814E7"/>
    <w:pPr>
      <w:keepNext/>
      <w:keepLines/>
      <w:spacing w:before="200"/>
      <w:outlineLvl w:val="4"/>
    </w:pPr>
    <w:rPr>
      <w:rFonts w:eastAsia="Times New Roman" w:cs="Times New Roman"/>
      <w:b/>
      <w:i/>
      <w:color w:val="000000" w:themeColor="text1"/>
      <w:szCs w:val="20"/>
      <w:lang w:val="x-none" w:eastAsia="x-none"/>
    </w:rPr>
  </w:style>
  <w:style w:type="paragraph" w:styleId="Heading6">
    <w:name w:val="heading 6"/>
    <w:basedOn w:val="Normal"/>
    <w:next w:val="Normal"/>
    <w:link w:val="Heading6Char"/>
    <w:unhideWhenUsed/>
    <w:qFormat/>
    <w:rsid w:val="0030523C"/>
    <w:pPr>
      <w:keepNext/>
      <w:keepLines/>
      <w:spacing w:before="200"/>
      <w:outlineLvl w:val="5"/>
    </w:pPr>
    <w:rPr>
      <w:rFonts w:ascii="Calibri Light" w:eastAsia="Times New Roman" w:hAnsi="Calibri Light" w:cs="Times New Roman"/>
      <w:i/>
      <w:iCs/>
      <w:color w:val="1F4D78"/>
      <w:szCs w:val="20"/>
      <w:lang w:val="x-none" w:eastAsia="x-none"/>
    </w:rPr>
  </w:style>
  <w:style w:type="paragraph" w:styleId="Heading7">
    <w:name w:val="heading 7"/>
    <w:basedOn w:val="Normal"/>
    <w:next w:val="Normal"/>
    <w:link w:val="Heading7Char"/>
    <w:unhideWhenUsed/>
    <w:qFormat/>
    <w:rsid w:val="0030523C"/>
    <w:pPr>
      <w:keepNext/>
      <w:keepLines/>
      <w:spacing w:before="200"/>
      <w:outlineLvl w:val="6"/>
    </w:pPr>
    <w:rPr>
      <w:rFonts w:ascii="Calibri Light" w:eastAsia="Times New Roman" w:hAnsi="Calibri Light" w:cs="Times New Roman"/>
      <w:i/>
      <w:iCs/>
      <w:color w:val="404040"/>
      <w:szCs w:val="20"/>
      <w:lang w:val="x-none" w:eastAsia="x-none"/>
    </w:rPr>
  </w:style>
  <w:style w:type="paragraph" w:styleId="Heading8">
    <w:name w:val="heading 8"/>
    <w:basedOn w:val="Normal"/>
    <w:next w:val="Normal"/>
    <w:link w:val="Heading8Char"/>
    <w:unhideWhenUsed/>
    <w:qFormat/>
    <w:rsid w:val="0030523C"/>
    <w:pPr>
      <w:keepNext/>
      <w:keepLines/>
      <w:spacing w:before="200"/>
      <w:outlineLvl w:val="7"/>
    </w:pPr>
    <w:rPr>
      <w:rFonts w:ascii="Calibri Light" w:eastAsia="Times New Roman" w:hAnsi="Calibri Light" w:cs="Times New Roman"/>
      <w:color w:val="404040"/>
      <w:szCs w:val="20"/>
      <w:lang w:val="x-none" w:eastAsia="x-none"/>
    </w:rPr>
  </w:style>
  <w:style w:type="paragraph" w:styleId="Heading9">
    <w:name w:val="heading 9"/>
    <w:basedOn w:val="Normal"/>
    <w:next w:val="Normal"/>
    <w:link w:val="Heading9Char"/>
    <w:unhideWhenUsed/>
    <w:qFormat/>
    <w:rsid w:val="0030523C"/>
    <w:pPr>
      <w:keepNext/>
      <w:keepLines/>
      <w:spacing w:before="200"/>
      <w:outlineLvl w:val="8"/>
    </w:pPr>
    <w:rPr>
      <w:rFonts w:ascii="Calibri Light" w:eastAsia="Times New Roman" w:hAnsi="Calibri Light" w:cs="Times New Roman"/>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52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0523C"/>
    <w:rPr>
      <w:rFonts w:ascii="Arial" w:eastAsia="Times New Roman" w:hAnsi="Arial" w:cs="Times New Roman"/>
      <w:b/>
      <w:color w:val="000000"/>
      <w:sz w:val="24"/>
      <w:szCs w:val="26"/>
      <w:shd w:val="clear" w:color="auto" w:fill="D9D9D9"/>
    </w:rPr>
  </w:style>
  <w:style w:type="character" w:customStyle="1" w:styleId="Heading3Char">
    <w:name w:val="Heading 3 Char"/>
    <w:basedOn w:val="DefaultParagraphFont"/>
    <w:link w:val="Heading3"/>
    <w:rsid w:val="008E1CB9"/>
    <w:rPr>
      <w:b/>
      <w:color w:val="0070C0"/>
      <w:sz w:val="28"/>
    </w:rPr>
  </w:style>
  <w:style w:type="character" w:customStyle="1" w:styleId="Heading4Char">
    <w:name w:val="Heading 4 Char"/>
    <w:basedOn w:val="DefaultParagraphFont"/>
    <w:link w:val="Heading4"/>
    <w:rsid w:val="009814E7"/>
    <w:rPr>
      <w:rFonts w:eastAsia="Times New Roman" w:cs="Times New Roman"/>
      <w:b/>
      <w:bCs/>
      <w:iCs/>
      <w:sz w:val="28"/>
      <w:szCs w:val="20"/>
      <w:lang w:val="x-none" w:eastAsia="x-none"/>
    </w:rPr>
  </w:style>
  <w:style w:type="character" w:customStyle="1" w:styleId="Heading5Char">
    <w:name w:val="Heading 5 Char"/>
    <w:basedOn w:val="DefaultParagraphFont"/>
    <w:link w:val="Heading5"/>
    <w:rsid w:val="009814E7"/>
    <w:rPr>
      <w:rFonts w:eastAsia="Times New Roman" w:cs="Times New Roman"/>
      <w:b/>
      <w:i/>
      <w:color w:val="000000" w:themeColor="text1"/>
      <w:szCs w:val="20"/>
      <w:lang w:val="x-none" w:eastAsia="x-none"/>
    </w:rPr>
  </w:style>
  <w:style w:type="character" w:customStyle="1" w:styleId="Heading6Char">
    <w:name w:val="Heading 6 Char"/>
    <w:basedOn w:val="DefaultParagraphFont"/>
    <w:link w:val="Heading6"/>
    <w:rsid w:val="0030523C"/>
    <w:rPr>
      <w:rFonts w:ascii="Calibri Light" w:eastAsia="Times New Roman" w:hAnsi="Calibri Light" w:cs="Times New Roman"/>
      <w:i/>
      <w:iCs/>
      <w:color w:val="1F4D78"/>
      <w:sz w:val="20"/>
      <w:szCs w:val="20"/>
      <w:lang w:val="x-none" w:eastAsia="x-none"/>
    </w:rPr>
  </w:style>
  <w:style w:type="character" w:customStyle="1" w:styleId="Heading7Char">
    <w:name w:val="Heading 7 Char"/>
    <w:basedOn w:val="DefaultParagraphFont"/>
    <w:link w:val="Heading7"/>
    <w:rsid w:val="0030523C"/>
    <w:rPr>
      <w:rFonts w:ascii="Calibri Light" w:eastAsia="Times New Roman" w:hAnsi="Calibri Light" w:cs="Times New Roman"/>
      <w:i/>
      <w:iCs/>
      <w:color w:val="404040"/>
      <w:sz w:val="20"/>
      <w:szCs w:val="20"/>
      <w:lang w:val="x-none" w:eastAsia="x-none"/>
    </w:rPr>
  </w:style>
  <w:style w:type="character" w:customStyle="1" w:styleId="Heading8Char">
    <w:name w:val="Heading 8 Char"/>
    <w:basedOn w:val="DefaultParagraphFont"/>
    <w:link w:val="Heading8"/>
    <w:rsid w:val="0030523C"/>
    <w:rPr>
      <w:rFonts w:ascii="Calibri Light" w:eastAsia="Times New Roman" w:hAnsi="Calibri Light" w:cs="Times New Roman"/>
      <w:color w:val="404040"/>
      <w:sz w:val="20"/>
      <w:szCs w:val="20"/>
      <w:lang w:val="x-none" w:eastAsia="x-none"/>
    </w:rPr>
  </w:style>
  <w:style w:type="character" w:customStyle="1" w:styleId="Heading9Char">
    <w:name w:val="Heading 9 Char"/>
    <w:basedOn w:val="DefaultParagraphFont"/>
    <w:link w:val="Heading9"/>
    <w:rsid w:val="0030523C"/>
    <w:rPr>
      <w:rFonts w:ascii="Calibri Light" w:eastAsia="Times New Roman" w:hAnsi="Calibri Light" w:cs="Times New Roman"/>
      <w:i/>
      <w:iCs/>
      <w:color w:val="404040"/>
      <w:sz w:val="20"/>
      <w:szCs w:val="20"/>
      <w:lang w:val="x-none" w:eastAsia="x-none"/>
    </w:rPr>
  </w:style>
  <w:style w:type="paragraph" w:styleId="ListParagraph">
    <w:name w:val="List Paragraph"/>
    <w:aliases w:val="Bullets,List Bullet Mary,List Paragraph (numbered (a)),body bullets,Liste 1,Paragraphe  revu,List Paragraph nowy,Numbered Paragraph"/>
    <w:basedOn w:val="Normal"/>
    <w:link w:val="ListParagraphChar"/>
    <w:uiPriority w:val="34"/>
    <w:qFormat/>
    <w:rsid w:val="0030523C"/>
    <w:pPr>
      <w:ind w:left="720"/>
      <w:contextualSpacing/>
    </w:pPr>
  </w:style>
  <w:style w:type="character" w:styleId="CommentReference">
    <w:name w:val="annotation reference"/>
    <w:uiPriority w:val="99"/>
    <w:unhideWhenUsed/>
    <w:rsid w:val="0030523C"/>
    <w:rPr>
      <w:sz w:val="16"/>
      <w:szCs w:val="16"/>
    </w:rPr>
  </w:style>
  <w:style w:type="paragraph" w:styleId="CommentText">
    <w:name w:val="annotation text"/>
    <w:basedOn w:val="Normal"/>
    <w:link w:val="CommentTextChar"/>
    <w:uiPriority w:val="99"/>
    <w:unhideWhenUsed/>
    <w:rsid w:val="0030523C"/>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rsid w:val="0030523C"/>
    <w:rPr>
      <w:rFonts w:ascii="Calibri" w:eastAsia="Calibri" w:hAnsi="Calibri" w:cs="Times New Roman"/>
      <w:sz w:val="20"/>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30523C"/>
    <w:rPr>
      <w:rFonts w:cs="Times New Roman"/>
      <w:color w:val="000000"/>
      <w:sz w:val="16"/>
      <w:szCs w:val="20"/>
      <w:lang w:val="x-none" w:eastAsia="x-non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rsid w:val="0030523C"/>
    <w:rPr>
      <w:rFonts w:ascii="Arial" w:eastAsia="Calibri" w:hAnsi="Arial" w:cs="Times New Roman"/>
      <w:color w:val="000000"/>
      <w:sz w:val="16"/>
      <w:szCs w:val="20"/>
      <w:lang w:val="x-none" w:eastAsia="x-none"/>
    </w:rPr>
  </w:style>
  <w:style w:type="character" w:styleId="FootnoteReference">
    <w:name w:val="footnote reference"/>
    <w:aliases w:val="Error-Fußnotenzeichen5,Error-Fußnotenzeichen6,Error-Fußnotenzeichen3"/>
    <w:uiPriority w:val="99"/>
    <w:unhideWhenUsed/>
    <w:rsid w:val="0030523C"/>
    <w:rPr>
      <w:vertAlign w:val="superscript"/>
    </w:rPr>
  </w:style>
  <w:style w:type="character" w:styleId="Hyperlink">
    <w:name w:val="Hyperlink"/>
    <w:uiPriority w:val="99"/>
    <w:unhideWhenUsed/>
    <w:rsid w:val="0030523C"/>
    <w:rPr>
      <w:color w:val="0563C1"/>
      <w:u w:val="single"/>
    </w:rPr>
  </w:style>
  <w:style w:type="paragraph" w:styleId="BalloonText">
    <w:name w:val="Balloon Text"/>
    <w:basedOn w:val="Normal"/>
    <w:link w:val="BalloonTextChar"/>
    <w:uiPriority w:val="99"/>
    <w:semiHidden/>
    <w:unhideWhenUsed/>
    <w:rsid w:val="0030523C"/>
    <w:rPr>
      <w:rFonts w:ascii="Segoe U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30523C"/>
    <w:rPr>
      <w:rFonts w:ascii="Segoe UI" w:eastAsia="Calibri" w:hAnsi="Segoe UI" w:cs="Times New Roman"/>
      <w:sz w:val="18"/>
      <w:szCs w:val="18"/>
      <w:lang w:val="x-none" w:eastAsia="x-none"/>
    </w:rPr>
  </w:style>
  <w:style w:type="paragraph" w:customStyle="1" w:styleId="Default">
    <w:name w:val="Default"/>
    <w:rsid w:val="0030523C"/>
    <w:pPr>
      <w:autoSpaceDE w:val="0"/>
      <w:autoSpaceDN w:val="0"/>
      <w:adjustRightInd w:val="0"/>
      <w:spacing w:after="0" w:line="240" w:lineRule="auto"/>
    </w:pPr>
    <w:rPr>
      <w:rFonts w:ascii="Univers 55" w:eastAsia="Calibri" w:hAnsi="Univers 55" w:cs="Univers 55"/>
      <w:color w:val="000000"/>
      <w:szCs w:val="24"/>
    </w:rPr>
  </w:style>
  <w:style w:type="paragraph" w:styleId="BodyText">
    <w:name w:val="Body Text"/>
    <w:link w:val="BodyTextChar"/>
    <w:rsid w:val="0030523C"/>
    <w:pPr>
      <w:numPr>
        <w:ilvl w:val="1"/>
        <w:numId w:val="1"/>
      </w:numPr>
      <w:spacing w:after="165" w:line="280" w:lineRule="atLeast"/>
    </w:pPr>
    <w:rPr>
      <w:rFonts w:ascii="Humnst777 Lt BT" w:eastAsia="Times New Roman" w:hAnsi="Humnst777 Lt BT" w:cs="Times New Roman"/>
      <w:sz w:val="20"/>
      <w:szCs w:val="24"/>
      <w:lang w:eastAsia="en-GB"/>
    </w:rPr>
  </w:style>
  <w:style w:type="character" w:customStyle="1" w:styleId="BodyTextChar">
    <w:name w:val="Body Text Char"/>
    <w:basedOn w:val="DefaultParagraphFont"/>
    <w:link w:val="BodyText"/>
    <w:rsid w:val="0030523C"/>
    <w:rPr>
      <w:rFonts w:ascii="Humnst777 Lt BT" w:eastAsia="Times New Roman" w:hAnsi="Humnst777 Lt BT" w:cs="Times New Roman"/>
      <w:sz w:val="20"/>
      <w:szCs w:val="24"/>
      <w:lang w:eastAsia="en-GB"/>
    </w:rPr>
  </w:style>
  <w:style w:type="paragraph" w:styleId="BodyText2">
    <w:name w:val="Body Text 2"/>
    <w:basedOn w:val="BodyText"/>
    <w:link w:val="BodyText2Char"/>
    <w:rsid w:val="0030523C"/>
    <w:pPr>
      <w:numPr>
        <w:ilvl w:val="2"/>
      </w:numPr>
    </w:pPr>
    <w:rPr>
      <w:lang w:val="x-none"/>
    </w:rPr>
  </w:style>
  <w:style w:type="character" w:customStyle="1" w:styleId="BodyText2Char">
    <w:name w:val="Body Text 2 Char"/>
    <w:basedOn w:val="DefaultParagraphFont"/>
    <w:link w:val="BodyText2"/>
    <w:rsid w:val="0030523C"/>
    <w:rPr>
      <w:rFonts w:ascii="Humnst777 Lt BT" w:eastAsia="Times New Roman" w:hAnsi="Humnst777 Lt BT" w:cs="Times New Roman"/>
      <w:sz w:val="20"/>
      <w:szCs w:val="24"/>
      <w:lang w:val="x-none" w:eastAsia="en-GB"/>
    </w:rPr>
  </w:style>
  <w:style w:type="paragraph" w:customStyle="1" w:styleId="BoxHeading">
    <w:name w:val="Box Heading"/>
    <w:next w:val="BodyText3"/>
    <w:uiPriority w:val="99"/>
    <w:rsid w:val="0030523C"/>
    <w:pPr>
      <w:keepNext/>
      <w:numPr>
        <w:ilvl w:val="3"/>
        <w:numId w:val="1"/>
      </w:numPr>
      <w:spacing w:after="165" w:line="260" w:lineRule="atLeast"/>
    </w:pPr>
    <w:rPr>
      <w:rFonts w:ascii="Humnst777 BT" w:eastAsia="Times New Roman" w:hAnsi="Humnst777 BT" w:cs="Times New Roman"/>
      <w:b/>
      <w:color w:val="C40012"/>
      <w:sz w:val="20"/>
      <w:szCs w:val="24"/>
      <w:lang w:eastAsia="en-GB"/>
    </w:rPr>
  </w:style>
  <w:style w:type="paragraph" w:customStyle="1" w:styleId="FigureHeading">
    <w:name w:val="Figure Heading"/>
    <w:uiPriority w:val="99"/>
    <w:rsid w:val="0030523C"/>
    <w:pPr>
      <w:keepNext/>
      <w:numPr>
        <w:ilvl w:val="4"/>
        <w:numId w:val="1"/>
      </w:numPr>
      <w:spacing w:after="57" w:line="240" w:lineRule="atLeast"/>
    </w:pPr>
    <w:rPr>
      <w:rFonts w:ascii="Humnst777 BT" w:eastAsia="Times New Roman" w:hAnsi="Humnst777 BT" w:cs="Times New Roman"/>
      <w:b/>
      <w:color w:val="C40012"/>
      <w:sz w:val="20"/>
      <w:szCs w:val="24"/>
      <w:lang w:eastAsia="en-GB"/>
    </w:rPr>
  </w:style>
  <w:style w:type="paragraph" w:customStyle="1" w:styleId="TableHeading">
    <w:name w:val="Table Heading"/>
    <w:basedOn w:val="FigureHeading"/>
    <w:uiPriority w:val="99"/>
    <w:rsid w:val="0030523C"/>
    <w:pPr>
      <w:numPr>
        <w:ilvl w:val="5"/>
      </w:numPr>
    </w:pPr>
  </w:style>
  <w:style w:type="paragraph" w:customStyle="1" w:styleId="ChartHeading">
    <w:name w:val="Chart Heading"/>
    <w:basedOn w:val="FigureHeading"/>
    <w:uiPriority w:val="99"/>
    <w:rsid w:val="0030523C"/>
    <w:pPr>
      <w:numPr>
        <w:ilvl w:val="6"/>
      </w:numPr>
    </w:pPr>
  </w:style>
  <w:style w:type="paragraph" w:styleId="NormalWeb">
    <w:name w:val="Normal (Web)"/>
    <w:basedOn w:val="Normal"/>
    <w:uiPriority w:val="99"/>
    <w:unhideWhenUsed/>
    <w:rsid w:val="0030523C"/>
    <w:pPr>
      <w:spacing w:before="100" w:beforeAutospacing="1" w:after="100" w:afterAutospacing="1"/>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30523C"/>
    <w:pPr>
      <w:spacing w:after="120"/>
    </w:pPr>
    <w:rPr>
      <w:rFonts w:ascii="Calibri" w:hAnsi="Calibri" w:cs="Times New Roman"/>
      <w:sz w:val="16"/>
      <w:lang w:val="x-none" w:eastAsia="x-none"/>
    </w:rPr>
  </w:style>
  <w:style w:type="character" w:customStyle="1" w:styleId="BodyText3Char">
    <w:name w:val="Body Text 3 Char"/>
    <w:basedOn w:val="DefaultParagraphFont"/>
    <w:link w:val="BodyText3"/>
    <w:uiPriority w:val="99"/>
    <w:rsid w:val="0030523C"/>
    <w:rPr>
      <w:rFonts w:ascii="Calibri" w:eastAsia="Calibri" w:hAnsi="Calibri" w:cs="Times New Roman"/>
      <w:sz w:val="16"/>
      <w:szCs w:val="16"/>
      <w:lang w:val="x-none" w:eastAsia="x-none"/>
    </w:rPr>
  </w:style>
  <w:style w:type="paragraph" w:styleId="CommentSubject">
    <w:name w:val="annotation subject"/>
    <w:basedOn w:val="CommentText"/>
    <w:next w:val="CommentText"/>
    <w:link w:val="CommentSubjectChar"/>
    <w:unhideWhenUsed/>
    <w:rsid w:val="0030523C"/>
    <w:rPr>
      <w:b/>
      <w:bCs/>
    </w:rPr>
  </w:style>
  <w:style w:type="character" w:customStyle="1" w:styleId="CommentSubjectChar">
    <w:name w:val="Comment Subject Char"/>
    <w:basedOn w:val="CommentTextChar"/>
    <w:link w:val="CommentSubject"/>
    <w:rsid w:val="0030523C"/>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30523C"/>
    <w:pPr>
      <w:tabs>
        <w:tab w:val="center" w:pos="4513"/>
        <w:tab w:val="right" w:pos="9026"/>
      </w:tabs>
    </w:pPr>
  </w:style>
  <w:style w:type="character" w:customStyle="1" w:styleId="HeaderChar">
    <w:name w:val="Header Char"/>
    <w:basedOn w:val="DefaultParagraphFont"/>
    <w:link w:val="Header"/>
    <w:uiPriority w:val="99"/>
    <w:rsid w:val="0030523C"/>
    <w:rPr>
      <w:rFonts w:ascii="Arial" w:eastAsia="Calibri" w:hAnsi="Arial" w:cs="Arial"/>
      <w:sz w:val="20"/>
    </w:rPr>
  </w:style>
  <w:style w:type="paragraph" w:styleId="Footer">
    <w:name w:val="footer"/>
    <w:basedOn w:val="Normal"/>
    <w:link w:val="FooterChar"/>
    <w:uiPriority w:val="99"/>
    <w:unhideWhenUsed/>
    <w:rsid w:val="0030523C"/>
    <w:pPr>
      <w:tabs>
        <w:tab w:val="center" w:pos="4513"/>
        <w:tab w:val="right" w:pos="9026"/>
      </w:tabs>
    </w:pPr>
  </w:style>
  <w:style w:type="character" w:customStyle="1" w:styleId="FooterChar">
    <w:name w:val="Footer Char"/>
    <w:basedOn w:val="DefaultParagraphFont"/>
    <w:link w:val="Footer"/>
    <w:uiPriority w:val="99"/>
    <w:rsid w:val="0030523C"/>
    <w:rPr>
      <w:rFonts w:ascii="Arial" w:eastAsia="Calibri" w:hAnsi="Arial" w:cs="Arial"/>
      <w:sz w:val="20"/>
    </w:rPr>
  </w:style>
  <w:style w:type="paragraph" w:styleId="PlainText">
    <w:name w:val="Plain Text"/>
    <w:basedOn w:val="Normal"/>
    <w:link w:val="PlainTextChar"/>
    <w:uiPriority w:val="99"/>
    <w:unhideWhenUsed/>
    <w:rsid w:val="0030523C"/>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30523C"/>
    <w:rPr>
      <w:rFonts w:ascii="Consolas" w:eastAsia="Calibri" w:hAnsi="Consolas" w:cs="Times New Roman"/>
      <w:color w:val="000000"/>
      <w:sz w:val="21"/>
      <w:szCs w:val="21"/>
      <w:lang w:val="x-none" w:eastAsia="x-none"/>
    </w:rPr>
  </w:style>
  <w:style w:type="table" w:styleId="TableGrid">
    <w:name w:val="Table Grid"/>
    <w:basedOn w:val="TableNormal"/>
    <w:uiPriority w:val="39"/>
    <w:rsid w:val="0030523C"/>
    <w:pPr>
      <w:spacing w:after="0" w:line="240" w:lineRule="auto"/>
    </w:pPr>
    <w:rPr>
      <w:rFonts w:ascii="Calibri" w:eastAsia="Calibri" w:hAnsi="Calibri" w:cs="Times New Roman"/>
      <w:color w:val="000000"/>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523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523C"/>
  </w:style>
  <w:style w:type="numbering" w:customStyle="1" w:styleId="Style1">
    <w:name w:val="Style1"/>
    <w:uiPriority w:val="99"/>
    <w:rsid w:val="0030523C"/>
    <w:pPr>
      <w:numPr>
        <w:numId w:val="2"/>
      </w:numPr>
    </w:pPr>
  </w:style>
  <w:style w:type="character" w:styleId="Strong">
    <w:name w:val="Strong"/>
    <w:uiPriority w:val="22"/>
    <w:qFormat/>
    <w:rsid w:val="0030523C"/>
    <w:rPr>
      <w:b/>
      <w:bCs/>
    </w:rPr>
  </w:style>
  <w:style w:type="character" w:styleId="FollowedHyperlink">
    <w:name w:val="FollowedHyperlink"/>
    <w:uiPriority w:val="99"/>
    <w:unhideWhenUsed/>
    <w:rsid w:val="0030523C"/>
    <w:rPr>
      <w:color w:val="954F72"/>
      <w:u w:val="single"/>
    </w:rPr>
  </w:style>
  <w:style w:type="paragraph" w:styleId="NoSpacing">
    <w:name w:val="No Spacing"/>
    <w:uiPriority w:val="1"/>
    <w:qFormat/>
    <w:rsid w:val="0030523C"/>
    <w:pPr>
      <w:spacing w:after="0" w:line="240" w:lineRule="auto"/>
    </w:pPr>
    <w:rPr>
      <w:rFonts w:ascii="Calibri" w:eastAsia="Calibri" w:hAnsi="Calibri"/>
    </w:rPr>
  </w:style>
  <w:style w:type="character" w:customStyle="1" w:styleId="personname2">
    <w:name w:val="person_name2"/>
    <w:basedOn w:val="DefaultParagraphFont"/>
    <w:rsid w:val="0030523C"/>
  </w:style>
  <w:style w:type="character" w:styleId="Emphasis">
    <w:name w:val="Emphasis"/>
    <w:uiPriority w:val="20"/>
    <w:qFormat/>
    <w:rsid w:val="0030523C"/>
    <w:rPr>
      <w:i/>
      <w:iCs/>
    </w:rPr>
  </w:style>
  <w:style w:type="paragraph" w:styleId="Revision">
    <w:name w:val="Revision"/>
    <w:hidden/>
    <w:uiPriority w:val="99"/>
    <w:semiHidden/>
    <w:rsid w:val="0030523C"/>
    <w:pPr>
      <w:spacing w:after="0" w:line="240" w:lineRule="auto"/>
    </w:pPr>
    <w:rPr>
      <w:rFonts w:ascii="Calibri" w:eastAsia="Calibri" w:hAnsi="Calibri" w:cs="Times New Roman"/>
      <w:color w:val="000000"/>
      <w:szCs w:val="24"/>
    </w:rPr>
  </w:style>
  <w:style w:type="paragraph" w:styleId="EndnoteText">
    <w:name w:val="endnote text"/>
    <w:basedOn w:val="Normal"/>
    <w:link w:val="EndnoteTextChar"/>
    <w:uiPriority w:val="99"/>
    <w:semiHidden/>
    <w:unhideWhenUsed/>
    <w:rsid w:val="0030523C"/>
    <w:rPr>
      <w:rFonts w:ascii="Calibri" w:hAnsi="Calibri" w:cs="Times New Roman"/>
      <w:szCs w:val="20"/>
      <w:lang w:val="x-none" w:eastAsia="x-none"/>
    </w:rPr>
  </w:style>
  <w:style w:type="character" w:customStyle="1" w:styleId="EndnoteTextChar">
    <w:name w:val="Endnote Text Char"/>
    <w:basedOn w:val="DefaultParagraphFont"/>
    <w:link w:val="EndnoteText"/>
    <w:uiPriority w:val="99"/>
    <w:semiHidden/>
    <w:rsid w:val="0030523C"/>
    <w:rPr>
      <w:rFonts w:ascii="Calibri" w:eastAsia="Calibri" w:hAnsi="Calibri" w:cs="Times New Roman"/>
      <w:sz w:val="20"/>
      <w:szCs w:val="20"/>
      <w:lang w:val="x-none" w:eastAsia="x-none"/>
    </w:rPr>
  </w:style>
  <w:style w:type="character" w:styleId="EndnoteReference">
    <w:name w:val="endnote reference"/>
    <w:uiPriority w:val="99"/>
    <w:semiHidden/>
    <w:unhideWhenUsed/>
    <w:rsid w:val="0030523C"/>
    <w:rPr>
      <w:vertAlign w:val="superscript"/>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ink w:val="Heading1"/>
    <w:rsid w:val="0030523C"/>
    <w:rPr>
      <w:rFonts w:ascii="Arial" w:eastAsia="Times New Roman" w:hAnsi="Arial" w:cs="Times New Roman"/>
      <w:b/>
      <w:bCs/>
      <w:caps/>
      <w:color w:val="FFFFFF"/>
      <w:sz w:val="24"/>
      <w:szCs w:val="28"/>
      <w:shd w:val="clear" w:color="auto" w:fill="244061"/>
      <w:lang w:val="x-none" w:eastAsia="x-none"/>
    </w:rPr>
  </w:style>
  <w:style w:type="paragraph" w:customStyle="1" w:styleId="Sub1">
    <w:name w:val="Sub 1"/>
    <w:basedOn w:val="Normal"/>
    <w:qFormat/>
    <w:rsid w:val="0030523C"/>
    <w:rPr>
      <w:b/>
      <w:color w:val="0070C0"/>
    </w:rPr>
  </w:style>
  <w:style w:type="paragraph" w:customStyle="1" w:styleId="Sub2">
    <w:name w:val="Sub 2"/>
    <w:basedOn w:val="Normal"/>
    <w:qFormat/>
    <w:rsid w:val="0030523C"/>
    <w:rPr>
      <w:rFonts w:eastAsia="Times New Roman" w:cs="Times New Roman"/>
      <w:b/>
      <w:lang w:eastAsia="en-GB"/>
    </w:rPr>
  </w:style>
  <w:style w:type="paragraph" w:customStyle="1" w:styleId="Bullet1">
    <w:name w:val="Bullet 1"/>
    <w:basedOn w:val="Normal"/>
    <w:qFormat/>
    <w:rsid w:val="0030523C"/>
    <w:pPr>
      <w:numPr>
        <w:numId w:val="3"/>
      </w:numPr>
      <w:contextualSpacing/>
    </w:pPr>
    <w:rPr>
      <w:rFonts w:cs="Times New Roman"/>
      <w:color w:val="000000"/>
      <w:lang w:val="en"/>
    </w:rPr>
  </w:style>
  <w:style w:type="paragraph" w:styleId="TOC2">
    <w:name w:val="toc 2"/>
    <w:basedOn w:val="Normal"/>
    <w:next w:val="Normal"/>
    <w:autoRedefine/>
    <w:uiPriority w:val="39"/>
    <w:unhideWhenUsed/>
    <w:rsid w:val="00745254"/>
    <w:pPr>
      <w:tabs>
        <w:tab w:val="left" w:pos="567"/>
        <w:tab w:val="right" w:leader="dot" w:pos="9060"/>
      </w:tabs>
      <w:spacing w:after="100"/>
      <w:ind w:left="850" w:hanging="562"/>
    </w:pPr>
  </w:style>
  <w:style w:type="paragraph" w:styleId="TOC1">
    <w:name w:val="toc 1"/>
    <w:basedOn w:val="Normal"/>
    <w:next w:val="Normal"/>
    <w:autoRedefine/>
    <w:uiPriority w:val="39"/>
    <w:unhideWhenUsed/>
    <w:rsid w:val="002D7F63"/>
    <w:pPr>
      <w:tabs>
        <w:tab w:val="left" w:pos="284"/>
        <w:tab w:val="right" w:leader="dot" w:pos="9060"/>
      </w:tabs>
    </w:pPr>
    <w:rPr>
      <w:b/>
      <w:caps/>
      <w:noProof/>
      <w:szCs w:val="24"/>
    </w:rPr>
  </w:style>
  <w:style w:type="character" w:styleId="PageNumber">
    <w:name w:val="page number"/>
    <w:basedOn w:val="DefaultParagraphFont"/>
    <w:rsid w:val="0030523C"/>
  </w:style>
  <w:style w:type="paragraph" w:customStyle="1" w:styleId="TableText">
    <w:name w:val="Table Text"/>
    <w:rsid w:val="0030523C"/>
    <w:pPr>
      <w:spacing w:after="0" w:line="240" w:lineRule="auto"/>
    </w:pPr>
    <w:rPr>
      <w:rFonts w:ascii="Times New Roman" w:eastAsia="Times New Roman" w:hAnsi="Times New Roman" w:cs="Times New Roman"/>
      <w:snapToGrid w:val="0"/>
      <w:color w:val="000000"/>
      <w:szCs w:val="20"/>
    </w:rPr>
  </w:style>
  <w:style w:type="paragraph" w:styleId="BlockText">
    <w:name w:val="Block Text"/>
    <w:basedOn w:val="Normal"/>
    <w:rsid w:val="0030523C"/>
    <w:pPr>
      <w:ind w:left="426" w:right="-335"/>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30523C"/>
    <w:pPr>
      <w:ind w:left="360"/>
    </w:pPr>
    <w:rPr>
      <w:rFonts w:ascii="Times New Roman" w:eastAsia="Times New Roman" w:hAnsi="Times New Roman" w:cs="Times New Roman"/>
      <w:szCs w:val="20"/>
      <w:lang w:val="en-US" w:eastAsia="x-none"/>
    </w:rPr>
  </w:style>
  <w:style w:type="character" w:customStyle="1" w:styleId="BodyTextIndent2Char">
    <w:name w:val="Body Text Indent 2 Char"/>
    <w:basedOn w:val="DefaultParagraphFont"/>
    <w:link w:val="BodyTextIndent2"/>
    <w:rsid w:val="0030523C"/>
    <w:rPr>
      <w:rFonts w:ascii="Times New Roman" w:eastAsia="Times New Roman" w:hAnsi="Times New Roman" w:cs="Times New Roman"/>
      <w:sz w:val="20"/>
      <w:szCs w:val="20"/>
      <w:lang w:val="en-US" w:eastAsia="x-none"/>
    </w:rPr>
  </w:style>
  <w:style w:type="paragraph" w:styleId="BodyTextIndent">
    <w:name w:val="Body Text Indent"/>
    <w:basedOn w:val="Normal"/>
    <w:link w:val="BodyTextIndentChar"/>
    <w:rsid w:val="0030523C"/>
    <w:pPr>
      <w:ind w:left="720"/>
      <w:jc w:val="both"/>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30523C"/>
    <w:rPr>
      <w:rFonts w:ascii="Times New Roman" w:eastAsia="Times New Roman" w:hAnsi="Times New Roman" w:cs="Times New Roman"/>
      <w:sz w:val="20"/>
      <w:szCs w:val="20"/>
      <w:lang w:val="x-none" w:eastAsia="x-none"/>
    </w:rPr>
  </w:style>
  <w:style w:type="paragraph" w:styleId="DocumentMap">
    <w:name w:val="Document Map"/>
    <w:basedOn w:val="Normal"/>
    <w:link w:val="DocumentMapChar"/>
    <w:semiHidden/>
    <w:rsid w:val="0030523C"/>
    <w:pPr>
      <w:shd w:val="clear" w:color="auto" w:fill="000080"/>
    </w:pPr>
    <w:rPr>
      <w:rFonts w:ascii="Tahoma" w:eastAsia="Times New Roman" w:hAnsi="Tahoma" w:cs="Times New Roman"/>
      <w:szCs w:val="20"/>
      <w:lang w:val="x-none" w:eastAsia="x-none"/>
    </w:rPr>
  </w:style>
  <w:style w:type="character" w:customStyle="1" w:styleId="DocumentMapChar">
    <w:name w:val="Document Map Char"/>
    <w:basedOn w:val="DefaultParagraphFont"/>
    <w:link w:val="DocumentMap"/>
    <w:semiHidden/>
    <w:rsid w:val="0030523C"/>
    <w:rPr>
      <w:rFonts w:ascii="Tahoma" w:eastAsia="Times New Roman" w:hAnsi="Tahoma" w:cs="Times New Roman"/>
      <w:sz w:val="24"/>
      <w:szCs w:val="20"/>
      <w:shd w:val="clear" w:color="auto" w:fill="000080"/>
      <w:lang w:val="x-none" w:eastAsia="x-none"/>
    </w:rPr>
  </w:style>
  <w:style w:type="paragraph" w:styleId="EnvelopeReturn">
    <w:name w:val="envelope return"/>
    <w:basedOn w:val="Normal"/>
    <w:rsid w:val="0030523C"/>
    <w:pPr>
      <w:jc w:val="both"/>
    </w:pPr>
    <w:rPr>
      <w:rFonts w:eastAsia="Times New Roman" w:cs="Times New Roman"/>
      <w:szCs w:val="20"/>
    </w:rPr>
  </w:style>
  <w:style w:type="paragraph" w:styleId="BodyTextIndent3">
    <w:name w:val="Body Text Indent 3"/>
    <w:basedOn w:val="Normal"/>
    <w:link w:val="BodyTextIndent3Char"/>
    <w:rsid w:val="0030523C"/>
    <w:pPr>
      <w:tabs>
        <w:tab w:val="left" w:pos="0"/>
        <w:tab w:val="left" w:pos="540"/>
        <w:tab w:val="left" w:pos="851"/>
        <w:tab w:val="left" w:pos="9072"/>
        <w:tab w:val="left" w:pos="9360"/>
      </w:tabs>
      <w:suppressAutoHyphens/>
      <w:ind w:left="993" w:hanging="284"/>
    </w:pPr>
    <w:rPr>
      <w:rFonts w:eastAsia="Times New Roman" w:cs="Times New Roman"/>
      <w:spacing w:val="-3"/>
      <w:szCs w:val="20"/>
      <w:lang w:val="x-none" w:eastAsia="x-none"/>
    </w:rPr>
  </w:style>
  <w:style w:type="character" w:customStyle="1" w:styleId="BodyTextIndent3Char">
    <w:name w:val="Body Text Indent 3 Char"/>
    <w:basedOn w:val="DefaultParagraphFont"/>
    <w:link w:val="BodyTextIndent3"/>
    <w:rsid w:val="0030523C"/>
    <w:rPr>
      <w:rFonts w:ascii="Arial" w:eastAsia="Times New Roman" w:hAnsi="Arial" w:cs="Times New Roman"/>
      <w:spacing w:val="-3"/>
      <w:sz w:val="20"/>
      <w:szCs w:val="20"/>
      <w:lang w:val="x-none" w:eastAsia="x-none"/>
    </w:rPr>
  </w:style>
  <w:style w:type="paragraph" w:customStyle="1" w:styleId="ReportBodyText">
    <w:name w:val="Report Body Text"/>
    <w:basedOn w:val="Normal"/>
    <w:rsid w:val="0030523C"/>
    <w:pPr>
      <w:spacing w:after="120"/>
      <w:jc w:val="both"/>
    </w:pPr>
    <w:rPr>
      <w:rFonts w:eastAsia="Times New Roman" w:cs="Times New Roman"/>
      <w:sz w:val="22"/>
      <w:szCs w:val="20"/>
    </w:rPr>
  </w:style>
  <w:style w:type="paragraph" w:customStyle="1" w:styleId="ReportHead1">
    <w:name w:val="Report Head 1"/>
    <w:basedOn w:val="Normal"/>
    <w:next w:val="Normal"/>
    <w:rsid w:val="0030523C"/>
    <w:pPr>
      <w:numPr>
        <w:numId w:val="5"/>
      </w:numPr>
      <w:spacing w:after="240"/>
      <w:jc w:val="both"/>
      <w:outlineLvl w:val="0"/>
    </w:pPr>
    <w:rPr>
      <w:rFonts w:eastAsia="Times New Roman" w:cs="Times New Roman"/>
      <w:b/>
      <w:caps/>
      <w:szCs w:val="20"/>
    </w:rPr>
  </w:style>
  <w:style w:type="paragraph" w:styleId="ListNumber2">
    <w:name w:val="List Number 2"/>
    <w:basedOn w:val="Normal"/>
    <w:rsid w:val="0030523C"/>
    <w:pPr>
      <w:numPr>
        <w:numId w:val="4"/>
      </w:numPr>
      <w:jc w:val="both"/>
    </w:pPr>
    <w:rPr>
      <w:rFonts w:eastAsia="Times New Roman" w:cs="Times New Roman"/>
      <w:szCs w:val="20"/>
    </w:rPr>
  </w:style>
  <w:style w:type="paragraph" w:customStyle="1" w:styleId="ReportHead2">
    <w:name w:val="Report Head 2"/>
    <w:basedOn w:val="Normal"/>
    <w:next w:val="Normal"/>
    <w:rsid w:val="0030523C"/>
    <w:pPr>
      <w:numPr>
        <w:ilvl w:val="1"/>
        <w:numId w:val="6"/>
      </w:numPr>
      <w:spacing w:after="240"/>
      <w:jc w:val="both"/>
      <w:outlineLvl w:val="1"/>
    </w:pPr>
    <w:rPr>
      <w:rFonts w:eastAsia="Times New Roman" w:cs="Times New Roman"/>
      <w:b/>
      <w:szCs w:val="20"/>
    </w:rPr>
  </w:style>
  <w:style w:type="paragraph" w:customStyle="1" w:styleId="ReportHead3">
    <w:name w:val="Report Head 3"/>
    <w:basedOn w:val="Normal"/>
    <w:next w:val="Normal"/>
    <w:rsid w:val="0030523C"/>
    <w:pPr>
      <w:numPr>
        <w:ilvl w:val="1"/>
        <w:numId w:val="5"/>
      </w:numPr>
      <w:spacing w:after="120"/>
      <w:jc w:val="both"/>
      <w:outlineLvl w:val="1"/>
    </w:pPr>
    <w:rPr>
      <w:rFonts w:eastAsia="Times New Roman" w:cs="Times New Roman"/>
      <w:szCs w:val="20"/>
    </w:rPr>
  </w:style>
  <w:style w:type="paragraph" w:customStyle="1" w:styleId="ReportHead4">
    <w:name w:val="Report Head 4"/>
    <w:basedOn w:val="Normal"/>
    <w:rsid w:val="0030523C"/>
    <w:pPr>
      <w:numPr>
        <w:ilvl w:val="2"/>
        <w:numId w:val="5"/>
      </w:numPr>
      <w:spacing w:after="120"/>
      <w:jc w:val="both"/>
      <w:outlineLvl w:val="2"/>
    </w:pPr>
    <w:rPr>
      <w:rFonts w:eastAsia="Times New Roman" w:cs="Times New Roman"/>
      <w:szCs w:val="20"/>
    </w:rPr>
  </w:style>
  <w:style w:type="paragraph" w:customStyle="1" w:styleId="ReportHead5">
    <w:name w:val="Report Head 5"/>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ReportHead6">
    <w:name w:val="Report Head 6"/>
    <w:basedOn w:val="Normal"/>
    <w:rsid w:val="0030523C"/>
    <w:pPr>
      <w:tabs>
        <w:tab w:val="num" w:pos="850"/>
      </w:tabs>
      <w:spacing w:after="120"/>
      <w:ind w:left="850" w:hanging="850"/>
      <w:jc w:val="both"/>
      <w:outlineLvl w:val="4"/>
    </w:pPr>
    <w:rPr>
      <w:rFonts w:eastAsia="Times New Roman" w:cs="Times New Roman"/>
      <w:szCs w:val="20"/>
    </w:rPr>
  </w:style>
  <w:style w:type="paragraph" w:customStyle="1" w:styleId="lefttext">
    <w:name w:val="lefttext"/>
    <w:basedOn w:val="Normal"/>
    <w:rsid w:val="0030523C"/>
    <w:pPr>
      <w:spacing w:before="100" w:beforeAutospacing="1" w:after="100" w:afterAutospacing="1"/>
    </w:pPr>
    <w:rPr>
      <w:rFonts w:ascii="Times New Roman" w:eastAsia="Times New Roman" w:hAnsi="Times New Roman" w:cs="Times New Roman"/>
      <w:szCs w:val="24"/>
      <w:lang w:val="nl-BE" w:eastAsia="nl-BE"/>
    </w:rPr>
  </w:style>
  <w:style w:type="paragraph" w:customStyle="1" w:styleId="ListBullet1">
    <w:name w:val="List Bullet 1"/>
    <w:basedOn w:val="Normal"/>
    <w:rsid w:val="0030523C"/>
    <w:pPr>
      <w:numPr>
        <w:numId w:val="7"/>
      </w:numPr>
      <w:spacing w:after="240"/>
      <w:jc w:val="both"/>
    </w:pPr>
    <w:rPr>
      <w:rFonts w:ascii="Times New Roman" w:eastAsia="Times New Roman" w:hAnsi="Times New Roman" w:cs="Times New Roman"/>
      <w:szCs w:val="20"/>
    </w:rPr>
  </w:style>
  <w:style w:type="paragraph" w:customStyle="1" w:styleId="Text1">
    <w:name w:val="Text 1"/>
    <w:basedOn w:val="Normal"/>
    <w:rsid w:val="0030523C"/>
    <w:pPr>
      <w:spacing w:after="240"/>
      <w:ind w:left="482"/>
      <w:jc w:val="both"/>
    </w:pPr>
    <w:rPr>
      <w:rFonts w:ascii="Times New Roman" w:eastAsia="Times New Roman" w:hAnsi="Times New Roman" w:cs="Times New Roman"/>
      <w:szCs w:val="20"/>
    </w:rPr>
  </w:style>
  <w:style w:type="paragraph" w:customStyle="1" w:styleId="Text3">
    <w:name w:val="Text 3"/>
    <w:basedOn w:val="Normal"/>
    <w:rsid w:val="0030523C"/>
    <w:pPr>
      <w:tabs>
        <w:tab w:val="left" w:pos="2302"/>
      </w:tabs>
      <w:spacing w:after="240"/>
      <w:ind w:left="1916"/>
      <w:jc w:val="both"/>
    </w:pPr>
    <w:rPr>
      <w:rFonts w:ascii="Times New Roman" w:eastAsia="Times New Roman" w:hAnsi="Times New Roman" w:cs="Times New Roman"/>
      <w:szCs w:val="20"/>
    </w:rPr>
  </w:style>
  <w:style w:type="paragraph" w:styleId="ListBullet2">
    <w:name w:val="List Bullet 2"/>
    <w:basedOn w:val="Normal"/>
    <w:rsid w:val="0030523C"/>
    <w:pPr>
      <w:numPr>
        <w:numId w:val="8"/>
      </w:numPr>
      <w:spacing w:after="240"/>
      <w:jc w:val="both"/>
    </w:pPr>
    <w:rPr>
      <w:rFonts w:ascii="Times New Roman" w:eastAsia="Times New Roman" w:hAnsi="Times New Roman" w:cs="Times New Roman"/>
      <w:szCs w:val="20"/>
    </w:rPr>
  </w:style>
  <w:style w:type="paragraph" w:customStyle="1" w:styleId="questionsub">
    <w:name w:val="question sub"/>
    <w:basedOn w:val="Normal"/>
    <w:rsid w:val="0030523C"/>
    <w:pPr>
      <w:spacing w:after="120"/>
      <w:ind w:left="576" w:hanging="288"/>
    </w:pPr>
    <w:rPr>
      <w:rFonts w:ascii="Times New Roman" w:eastAsia="Times New Roman" w:hAnsi="Times New Roman" w:cs="Times New Roman"/>
      <w:sz w:val="22"/>
      <w:szCs w:val="20"/>
      <w:lang w:val="en-US"/>
    </w:rPr>
  </w:style>
  <w:style w:type="paragraph" w:customStyle="1" w:styleId="TableauNormal1">
    <w:name w:val="Tableau Normal1"/>
    <w:basedOn w:val="Header"/>
    <w:rsid w:val="0030523C"/>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30523C"/>
    <w:rPr>
      <w:rFonts w:ascii="Tahoma" w:eastAsia="Times New Roman" w:hAnsi="Tahoma" w:cs="Tahoma"/>
      <w:sz w:val="16"/>
    </w:rPr>
  </w:style>
  <w:style w:type="paragraph" w:customStyle="1" w:styleId="MSStandardLevel2">
    <w:name w:val="MS Standard Level 2"/>
    <w:basedOn w:val="Normal"/>
    <w:rsid w:val="0030523C"/>
    <w:pPr>
      <w:tabs>
        <w:tab w:val="num" w:pos="850"/>
      </w:tabs>
      <w:spacing w:after="120"/>
      <w:ind w:left="850" w:hanging="850"/>
      <w:jc w:val="both"/>
      <w:outlineLvl w:val="1"/>
    </w:pPr>
    <w:rPr>
      <w:rFonts w:eastAsia="Times New Roman" w:cs="Times New Roman"/>
      <w:szCs w:val="20"/>
    </w:rPr>
  </w:style>
  <w:style w:type="paragraph" w:customStyle="1" w:styleId="MSStandardLevel3">
    <w:name w:val="MS Standard Level 3"/>
    <w:basedOn w:val="Normal"/>
    <w:rsid w:val="0030523C"/>
    <w:pPr>
      <w:tabs>
        <w:tab w:val="num" w:pos="850"/>
      </w:tabs>
      <w:spacing w:after="120"/>
      <w:ind w:left="850" w:hanging="850"/>
      <w:jc w:val="both"/>
      <w:outlineLvl w:val="2"/>
    </w:pPr>
    <w:rPr>
      <w:rFonts w:eastAsia="Times New Roman" w:cs="Times New Roman"/>
      <w:szCs w:val="20"/>
    </w:rPr>
  </w:style>
  <w:style w:type="paragraph" w:customStyle="1" w:styleId="MSStandardLevel4">
    <w:name w:val="MS Standard Level 4"/>
    <w:basedOn w:val="Normal"/>
    <w:rsid w:val="0030523C"/>
    <w:pPr>
      <w:tabs>
        <w:tab w:val="num" w:pos="1134"/>
      </w:tabs>
      <w:spacing w:after="120"/>
      <w:ind w:left="1134" w:hanging="1134"/>
      <w:jc w:val="both"/>
      <w:outlineLvl w:val="3"/>
    </w:pPr>
    <w:rPr>
      <w:rFonts w:eastAsia="Times New Roman" w:cs="Times New Roman"/>
      <w:szCs w:val="20"/>
    </w:rPr>
  </w:style>
  <w:style w:type="paragraph" w:customStyle="1" w:styleId="MSStandardLevel5">
    <w:name w:val="MS Standard Level 5"/>
    <w:basedOn w:val="Normal"/>
    <w:rsid w:val="0030523C"/>
    <w:pPr>
      <w:tabs>
        <w:tab w:val="left" w:pos="1134"/>
        <w:tab w:val="num" w:pos="1440"/>
      </w:tabs>
      <w:spacing w:after="120"/>
      <w:ind w:left="1134" w:hanging="1134"/>
      <w:jc w:val="both"/>
      <w:outlineLvl w:val="4"/>
    </w:pPr>
    <w:rPr>
      <w:rFonts w:eastAsia="Times New Roman" w:cs="Times New Roman"/>
      <w:szCs w:val="20"/>
    </w:rPr>
  </w:style>
  <w:style w:type="paragraph" w:customStyle="1" w:styleId="MSStandardLevel6">
    <w:name w:val="MS Standard Level 6"/>
    <w:basedOn w:val="Normal"/>
    <w:rsid w:val="0030523C"/>
    <w:pPr>
      <w:tabs>
        <w:tab w:val="left" w:pos="1134"/>
        <w:tab w:val="num" w:pos="1440"/>
      </w:tabs>
      <w:spacing w:after="120"/>
      <w:ind w:left="1134" w:hanging="1134"/>
      <w:jc w:val="both"/>
      <w:outlineLvl w:val="5"/>
    </w:pPr>
    <w:rPr>
      <w:rFonts w:eastAsia="Times New Roman" w:cs="Times New Roman"/>
      <w:szCs w:val="20"/>
    </w:rPr>
  </w:style>
  <w:style w:type="paragraph" w:customStyle="1" w:styleId="MSStandardLevel7">
    <w:name w:val="MS Standard Level 7"/>
    <w:basedOn w:val="Normal"/>
    <w:rsid w:val="0030523C"/>
    <w:pPr>
      <w:tabs>
        <w:tab w:val="left" w:pos="1418"/>
        <w:tab w:val="num" w:pos="1797"/>
      </w:tabs>
      <w:spacing w:after="120"/>
      <w:ind w:left="1417" w:hanging="1417"/>
      <w:jc w:val="both"/>
      <w:outlineLvl w:val="6"/>
    </w:pPr>
    <w:rPr>
      <w:rFonts w:eastAsia="Times New Roman" w:cs="Times New Roman"/>
      <w:szCs w:val="20"/>
    </w:rPr>
  </w:style>
  <w:style w:type="paragraph" w:customStyle="1" w:styleId="MSHouseLevel2">
    <w:name w:val="MS House Level 2"/>
    <w:basedOn w:val="Normal"/>
    <w:rsid w:val="0030523C"/>
    <w:pPr>
      <w:numPr>
        <w:ilvl w:val="1"/>
        <w:numId w:val="9"/>
      </w:numPr>
      <w:spacing w:after="120"/>
      <w:jc w:val="both"/>
      <w:outlineLvl w:val="1"/>
    </w:pPr>
    <w:rPr>
      <w:rFonts w:eastAsia="Times New Roman" w:cs="Times New Roman"/>
      <w:szCs w:val="20"/>
    </w:rPr>
  </w:style>
  <w:style w:type="paragraph" w:customStyle="1" w:styleId="MSHouseLevel3">
    <w:name w:val="MS House Level 3"/>
    <w:basedOn w:val="Normal"/>
    <w:rsid w:val="0030523C"/>
    <w:pPr>
      <w:spacing w:after="120"/>
      <w:jc w:val="both"/>
      <w:outlineLvl w:val="2"/>
    </w:pPr>
    <w:rPr>
      <w:rFonts w:eastAsia="Times New Roman" w:cs="Times New Roman"/>
      <w:szCs w:val="20"/>
    </w:rPr>
  </w:style>
  <w:style w:type="paragraph" w:customStyle="1" w:styleId="MSHouseLevel4">
    <w:name w:val="MS House Level 4"/>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MSHouseLevel5">
    <w:name w:val="MS House Level 5"/>
    <w:basedOn w:val="Normal"/>
    <w:rsid w:val="0030523C"/>
    <w:pPr>
      <w:tabs>
        <w:tab w:val="num" w:pos="851"/>
      </w:tabs>
      <w:spacing w:after="120"/>
      <w:ind w:left="851" w:hanging="851"/>
      <w:jc w:val="both"/>
      <w:outlineLvl w:val="4"/>
    </w:pPr>
    <w:rPr>
      <w:rFonts w:eastAsia="Times New Roman" w:cs="Times New Roman"/>
      <w:szCs w:val="20"/>
    </w:rPr>
  </w:style>
  <w:style w:type="paragraph" w:customStyle="1" w:styleId="MSHouseLevel6">
    <w:name w:val="MS House Level 6"/>
    <w:basedOn w:val="Normal"/>
    <w:rsid w:val="0030523C"/>
    <w:pPr>
      <w:tabs>
        <w:tab w:val="num" w:pos="1418"/>
      </w:tabs>
      <w:spacing w:after="120"/>
      <w:ind w:left="1418" w:hanging="567"/>
      <w:jc w:val="both"/>
      <w:outlineLvl w:val="5"/>
    </w:pPr>
    <w:rPr>
      <w:rFonts w:eastAsia="Times New Roman" w:cs="Times New Roman"/>
      <w:szCs w:val="20"/>
    </w:rPr>
  </w:style>
  <w:style w:type="paragraph" w:customStyle="1" w:styleId="MSHouseLevel7">
    <w:name w:val="MS House Level 7"/>
    <w:basedOn w:val="Normal"/>
    <w:rsid w:val="0030523C"/>
    <w:pPr>
      <w:tabs>
        <w:tab w:val="num" w:pos="1985"/>
      </w:tabs>
      <w:spacing w:after="120"/>
      <w:ind w:left="1985" w:hanging="567"/>
      <w:jc w:val="both"/>
      <w:outlineLvl w:val="6"/>
    </w:pPr>
    <w:rPr>
      <w:rFonts w:eastAsia="Times New Roman" w:cs="Times New Roman"/>
      <w:szCs w:val="20"/>
    </w:rPr>
  </w:style>
  <w:style w:type="paragraph" w:customStyle="1" w:styleId="MSLetterLevel2">
    <w:name w:val="MS Letter Level 2"/>
    <w:basedOn w:val="MSLetterLevel1"/>
    <w:rsid w:val="0030523C"/>
  </w:style>
  <w:style w:type="paragraph" w:customStyle="1" w:styleId="MSLetterLevel1">
    <w:name w:val="MS Letter Level 1"/>
    <w:basedOn w:val="Normal"/>
    <w:rsid w:val="0030523C"/>
    <w:pPr>
      <w:tabs>
        <w:tab w:val="num" w:pos="360"/>
      </w:tabs>
      <w:spacing w:after="120"/>
      <w:ind w:left="360" w:hanging="360"/>
      <w:jc w:val="both"/>
    </w:pPr>
    <w:rPr>
      <w:rFonts w:eastAsia="Times New Roman" w:cs="Times New Roman"/>
      <w:szCs w:val="20"/>
    </w:rPr>
  </w:style>
  <w:style w:type="paragraph" w:customStyle="1" w:styleId="MSLetterLevel3">
    <w:name w:val="MS Letter Level 3"/>
    <w:basedOn w:val="MSLetterLevel2"/>
    <w:rsid w:val="0030523C"/>
    <w:pPr>
      <w:tabs>
        <w:tab w:val="left" w:pos="1134"/>
      </w:tabs>
    </w:pPr>
  </w:style>
  <w:style w:type="paragraph" w:customStyle="1" w:styleId="NoteHead">
    <w:name w:val="NoteHead"/>
    <w:basedOn w:val="Normal"/>
    <w:next w:val="Subject"/>
    <w:rsid w:val="0030523C"/>
    <w:pPr>
      <w:spacing w:before="720" w:after="720"/>
      <w:jc w:val="center"/>
    </w:pPr>
    <w:rPr>
      <w:rFonts w:ascii="Times New Roman" w:eastAsia="Times New Roman" w:hAnsi="Times New Roman" w:cs="Times New Roman"/>
      <w:b/>
      <w:smallCaps/>
      <w:szCs w:val="20"/>
    </w:rPr>
  </w:style>
  <w:style w:type="paragraph" w:customStyle="1" w:styleId="Subject">
    <w:name w:val="Subject"/>
    <w:basedOn w:val="Normal"/>
    <w:next w:val="Normal"/>
    <w:rsid w:val="0030523C"/>
    <w:pPr>
      <w:spacing w:after="480"/>
      <w:ind w:left="1191" w:hanging="1191"/>
    </w:pPr>
    <w:rPr>
      <w:rFonts w:ascii="Times New Roman" w:eastAsia="Times New Roman" w:hAnsi="Times New Roman" w:cs="Times New Roman"/>
      <w:b/>
      <w:szCs w:val="20"/>
    </w:rPr>
  </w:style>
  <w:style w:type="paragraph" w:customStyle="1" w:styleId="References">
    <w:name w:val="References"/>
    <w:basedOn w:val="Normal"/>
    <w:next w:val="AddressTR"/>
    <w:rsid w:val="0030523C"/>
    <w:pPr>
      <w:spacing w:after="240"/>
      <w:ind w:left="5103"/>
    </w:pPr>
    <w:rPr>
      <w:rFonts w:ascii="Times New Roman" w:eastAsia="Times New Roman" w:hAnsi="Times New Roman" w:cs="Times New Roman"/>
      <w:szCs w:val="20"/>
    </w:rPr>
  </w:style>
  <w:style w:type="paragraph" w:customStyle="1" w:styleId="AddressTR">
    <w:name w:val="AddressTR"/>
    <w:basedOn w:val="Normal"/>
    <w:next w:val="Normal"/>
    <w:rsid w:val="0030523C"/>
    <w:pPr>
      <w:spacing w:after="720"/>
      <w:ind w:left="5103"/>
    </w:pPr>
    <w:rPr>
      <w:rFonts w:ascii="Times New Roman" w:eastAsia="Times New Roman" w:hAnsi="Times New Roman" w:cs="Times New Roman"/>
      <w:szCs w:val="20"/>
    </w:rPr>
  </w:style>
  <w:style w:type="paragraph" w:styleId="Title">
    <w:name w:val="Title"/>
    <w:basedOn w:val="Normal"/>
    <w:next w:val="SubTitle1"/>
    <w:link w:val="TitleChar"/>
    <w:qFormat/>
    <w:rsid w:val="0030523C"/>
    <w:pPr>
      <w:spacing w:after="480"/>
      <w:jc w:val="center"/>
    </w:pPr>
    <w:rPr>
      <w:rFonts w:ascii="Times New Roman" w:eastAsia="Times New Roman" w:hAnsi="Times New Roman" w:cs="Times New Roman"/>
      <w:b/>
      <w:kern w:val="28"/>
      <w:sz w:val="48"/>
      <w:szCs w:val="20"/>
      <w:lang w:val="x-none" w:eastAsia="x-none"/>
    </w:rPr>
  </w:style>
  <w:style w:type="character" w:customStyle="1" w:styleId="TitleChar">
    <w:name w:val="Title Char"/>
    <w:basedOn w:val="DefaultParagraphFont"/>
    <w:link w:val="Title"/>
    <w:rsid w:val="0030523C"/>
    <w:rPr>
      <w:rFonts w:ascii="Times New Roman" w:eastAsia="Times New Roman" w:hAnsi="Times New Roman" w:cs="Times New Roman"/>
      <w:b/>
      <w:kern w:val="28"/>
      <w:sz w:val="48"/>
      <w:szCs w:val="20"/>
      <w:lang w:val="x-none" w:eastAsia="x-none"/>
    </w:rPr>
  </w:style>
  <w:style w:type="paragraph" w:customStyle="1" w:styleId="SubTitle1">
    <w:name w:val="SubTitle 1"/>
    <w:basedOn w:val="Normal"/>
    <w:next w:val="SubTitle2"/>
    <w:rsid w:val="0030523C"/>
    <w:pPr>
      <w:spacing w:after="240"/>
      <w:jc w:val="center"/>
    </w:pPr>
    <w:rPr>
      <w:rFonts w:ascii="Times New Roman" w:eastAsia="Times New Roman" w:hAnsi="Times New Roman" w:cs="Times New Roman"/>
      <w:b/>
      <w:sz w:val="40"/>
      <w:szCs w:val="20"/>
    </w:rPr>
  </w:style>
  <w:style w:type="paragraph" w:customStyle="1" w:styleId="SubTitle2">
    <w:name w:val="SubTitle 2"/>
    <w:basedOn w:val="Normal"/>
    <w:rsid w:val="0030523C"/>
    <w:pPr>
      <w:spacing w:after="240"/>
      <w:jc w:val="center"/>
    </w:pPr>
    <w:rPr>
      <w:rFonts w:ascii="Times New Roman" w:eastAsia="Times New Roman" w:hAnsi="Times New Roman" w:cs="Times New Roman"/>
      <w:b/>
      <w:sz w:val="32"/>
      <w:szCs w:val="20"/>
    </w:rPr>
  </w:style>
  <w:style w:type="paragraph" w:customStyle="1" w:styleId="Text2">
    <w:name w:val="Text 2"/>
    <w:basedOn w:val="Normal"/>
    <w:rsid w:val="0030523C"/>
    <w:pPr>
      <w:tabs>
        <w:tab w:val="left" w:pos="2161"/>
      </w:tabs>
      <w:spacing w:after="240"/>
      <w:ind w:left="1202"/>
      <w:jc w:val="both"/>
    </w:pPr>
    <w:rPr>
      <w:rFonts w:ascii="Times New Roman" w:eastAsia="Times New Roman" w:hAnsi="Times New Roman" w:cs="Times New Roman"/>
      <w:szCs w:val="20"/>
    </w:rPr>
  </w:style>
  <w:style w:type="paragraph" w:customStyle="1" w:styleId="ChapterTitle">
    <w:name w:val="ChapterTitle"/>
    <w:basedOn w:val="Normal"/>
    <w:next w:val="SectionTitle"/>
    <w:rsid w:val="0030523C"/>
    <w:pPr>
      <w:keepNext/>
      <w:spacing w:after="480"/>
      <w:jc w:val="center"/>
    </w:pPr>
    <w:rPr>
      <w:rFonts w:ascii="Times New Roman" w:eastAsia="Times New Roman" w:hAnsi="Times New Roman" w:cs="Times New Roman"/>
      <w:b/>
      <w:sz w:val="32"/>
      <w:szCs w:val="20"/>
    </w:rPr>
  </w:style>
  <w:style w:type="paragraph" w:customStyle="1" w:styleId="SectionTitle">
    <w:name w:val="SectionTitle"/>
    <w:basedOn w:val="Normal"/>
    <w:next w:val="Heading1"/>
    <w:rsid w:val="0030523C"/>
    <w:pPr>
      <w:keepNext/>
      <w:spacing w:after="480"/>
      <w:jc w:val="center"/>
    </w:pPr>
    <w:rPr>
      <w:rFonts w:ascii="Times New Roman" w:eastAsia="Times New Roman" w:hAnsi="Times New Roman" w:cs="Times New Roman"/>
      <w:b/>
      <w:smallCaps/>
      <w:sz w:val="28"/>
      <w:szCs w:val="20"/>
    </w:rPr>
  </w:style>
  <w:style w:type="paragraph" w:styleId="Index7">
    <w:name w:val="index 7"/>
    <w:basedOn w:val="Normal"/>
    <w:next w:val="Normal"/>
    <w:autoRedefine/>
    <w:semiHidden/>
    <w:rsid w:val="0030523C"/>
    <w:pPr>
      <w:spacing w:after="240"/>
      <w:ind w:left="1680" w:hanging="240"/>
      <w:jc w:val="both"/>
    </w:pPr>
    <w:rPr>
      <w:rFonts w:ascii="Times New Roman" w:eastAsia="Times New Roman" w:hAnsi="Times New Roman" w:cs="Times New Roman"/>
      <w:szCs w:val="20"/>
    </w:rPr>
  </w:style>
  <w:style w:type="paragraph" w:styleId="Index9">
    <w:name w:val="index 9"/>
    <w:basedOn w:val="Normal"/>
    <w:next w:val="Normal"/>
    <w:autoRedefine/>
    <w:semiHidden/>
    <w:rsid w:val="0030523C"/>
    <w:pPr>
      <w:spacing w:after="240"/>
      <w:ind w:left="2160" w:hanging="240"/>
      <w:jc w:val="both"/>
    </w:pPr>
    <w:rPr>
      <w:rFonts w:ascii="Times New Roman" w:eastAsia="Times New Roman" w:hAnsi="Times New Roman" w:cs="Times New Roman"/>
      <w:szCs w:val="20"/>
    </w:rPr>
  </w:style>
  <w:style w:type="paragraph" w:customStyle="1" w:styleId="MSHouseLevel1">
    <w:name w:val="MS House Level 1"/>
    <w:basedOn w:val="Normal"/>
    <w:rsid w:val="0030523C"/>
    <w:pPr>
      <w:numPr>
        <w:numId w:val="9"/>
      </w:numPr>
      <w:spacing w:after="240"/>
      <w:jc w:val="both"/>
      <w:outlineLvl w:val="0"/>
    </w:pPr>
    <w:rPr>
      <w:rFonts w:eastAsia="Times New Roman" w:cs="Times New Roman"/>
      <w:b/>
      <w:caps/>
      <w:sz w:val="22"/>
      <w:szCs w:val="20"/>
    </w:rPr>
  </w:style>
  <w:style w:type="paragraph" w:styleId="TOC3">
    <w:name w:val="toc 3"/>
    <w:basedOn w:val="Normal"/>
    <w:next w:val="Normal"/>
    <w:autoRedefine/>
    <w:uiPriority w:val="39"/>
    <w:rsid w:val="0030523C"/>
    <w:pPr>
      <w:tabs>
        <w:tab w:val="left" w:pos="1200"/>
        <w:tab w:val="right" w:leader="dot" w:pos="8778"/>
      </w:tabs>
      <w:ind w:left="480"/>
    </w:pPr>
    <w:rPr>
      <w:rFonts w:eastAsia="Times New Roman"/>
      <w:noProof/>
      <w:szCs w:val="20"/>
    </w:rPr>
  </w:style>
  <w:style w:type="paragraph" w:styleId="TOC4">
    <w:name w:val="toc 4"/>
    <w:basedOn w:val="Normal"/>
    <w:next w:val="Normal"/>
    <w:autoRedefine/>
    <w:semiHidden/>
    <w:rsid w:val="0030523C"/>
    <w:pPr>
      <w:ind w:left="720"/>
    </w:pPr>
    <w:rPr>
      <w:rFonts w:ascii="Times New Roman" w:eastAsia="Times New Roman" w:hAnsi="Times New Roman" w:cs="Times New Roman"/>
      <w:szCs w:val="24"/>
    </w:rPr>
  </w:style>
  <w:style w:type="paragraph" w:styleId="TOC5">
    <w:name w:val="toc 5"/>
    <w:basedOn w:val="Normal"/>
    <w:next w:val="Normal"/>
    <w:autoRedefine/>
    <w:semiHidden/>
    <w:rsid w:val="0030523C"/>
    <w:pPr>
      <w:ind w:left="960"/>
    </w:pPr>
    <w:rPr>
      <w:rFonts w:ascii="Times New Roman" w:eastAsia="Times New Roman" w:hAnsi="Times New Roman" w:cs="Times New Roman"/>
      <w:szCs w:val="24"/>
    </w:rPr>
  </w:style>
  <w:style w:type="paragraph" w:styleId="TOC6">
    <w:name w:val="toc 6"/>
    <w:basedOn w:val="Normal"/>
    <w:next w:val="Normal"/>
    <w:autoRedefine/>
    <w:semiHidden/>
    <w:rsid w:val="0030523C"/>
    <w:pPr>
      <w:ind w:left="1200"/>
    </w:pPr>
    <w:rPr>
      <w:rFonts w:ascii="Times New Roman" w:eastAsia="Times New Roman" w:hAnsi="Times New Roman" w:cs="Times New Roman"/>
      <w:szCs w:val="24"/>
    </w:rPr>
  </w:style>
  <w:style w:type="paragraph" w:styleId="TOC7">
    <w:name w:val="toc 7"/>
    <w:basedOn w:val="Normal"/>
    <w:next w:val="Normal"/>
    <w:autoRedefine/>
    <w:semiHidden/>
    <w:rsid w:val="0030523C"/>
    <w:pPr>
      <w:ind w:left="1440"/>
    </w:pPr>
    <w:rPr>
      <w:rFonts w:ascii="Times New Roman" w:eastAsia="Times New Roman" w:hAnsi="Times New Roman" w:cs="Times New Roman"/>
      <w:szCs w:val="24"/>
    </w:rPr>
  </w:style>
  <w:style w:type="paragraph" w:styleId="TOC8">
    <w:name w:val="toc 8"/>
    <w:basedOn w:val="Normal"/>
    <w:next w:val="Normal"/>
    <w:autoRedefine/>
    <w:semiHidden/>
    <w:rsid w:val="0030523C"/>
    <w:pPr>
      <w:ind w:left="1680"/>
    </w:pPr>
    <w:rPr>
      <w:rFonts w:ascii="Times New Roman" w:eastAsia="Times New Roman" w:hAnsi="Times New Roman" w:cs="Times New Roman"/>
      <w:szCs w:val="24"/>
    </w:rPr>
  </w:style>
  <w:style w:type="paragraph" w:styleId="TOC9">
    <w:name w:val="toc 9"/>
    <w:basedOn w:val="Normal"/>
    <w:next w:val="Normal"/>
    <w:autoRedefine/>
    <w:semiHidden/>
    <w:rsid w:val="0030523C"/>
    <w:pPr>
      <w:ind w:left="1920"/>
    </w:pPr>
    <w:rPr>
      <w:rFonts w:ascii="Times New Roman" w:eastAsia="Times New Roman" w:hAnsi="Times New Roman" w:cs="Times New Roman"/>
      <w:szCs w:val="24"/>
    </w:rPr>
  </w:style>
  <w:style w:type="paragraph" w:customStyle="1" w:styleId="MSBulletLevel1">
    <w:name w:val="MS Bullet Level 1"/>
    <w:basedOn w:val="Normal"/>
    <w:rsid w:val="0030523C"/>
    <w:pPr>
      <w:numPr>
        <w:numId w:val="10"/>
      </w:numPr>
      <w:spacing w:after="120"/>
      <w:jc w:val="both"/>
    </w:pPr>
    <w:rPr>
      <w:rFonts w:eastAsia="Times New Roman" w:cs="Times New Roman"/>
      <w:szCs w:val="20"/>
    </w:rPr>
  </w:style>
  <w:style w:type="paragraph" w:styleId="Caption">
    <w:name w:val="caption"/>
    <w:basedOn w:val="Normal"/>
    <w:next w:val="Normal"/>
    <w:qFormat/>
    <w:rsid w:val="0030523C"/>
    <w:pPr>
      <w:spacing w:before="120" w:after="120"/>
      <w:jc w:val="both"/>
    </w:pPr>
    <w:rPr>
      <w:rFonts w:ascii="Times New Roman" w:eastAsia="Times New Roman" w:hAnsi="Times New Roman" w:cs="Times New Roman"/>
      <w:b/>
      <w:szCs w:val="20"/>
    </w:rPr>
  </w:style>
  <w:style w:type="paragraph" w:styleId="List">
    <w:name w:val="List"/>
    <w:basedOn w:val="Normal"/>
    <w:rsid w:val="0030523C"/>
    <w:pPr>
      <w:spacing w:after="240"/>
      <w:ind w:left="283" w:hanging="283"/>
      <w:jc w:val="both"/>
    </w:pPr>
    <w:rPr>
      <w:rFonts w:ascii="Times New Roman" w:eastAsia="Times New Roman" w:hAnsi="Times New Roman" w:cs="Times New Roman"/>
      <w:szCs w:val="20"/>
    </w:rPr>
  </w:style>
  <w:style w:type="paragraph" w:styleId="NoteHeading">
    <w:name w:val="Note Heading"/>
    <w:basedOn w:val="Normal"/>
    <w:next w:val="Normal"/>
    <w:link w:val="NoteHeadingChar"/>
    <w:rsid w:val="0030523C"/>
    <w:pPr>
      <w:spacing w:after="240"/>
      <w:jc w:val="both"/>
    </w:pPr>
    <w:rPr>
      <w:rFonts w:ascii="Times New Roman" w:eastAsia="Times New Roman" w:hAnsi="Times New Roman" w:cs="Times New Roman"/>
      <w:szCs w:val="20"/>
      <w:lang w:val="x-none" w:eastAsia="x-none"/>
    </w:rPr>
  </w:style>
  <w:style w:type="character" w:customStyle="1" w:styleId="NoteHeadingChar">
    <w:name w:val="Note Heading Char"/>
    <w:basedOn w:val="DefaultParagraphFont"/>
    <w:link w:val="NoteHeading"/>
    <w:rsid w:val="0030523C"/>
    <w:rPr>
      <w:rFonts w:ascii="Times New Roman" w:eastAsia="Times New Roman" w:hAnsi="Times New Roman" w:cs="Times New Roman"/>
      <w:sz w:val="24"/>
      <w:szCs w:val="20"/>
      <w:lang w:val="x-none" w:eastAsia="x-none"/>
    </w:rPr>
  </w:style>
  <w:style w:type="paragraph" w:customStyle="1" w:styleId="MSBulletLevel2">
    <w:name w:val="MS Bullet Level 2"/>
    <w:basedOn w:val="Normal"/>
    <w:rsid w:val="0030523C"/>
    <w:pPr>
      <w:numPr>
        <w:ilvl w:val="1"/>
        <w:numId w:val="11"/>
      </w:numPr>
      <w:spacing w:after="120"/>
      <w:jc w:val="both"/>
    </w:pPr>
    <w:rPr>
      <w:rFonts w:eastAsia="Times New Roman" w:cs="Times New Roman"/>
      <w:szCs w:val="20"/>
    </w:rPr>
  </w:style>
  <w:style w:type="paragraph" w:customStyle="1" w:styleId="MSBulletLevel3">
    <w:name w:val="MS Bullet Level 3"/>
    <w:basedOn w:val="Normal"/>
    <w:rsid w:val="0030523C"/>
    <w:pPr>
      <w:numPr>
        <w:ilvl w:val="2"/>
        <w:numId w:val="11"/>
      </w:numPr>
      <w:spacing w:after="120"/>
      <w:jc w:val="both"/>
    </w:pPr>
    <w:rPr>
      <w:rFonts w:eastAsia="Times New Roman" w:cs="Times New Roman"/>
      <w:szCs w:val="20"/>
    </w:rPr>
  </w:style>
  <w:style w:type="paragraph" w:styleId="ListNumber3">
    <w:name w:val="List Number 3"/>
    <w:basedOn w:val="Text3"/>
    <w:rsid w:val="0030523C"/>
    <w:pPr>
      <w:numPr>
        <w:numId w:val="12"/>
      </w:numPr>
      <w:tabs>
        <w:tab w:val="clear" w:pos="2302"/>
      </w:tabs>
    </w:pPr>
  </w:style>
  <w:style w:type="paragraph" w:customStyle="1" w:styleId="ListNumber3Level2">
    <w:name w:val="List Number 3 (Level 2)"/>
    <w:basedOn w:val="Text3"/>
    <w:rsid w:val="0030523C"/>
    <w:pPr>
      <w:numPr>
        <w:ilvl w:val="1"/>
        <w:numId w:val="12"/>
      </w:numPr>
      <w:tabs>
        <w:tab w:val="clear" w:pos="2302"/>
      </w:tabs>
    </w:pPr>
  </w:style>
  <w:style w:type="paragraph" w:customStyle="1" w:styleId="ListNumber3Level3">
    <w:name w:val="List Number 3 (Level 3)"/>
    <w:basedOn w:val="Text3"/>
    <w:rsid w:val="0030523C"/>
    <w:pPr>
      <w:numPr>
        <w:ilvl w:val="2"/>
        <w:numId w:val="12"/>
      </w:numPr>
      <w:tabs>
        <w:tab w:val="clear" w:pos="2302"/>
      </w:tabs>
    </w:pPr>
  </w:style>
  <w:style w:type="paragraph" w:customStyle="1" w:styleId="ListNumber3Level4">
    <w:name w:val="List Number 3 (Level 4)"/>
    <w:basedOn w:val="Text3"/>
    <w:rsid w:val="0030523C"/>
    <w:pPr>
      <w:numPr>
        <w:ilvl w:val="3"/>
        <w:numId w:val="12"/>
      </w:numPr>
      <w:tabs>
        <w:tab w:val="clear" w:pos="2302"/>
      </w:tabs>
    </w:pPr>
  </w:style>
  <w:style w:type="paragraph" w:customStyle="1" w:styleId="ListParagraph1">
    <w:name w:val="List Paragraph1"/>
    <w:basedOn w:val="Normal"/>
    <w:uiPriority w:val="34"/>
    <w:qFormat/>
    <w:rsid w:val="0030523C"/>
    <w:pPr>
      <w:spacing w:after="200" w:line="276" w:lineRule="auto"/>
      <w:ind w:left="720"/>
      <w:contextualSpacing/>
    </w:pPr>
    <w:rPr>
      <w:rFonts w:ascii="Calibri" w:hAnsi="Calibri" w:cs="Times New Roman"/>
      <w:sz w:val="22"/>
    </w:rPr>
  </w:style>
  <w:style w:type="paragraph" w:customStyle="1" w:styleId="Heading">
    <w:name w:val="Heading"/>
    <w:next w:val="Normal"/>
    <w:rsid w:val="0030523C"/>
    <w:pPr>
      <w:keepNext/>
      <w:spacing w:after="0" w:line="240" w:lineRule="auto"/>
    </w:pPr>
    <w:rPr>
      <w:rFonts w:ascii="Calibri Bold" w:eastAsia="ヒラギノ角ゴ Pro W3" w:hAnsi="Calibri Bold" w:cs="Times New Roman"/>
      <w:color w:val="000000"/>
      <w:sz w:val="28"/>
      <w:szCs w:val="20"/>
    </w:rPr>
  </w:style>
  <w:style w:type="paragraph" w:customStyle="1" w:styleId="Body">
    <w:name w:val="Body"/>
    <w:rsid w:val="0030523C"/>
    <w:pPr>
      <w:spacing w:after="0" w:line="240" w:lineRule="auto"/>
      <w:jc w:val="both"/>
    </w:pPr>
    <w:rPr>
      <w:rFonts w:ascii="Calibri" w:eastAsia="ヒラギノ角ゴ Pro W3" w:hAnsi="Calibri" w:cs="Times New Roman"/>
      <w:color w:val="000000"/>
      <w:szCs w:val="20"/>
    </w:rPr>
  </w:style>
  <w:style w:type="paragraph" w:styleId="MacroText">
    <w:name w:val="macro"/>
    <w:link w:val="MacroTextChar"/>
    <w:rsid w:val="0030523C"/>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fr-FR" w:eastAsia="fr-FR"/>
    </w:rPr>
  </w:style>
  <w:style w:type="character" w:customStyle="1" w:styleId="MacroTextChar">
    <w:name w:val="Macro Text Char"/>
    <w:basedOn w:val="DefaultParagraphFont"/>
    <w:link w:val="MacroText"/>
    <w:rsid w:val="0030523C"/>
    <w:rPr>
      <w:rFonts w:ascii="Courier New" w:eastAsia="Times New Roman" w:hAnsi="Courier New" w:cs="Times New Roman"/>
      <w:sz w:val="20"/>
      <w:szCs w:val="20"/>
      <w:lang w:val="fr-FR" w:eastAsia="fr-FR"/>
    </w:rPr>
  </w:style>
  <w:style w:type="paragraph" w:styleId="TOCHeading">
    <w:name w:val="TOC Heading"/>
    <w:basedOn w:val="Heading1"/>
    <w:next w:val="Normal"/>
    <w:uiPriority w:val="39"/>
    <w:semiHidden/>
    <w:unhideWhenUsed/>
    <w:qFormat/>
    <w:rsid w:val="0030523C"/>
    <w:pPr>
      <w:shd w:val="clear" w:color="auto" w:fill="002060"/>
      <w:tabs>
        <w:tab w:val="clear" w:pos="567"/>
      </w:tabs>
      <w:spacing w:before="480" w:after="240" w:line="276" w:lineRule="auto"/>
      <w:outlineLvl w:val="9"/>
    </w:pPr>
    <w:rPr>
      <w:rFonts w:ascii="Cambria" w:hAnsi="Cambria"/>
      <w:bCs w:val="0"/>
      <w:caps w:val="0"/>
      <w:color w:val="365F91"/>
      <w:kern w:val="32"/>
      <w:sz w:val="28"/>
      <w:lang w:val="fr-FR" w:bidi="ar-TN"/>
    </w:rPr>
  </w:style>
  <w:style w:type="table" w:styleId="MediumList2-Accent1">
    <w:name w:val="Medium List 2 Accent 1"/>
    <w:basedOn w:val="TableNormal"/>
    <w:uiPriority w:val="66"/>
    <w:rsid w:val="0030523C"/>
    <w:pPr>
      <w:spacing w:after="0" w:line="240" w:lineRule="auto"/>
    </w:pPr>
    <w:rPr>
      <w:rFonts w:ascii="Cambria" w:eastAsia="Times New Roman" w:hAnsi="Cambria" w:cs="Times New Roman"/>
      <w:color w:val="000000"/>
      <w:sz w:val="20"/>
      <w:szCs w:val="2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
    <w:name w:val="IFI Algeria style"/>
    <w:rsid w:val="0030523C"/>
    <w:pPr>
      <w:numPr>
        <w:numId w:val="14"/>
      </w:numPr>
    </w:pPr>
  </w:style>
  <w:style w:type="paragraph" w:customStyle="1" w:styleId="Pa5">
    <w:name w:val="Pa5"/>
    <w:basedOn w:val="Normal"/>
    <w:next w:val="Normal"/>
    <w:uiPriority w:val="99"/>
    <w:rsid w:val="0030523C"/>
    <w:pPr>
      <w:autoSpaceDE w:val="0"/>
      <w:autoSpaceDN w:val="0"/>
      <w:adjustRightInd w:val="0"/>
      <w:spacing w:line="201" w:lineRule="atLeast"/>
    </w:pPr>
    <w:rPr>
      <w:rFonts w:ascii="Myriad Pro SemiCond" w:eastAsia="Times New Roman" w:hAnsi="Myriad Pro SemiCond" w:cs="Times New Roman"/>
      <w:szCs w:val="24"/>
      <w:lang w:val="fr-FR" w:eastAsia="fr-FR"/>
    </w:rPr>
  </w:style>
  <w:style w:type="character" w:customStyle="1" w:styleId="A12">
    <w:name w:val="A12"/>
    <w:uiPriority w:val="99"/>
    <w:rsid w:val="0030523C"/>
    <w:rPr>
      <w:rFonts w:cs="Myriad Pro SemiCond"/>
      <w:color w:val="211D1E"/>
      <w:sz w:val="19"/>
      <w:szCs w:val="19"/>
    </w:rPr>
  </w:style>
  <w:style w:type="character" w:customStyle="1" w:styleId="hps">
    <w:name w:val="hps"/>
    <w:basedOn w:val="DefaultParagraphFont"/>
    <w:rsid w:val="0030523C"/>
  </w:style>
  <w:style w:type="paragraph" w:customStyle="1" w:styleId="Pa6">
    <w:name w:val="Pa6"/>
    <w:basedOn w:val="Default"/>
    <w:next w:val="Default"/>
    <w:uiPriority w:val="99"/>
    <w:rsid w:val="0030523C"/>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30523C"/>
    <w:pPr>
      <w:spacing w:before="100" w:beforeAutospacing="1" w:after="100" w:afterAutospacing="1"/>
    </w:pPr>
    <w:rPr>
      <w:rFonts w:ascii="Calibri" w:eastAsia="Times New Roman" w:hAnsi="Calibri" w:cs="Times New Roman"/>
      <w:color w:val="000000"/>
      <w:szCs w:val="20"/>
      <w:lang w:val="fr-FR" w:eastAsia="fr-FR"/>
    </w:rPr>
  </w:style>
  <w:style w:type="paragraph" w:customStyle="1" w:styleId="xl65">
    <w:name w:val="xl65"/>
    <w:basedOn w:val="Normal"/>
    <w:rsid w:val="0030523C"/>
    <w:pPr>
      <w:shd w:val="clear" w:color="000000" w:fill="244061"/>
      <w:spacing w:before="100" w:beforeAutospacing="1" w:after="100" w:afterAutospacing="1"/>
      <w:jc w:val="center"/>
      <w:textAlignment w:val="center"/>
    </w:pPr>
    <w:rPr>
      <w:rFonts w:eastAsia="Times New Roman"/>
      <w:b/>
      <w:bCs/>
      <w:color w:val="FFFFFF"/>
      <w:sz w:val="16"/>
      <w:lang w:val="fr-FR" w:eastAsia="fr-FR"/>
    </w:rPr>
  </w:style>
  <w:style w:type="paragraph" w:customStyle="1" w:styleId="xl66">
    <w:name w:val="xl66"/>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67">
    <w:name w:val="xl67"/>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68">
    <w:name w:val="xl68"/>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69">
    <w:name w:val="xl69"/>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0">
    <w:name w:val="xl70"/>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1">
    <w:name w:val="xl71"/>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2">
    <w:name w:val="xl72"/>
    <w:basedOn w:val="Normal"/>
    <w:rsid w:val="0030523C"/>
    <w:pPr>
      <w:spacing w:before="100" w:beforeAutospacing="1" w:after="100" w:afterAutospacing="1"/>
    </w:pPr>
    <w:rPr>
      <w:rFonts w:ascii="Times New Roman" w:eastAsia="Times New Roman" w:hAnsi="Times New Roman" w:cs="Times New Roman"/>
      <w:szCs w:val="24"/>
      <w:lang w:val="fr-FR" w:eastAsia="fr-FR"/>
    </w:rPr>
  </w:style>
  <w:style w:type="paragraph" w:customStyle="1" w:styleId="xl73">
    <w:name w:val="xl73"/>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74">
    <w:name w:val="xl74"/>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75">
    <w:name w:val="xl75"/>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6">
    <w:name w:val="xl76"/>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7">
    <w:name w:val="xl77"/>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8">
    <w:name w:val="xl78"/>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9">
    <w:name w:val="xl79"/>
    <w:basedOn w:val="Normal"/>
    <w:rsid w:val="0030523C"/>
    <w:pPr>
      <w:spacing w:before="100" w:beforeAutospacing="1" w:after="100" w:afterAutospacing="1"/>
      <w:jc w:val="center"/>
      <w:textAlignment w:val="center"/>
    </w:pPr>
    <w:rPr>
      <w:rFonts w:ascii="Times New Roman" w:eastAsia="Times New Roman" w:hAnsi="Times New Roman" w:cs="Times New Roman"/>
      <w:szCs w:val="24"/>
      <w:lang w:val="fr-FR" w:eastAsia="fr-FR"/>
    </w:rPr>
  </w:style>
  <w:style w:type="paragraph" w:customStyle="1" w:styleId="xl80">
    <w:name w:val="xl80"/>
    <w:basedOn w:val="Normal"/>
    <w:rsid w:val="0030523C"/>
    <w:pPr>
      <w:spacing w:before="100" w:beforeAutospacing="1" w:after="100" w:afterAutospacing="1"/>
      <w:jc w:val="center"/>
    </w:pPr>
    <w:rPr>
      <w:rFonts w:ascii="Times New Roman" w:eastAsia="Times New Roman" w:hAnsi="Times New Roman" w:cs="Times New Roman"/>
      <w:szCs w:val="24"/>
      <w:lang w:val="fr-FR" w:eastAsia="fr-FR"/>
    </w:rPr>
  </w:style>
  <w:style w:type="paragraph" w:customStyle="1" w:styleId="xl81">
    <w:name w:val="xl81"/>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82">
    <w:name w:val="xl82"/>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3">
    <w:name w:val="xl83"/>
    <w:basedOn w:val="Normal"/>
    <w:rsid w:val="0030523C"/>
    <w:pPr>
      <w:pBdr>
        <w:right w:val="single" w:sz="12" w:space="0" w:color="808080"/>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4">
    <w:name w:val="xl84"/>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5">
    <w:name w:val="xl85"/>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86">
    <w:name w:val="xl86"/>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87">
    <w:name w:val="xl87"/>
    <w:basedOn w:val="Normal"/>
    <w:rsid w:val="0030523C"/>
    <w:pPr>
      <w:pBdr>
        <w:right w:val="single" w:sz="12" w:space="0" w:color="808080"/>
      </w:pBdr>
      <w:spacing w:before="100" w:beforeAutospacing="1" w:after="100" w:afterAutospacing="1"/>
      <w:textAlignment w:val="center"/>
    </w:pPr>
    <w:rPr>
      <w:rFonts w:eastAsia="Times New Roman"/>
      <w:sz w:val="16"/>
      <w:lang w:val="fr-FR" w:eastAsia="fr-FR"/>
    </w:rPr>
  </w:style>
  <w:style w:type="paragraph" w:customStyle="1" w:styleId="xl88">
    <w:name w:val="xl88"/>
    <w:basedOn w:val="Normal"/>
    <w:rsid w:val="0030523C"/>
    <w:pPr>
      <w:pBdr>
        <w:bottom w:val="single" w:sz="12" w:space="0" w:color="4F81BD"/>
      </w:pBdr>
      <w:spacing w:before="100" w:beforeAutospacing="1" w:after="100" w:afterAutospacing="1"/>
      <w:textAlignment w:val="center"/>
    </w:pPr>
    <w:rPr>
      <w:rFonts w:eastAsia="Times New Roman"/>
      <w:sz w:val="16"/>
      <w:lang w:val="fr-FR" w:eastAsia="fr-FR"/>
    </w:rPr>
  </w:style>
  <w:style w:type="paragraph" w:customStyle="1" w:styleId="xl89">
    <w:name w:val="xl89"/>
    <w:basedOn w:val="Normal"/>
    <w:rsid w:val="0030523C"/>
    <w:pPr>
      <w:pBdr>
        <w:top w:val="single" w:sz="12" w:space="0" w:color="4F81BD"/>
      </w:pBdr>
      <w:shd w:val="clear" w:color="000000" w:fill="BFBFBF"/>
      <w:spacing w:before="100" w:beforeAutospacing="1" w:after="100" w:afterAutospacing="1"/>
      <w:jc w:val="center"/>
      <w:textAlignment w:val="center"/>
    </w:pPr>
    <w:rPr>
      <w:rFonts w:eastAsia="Times New Roman"/>
      <w:sz w:val="16"/>
      <w:lang w:val="fr-FR" w:eastAsia="fr-FR"/>
    </w:rPr>
  </w:style>
  <w:style w:type="paragraph" w:customStyle="1" w:styleId="xl90">
    <w:name w:val="xl90"/>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1">
    <w:name w:val="xl91"/>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2">
    <w:name w:val="xl92"/>
    <w:basedOn w:val="Normal"/>
    <w:rsid w:val="0030523C"/>
    <w:pPr>
      <w:spacing w:before="100" w:beforeAutospacing="1" w:after="100" w:afterAutospacing="1"/>
    </w:pPr>
    <w:rPr>
      <w:rFonts w:eastAsia="Times New Roman"/>
      <w:sz w:val="16"/>
      <w:lang w:val="fr-FR" w:eastAsia="fr-FR"/>
    </w:rPr>
  </w:style>
  <w:style w:type="paragraph" w:customStyle="1" w:styleId="xl93">
    <w:name w:val="xl93"/>
    <w:basedOn w:val="Normal"/>
    <w:rsid w:val="0030523C"/>
    <w:pPr>
      <w:spacing w:before="100" w:beforeAutospacing="1" w:after="100" w:afterAutospacing="1"/>
      <w:jc w:val="center"/>
    </w:pPr>
    <w:rPr>
      <w:rFonts w:eastAsia="Times New Roman"/>
      <w:sz w:val="16"/>
      <w:lang w:val="fr-FR" w:eastAsia="fr-FR"/>
    </w:rPr>
  </w:style>
  <w:style w:type="paragraph" w:customStyle="1" w:styleId="xl94">
    <w:name w:val="xl94"/>
    <w:basedOn w:val="Normal"/>
    <w:rsid w:val="0030523C"/>
    <w:pPr>
      <w:spacing w:before="100" w:beforeAutospacing="1" w:after="100" w:afterAutospacing="1"/>
    </w:pPr>
    <w:rPr>
      <w:rFonts w:eastAsia="Times New Roman"/>
      <w:sz w:val="16"/>
      <w:lang w:val="fr-FR" w:eastAsia="fr-FR"/>
    </w:rPr>
  </w:style>
  <w:style w:type="paragraph" w:customStyle="1" w:styleId="xl95">
    <w:name w:val="xl95"/>
    <w:basedOn w:val="Normal"/>
    <w:rsid w:val="0030523C"/>
    <w:pPr>
      <w:spacing w:before="100" w:beforeAutospacing="1" w:after="100" w:afterAutospacing="1"/>
      <w:jc w:val="center"/>
    </w:pPr>
    <w:rPr>
      <w:rFonts w:eastAsia="Times New Roman"/>
      <w:sz w:val="16"/>
      <w:lang w:val="fr-FR" w:eastAsia="fr-FR"/>
    </w:rPr>
  </w:style>
  <w:style w:type="paragraph" w:customStyle="1" w:styleId="xl96">
    <w:name w:val="xl96"/>
    <w:basedOn w:val="Normal"/>
    <w:rsid w:val="0030523C"/>
    <w:pPr>
      <w:spacing w:before="100" w:beforeAutospacing="1" w:after="100" w:afterAutospacing="1"/>
    </w:pPr>
    <w:rPr>
      <w:rFonts w:eastAsia="Times New Roman"/>
      <w:sz w:val="16"/>
      <w:lang w:val="fr-FR" w:eastAsia="fr-FR"/>
    </w:rPr>
  </w:style>
  <w:style w:type="paragraph" w:customStyle="1" w:styleId="xl97">
    <w:name w:val="xl97"/>
    <w:basedOn w:val="Normal"/>
    <w:rsid w:val="0030523C"/>
    <w:pPr>
      <w:spacing w:before="100" w:beforeAutospacing="1" w:after="100" w:afterAutospacing="1"/>
      <w:jc w:val="right"/>
      <w:textAlignment w:val="center"/>
    </w:pPr>
    <w:rPr>
      <w:rFonts w:eastAsia="Times New Roman"/>
      <w:i/>
      <w:iCs/>
      <w:sz w:val="16"/>
      <w:lang w:val="fr-FR" w:eastAsia="fr-FR"/>
    </w:rPr>
  </w:style>
  <w:style w:type="paragraph" w:customStyle="1" w:styleId="xl1961">
    <w:name w:val="xl1961"/>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2">
    <w:name w:val="xl1962"/>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3">
    <w:name w:val="xl1963"/>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4">
    <w:name w:val="xl1964"/>
    <w:basedOn w:val="Normal"/>
    <w:rsid w:val="0030523C"/>
    <w:pPr>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65">
    <w:name w:val="xl1965"/>
    <w:basedOn w:val="Normal"/>
    <w:rsid w:val="0030523C"/>
    <w:pPr>
      <w:pBdr>
        <w:bottom w:val="single" w:sz="12" w:space="0" w:color="4F81BD"/>
      </w:pBdr>
      <w:shd w:val="clear" w:color="000000" w:fill="244062"/>
      <w:spacing w:before="100" w:beforeAutospacing="1" w:after="100" w:afterAutospacing="1"/>
      <w:jc w:val="center"/>
      <w:textAlignment w:val="center"/>
    </w:pPr>
    <w:rPr>
      <w:rFonts w:ascii="Times New Roman" w:eastAsia="Times New Roman" w:hAnsi="Times New Roman" w:cs="Times New Roman"/>
      <w:b/>
      <w:bCs/>
      <w:color w:val="FFFFFF"/>
      <w:sz w:val="16"/>
      <w:lang w:eastAsia="en-GB"/>
    </w:rPr>
  </w:style>
  <w:style w:type="paragraph" w:customStyle="1" w:styleId="xl1966">
    <w:name w:val="xl1966"/>
    <w:basedOn w:val="Normal"/>
    <w:rsid w:val="0030523C"/>
    <w:pPr>
      <w:pBdr>
        <w:top w:val="single" w:sz="12" w:space="0" w:color="4F81BD"/>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6"/>
      <w:lang w:eastAsia="en-GB"/>
    </w:rPr>
  </w:style>
  <w:style w:type="paragraph" w:customStyle="1" w:styleId="xl1967">
    <w:name w:val="xl1967"/>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8">
    <w:name w:val="xl1968"/>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9">
    <w:name w:val="xl1969"/>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70">
    <w:name w:val="xl1970"/>
    <w:basedOn w:val="Normal"/>
    <w:rsid w:val="0030523C"/>
    <w:pPr>
      <w:spacing w:before="100" w:beforeAutospacing="1" w:after="100" w:afterAutospacing="1"/>
      <w:jc w:val="right"/>
      <w:textAlignment w:val="center"/>
    </w:pPr>
    <w:rPr>
      <w:rFonts w:ascii="Times New Roman" w:eastAsia="Times New Roman" w:hAnsi="Times New Roman" w:cs="Times New Roman"/>
      <w:i/>
      <w:iCs/>
      <w:color w:val="000000"/>
      <w:sz w:val="16"/>
      <w:lang w:eastAsia="en-GB"/>
    </w:rPr>
  </w:style>
  <w:style w:type="paragraph" w:customStyle="1" w:styleId="xl1971">
    <w:name w:val="xl1971"/>
    <w:basedOn w:val="Normal"/>
    <w:rsid w:val="0030523C"/>
    <w:pPr>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2">
    <w:name w:val="xl1972"/>
    <w:basedOn w:val="Normal"/>
    <w:rsid w:val="0030523C"/>
    <w:pPr>
      <w:spacing w:before="100" w:beforeAutospacing="1" w:after="100" w:afterAutospacing="1"/>
      <w:textAlignment w:val="center"/>
    </w:pPr>
    <w:rPr>
      <w:rFonts w:ascii="Calibri" w:eastAsia="Times New Roman" w:hAnsi="Calibri" w:cs="Times New Roman"/>
      <w:sz w:val="16"/>
      <w:lang w:eastAsia="en-GB"/>
    </w:rPr>
  </w:style>
  <w:style w:type="paragraph" w:customStyle="1" w:styleId="xl1973">
    <w:name w:val="xl1973"/>
    <w:basedOn w:val="Normal"/>
    <w:rsid w:val="0030523C"/>
    <w:pPr>
      <w:shd w:val="clear" w:color="000000" w:fill="B8CCE4"/>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4">
    <w:name w:val="xl1974"/>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75">
    <w:name w:val="xl1975"/>
    <w:basedOn w:val="Normal"/>
    <w:rsid w:val="0030523C"/>
    <w:pPr>
      <w:shd w:val="clear" w:color="000000" w:fill="B8CCE4"/>
      <w:spacing w:before="100" w:beforeAutospacing="1" w:after="100" w:afterAutospacing="1"/>
    </w:pPr>
    <w:rPr>
      <w:rFonts w:ascii="Times New Roman" w:eastAsia="Times New Roman" w:hAnsi="Times New Roman" w:cs="Times New Roman"/>
      <w:sz w:val="16"/>
      <w:lang w:eastAsia="en-GB"/>
    </w:rPr>
  </w:style>
  <w:style w:type="numbering" w:customStyle="1" w:styleId="Style2">
    <w:name w:val="Style2"/>
    <w:uiPriority w:val="99"/>
    <w:rsid w:val="004A11B0"/>
    <w:pPr>
      <w:numPr>
        <w:numId w:val="17"/>
      </w:numPr>
    </w:pPr>
  </w:style>
  <w:style w:type="character" w:customStyle="1" w:styleId="Mention1">
    <w:name w:val="Mention1"/>
    <w:basedOn w:val="DefaultParagraphFont"/>
    <w:uiPriority w:val="99"/>
    <w:semiHidden/>
    <w:unhideWhenUsed/>
    <w:rsid w:val="001E6D4B"/>
    <w:rPr>
      <w:color w:val="2B579A"/>
      <w:shd w:val="clear" w:color="auto" w:fill="E6E6E6"/>
    </w:rPr>
  </w:style>
  <w:style w:type="character" w:customStyle="1" w:styleId="UnresolvedMention1">
    <w:name w:val="Unresolved Mention1"/>
    <w:basedOn w:val="DefaultParagraphFont"/>
    <w:uiPriority w:val="99"/>
    <w:semiHidden/>
    <w:unhideWhenUsed/>
    <w:rsid w:val="001B1A25"/>
    <w:rPr>
      <w:color w:val="808080"/>
      <w:shd w:val="clear" w:color="auto" w:fill="E6E6E6"/>
    </w:rPr>
  </w:style>
  <w:style w:type="character" w:customStyle="1" w:styleId="UnresolvedMention2">
    <w:name w:val="Unresolved Mention2"/>
    <w:basedOn w:val="DefaultParagraphFont"/>
    <w:uiPriority w:val="99"/>
    <w:semiHidden/>
    <w:unhideWhenUsed/>
    <w:rsid w:val="00AF4DD7"/>
    <w:rPr>
      <w:color w:val="808080"/>
      <w:shd w:val="clear" w:color="auto" w:fill="E6E6E6"/>
    </w:rPr>
  </w:style>
  <w:style w:type="paragraph" w:customStyle="1" w:styleId="Pa9">
    <w:name w:val="Pa9"/>
    <w:basedOn w:val="Normal"/>
    <w:next w:val="Normal"/>
    <w:uiPriority w:val="99"/>
    <w:rsid w:val="00321E1D"/>
    <w:pPr>
      <w:autoSpaceDE w:val="0"/>
      <w:autoSpaceDN w:val="0"/>
      <w:adjustRightInd w:val="0"/>
      <w:spacing w:line="201" w:lineRule="atLeast"/>
    </w:pPr>
    <w:rPr>
      <w:rFonts w:ascii="ITC Charter Com" w:eastAsia="Times New Roman" w:hAnsi="ITC Charter Com" w:cs="Times New Roman"/>
      <w:szCs w:val="24"/>
      <w:lang w:eastAsia="en-GB"/>
    </w:rPr>
  </w:style>
  <w:style w:type="character" w:customStyle="1" w:styleId="Mentionnonrsolue1">
    <w:name w:val="Mention non résolue1"/>
    <w:basedOn w:val="DefaultParagraphFont"/>
    <w:uiPriority w:val="99"/>
    <w:semiHidden/>
    <w:unhideWhenUsed/>
    <w:rsid w:val="00551D73"/>
    <w:rPr>
      <w:color w:val="808080"/>
      <w:shd w:val="clear" w:color="auto" w:fill="E6E6E6"/>
    </w:rPr>
  </w:style>
  <w:style w:type="character" w:customStyle="1" w:styleId="ListParagraphChar">
    <w:name w:val="List Paragraph Char"/>
    <w:aliases w:val="Bullets Char,List Bullet Mary Char,List Paragraph (numbered (a)) Char,body bullets Char,Liste 1 Char,Paragraphe  revu Char,List Paragraph nowy Char,Numbered Paragraph Char"/>
    <w:link w:val="ListParagraph"/>
    <w:uiPriority w:val="34"/>
    <w:rsid w:val="002A15C3"/>
  </w:style>
  <w:style w:type="paragraph" w:styleId="TableofFigures">
    <w:name w:val="table of figures"/>
    <w:basedOn w:val="Normal"/>
    <w:next w:val="Normal"/>
    <w:uiPriority w:val="99"/>
    <w:unhideWhenUsed/>
    <w:rsid w:val="00D67E1D"/>
    <w:pPr>
      <w:spacing w:after="120"/>
    </w:pPr>
  </w:style>
  <w:style w:type="character" w:styleId="UnresolvedMention">
    <w:name w:val="Unresolved Mention"/>
    <w:basedOn w:val="DefaultParagraphFont"/>
    <w:uiPriority w:val="99"/>
    <w:semiHidden/>
    <w:unhideWhenUsed/>
    <w:rsid w:val="008055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4498245">
      <w:bodyDiv w:val="1"/>
      <w:marLeft w:val="0"/>
      <w:marRight w:val="0"/>
      <w:marTop w:val="0"/>
      <w:marBottom w:val="0"/>
      <w:divBdr>
        <w:top w:val="none" w:sz="0" w:space="0" w:color="auto"/>
        <w:left w:val="none" w:sz="0" w:space="0" w:color="auto"/>
        <w:bottom w:val="none" w:sz="0" w:space="0" w:color="auto"/>
        <w:right w:val="none" w:sz="0" w:space="0" w:color="auto"/>
      </w:divBdr>
    </w:div>
    <w:div w:id="21785530">
      <w:bodyDiv w:val="1"/>
      <w:marLeft w:val="0"/>
      <w:marRight w:val="0"/>
      <w:marTop w:val="0"/>
      <w:marBottom w:val="0"/>
      <w:divBdr>
        <w:top w:val="none" w:sz="0" w:space="0" w:color="auto"/>
        <w:left w:val="none" w:sz="0" w:space="0" w:color="auto"/>
        <w:bottom w:val="none" w:sz="0" w:space="0" w:color="auto"/>
        <w:right w:val="none" w:sz="0" w:space="0" w:color="auto"/>
      </w:divBdr>
    </w:div>
    <w:div w:id="39935956">
      <w:bodyDiv w:val="1"/>
      <w:marLeft w:val="0"/>
      <w:marRight w:val="0"/>
      <w:marTop w:val="0"/>
      <w:marBottom w:val="0"/>
      <w:divBdr>
        <w:top w:val="none" w:sz="0" w:space="0" w:color="auto"/>
        <w:left w:val="none" w:sz="0" w:space="0" w:color="auto"/>
        <w:bottom w:val="none" w:sz="0" w:space="0" w:color="auto"/>
        <w:right w:val="none" w:sz="0" w:space="0" w:color="auto"/>
      </w:divBdr>
    </w:div>
    <w:div w:id="50277901">
      <w:bodyDiv w:val="1"/>
      <w:marLeft w:val="0"/>
      <w:marRight w:val="0"/>
      <w:marTop w:val="0"/>
      <w:marBottom w:val="0"/>
      <w:divBdr>
        <w:top w:val="none" w:sz="0" w:space="0" w:color="auto"/>
        <w:left w:val="none" w:sz="0" w:space="0" w:color="auto"/>
        <w:bottom w:val="none" w:sz="0" w:space="0" w:color="auto"/>
        <w:right w:val="none" w:sz="0" w:space="0" w:color="auto"/>
      </w:divBdr>
    </w:div>
    <w:div w:id="74862034">
      <w:bodyDiv w:val="1"/>
      <w:marLeft w:val="0"/>
      <w:marRight w:val="0"/>
      <w:marTop w:val="0"/>
      <w:marBottom w:val="0"/>
      <w:divBdr>
        <w:top w:val="none" w:sz="0" w:space="0" w:color="auto"/>
        <w:left w:val="none" w:sz="0" w:space="0" w:color="auto"/>
        <w:bottom w:val="none" w:sz="0" w:space="0" w:color="auto"/>
        <w:right w:val="none" w:sz="0" w:space="0" w:color="auto"/>
      </w:divBdr>
    </w:div>
    <w:div w:id="90397503">
      <w:bodyDiv w:val="1"/>
      <w:marLeft w:val="0"/>
      <w:marRight w:val="0"/>
      <w:marTop w:val="0"/>
      <w:marBottom w:val="0"/>
      <w:divBdr>
        <w:top w:val="none" w:sz="0" w:space="0" w:color="auto"/>
        <w:left w:val="none" w:sz="0" w:space="0" w:color="auto"/>
        <w:bottom w:val="none" w:sz="0" w:space="0" w:color="auto"/>
        <w:right w:val="none" w:sz="0" w:space="0" w:color="auto"/>
      </w:divBdr>
    </w:div>
    <w:div w:id="99229522">
      <w:bodyDiv w:val="1"/>
      <w:marLeft w:val="0"/>
      <w:marRight w:val="0"/>
      <w:marTop w:val="0"/>
      <w:marBottom w:val="0"/>
      <w:divBdr>
        <w:top w:val="none" w:sz="0" w:space="0" w:color="auto"/>
        <w:left w:val="none" w:sz="0" w:space="0" w:color="auto"/>
        <w:bottom w:val="none" w:sz="0" w:space="0" w:color="auto"/>
        <w:right w:val="none" w:sz="0" w:space="0" w:color="auto"/>
      </w:divBdr>
    </w:div>
    <w:div w:id="103112132">
      <w:bodyDiv w:val="1"/>
      <w:marLeft w:val="0"/>
      <w:marRight w:val="0"/>
      <w:marTop w:val="0"/>
      <w:marBottom w:val="0"/>
      <w:divBdr>
        <w:top w:val="none" w:sz="0" w:space="0" w:color="auto"/>
        <w:left w:val="none" w:sz="0" w:space="0" w:color="auto"/>
        <w:bottom w:val="none" w:sz="0" w:space="0" w:color="auto"/>
        <w:right w:val="none" w:sz="0" w:space="0" w:color="auto"/>
      </w:divBdr>
    </w:div>
    <w:div w:id="122502081">
      <w:bodyDiv w:val="1"/>
      <w:marLeft w:val="0"/>
      <w:marRight w:val="0"/>
      <w:marTop w:val="0"/>
      <w:marBottom w:val="0"/>
      <w:divBdr>
        <w:top w:val="none" w:sz="0" w:space="0" w:color="auto"/>
        <w:left w:val="none" w:sz="0" w:space="0" w:color="auto"/>
        <w:bottom w:val="none" w:sz="0" w:space="0" w:color="auto"/>
        <w:right w:val="none" w:sz="0" w:space="0" w:color="auto"/>
      </w:divBdr>
    </w:div>
    <w:div w:id="127666636">
      <w:bodyDiv w:val="1"/>
      <w:marLeft w:val="0"/>
      <w:marRight w:val="0"/>
      <w:marTop w:val="0"/>
      <w:marBottom w:val="0"/>
      <w:divBdr>
        <w:top w:val="none" w:sz="0" w:space="0" w:color="auto"/>
        <w:left w:val="none" w:sz="0" w:space="0" w:color="auto"/>
        <w:bottom w:val="none" w:sz="0" w:space="0" w:color="auto"/>
        <w:right w:val="none" w:sz="0" w:space="0" w:color="auto"/>
      </w:divBdr>
    </w:div>
    <w:div w:id="138504533">
      <w:bodyDiv w:val="1"/>
      <w:marLeft w:val="0"/>
      <w:marRight w:val="0"/>
      <w:marTop w:val="0"/>
      <w:marBottom w:val="0"/>
      <w:divBdr>
        <w:top w:val="none" w:sz="0" w:space="0" w:color="auto"/>
        <w:left w:val="none" w:sz="0" w:space="0" w:color="auto"/>
        <w:bottom w:val="none" w:sz="0" w:space="0" w:color="auto"/>
        <w:right w:val="none" w:sz="0" w:space="0" w:color="auto"/>
      </w:divBdr>
    </w:div>
    <w:div w:id="165101190">
      <w:bodyDiv w:val="1"/>
      <w:marLeft w:val="0"/>
      <w:marRight w:val="0"/>
      <w:marTop w:val="0"/>
      <w:marBottom w:val="0"/>
      <w:divBdr>
        <w:top w:val="none" w:sz="0" w:space="0" w:color="auto"/>
        <w:left w:val="none" w:sz="0" w:space="0" w:color="auto"/>
        <w:bottom w:val="none" w:sz="0" w:space="0" w:color="auto"/>
        <w:right w:val="none" w:sz="0" w:space="0" w:color="auto"/>
      </w:divBdr>
    </w:div>
    <w:div w:id="167988834">
      <w:bodyDiv w:val="1"/>
      <w:marLeft w:val="0"/>
      <w:marRight w:val="0"/>
      <w:marTop w:val="0"/>
      <w:marBottom w:val="0"/>
      <w:divBdr>
        <w:top w:val="none" w:sz="0" w:space="0" w:color="auto"/>
        <w:left w:val="none" w:sz="0" w:space="0" w:color="auto"/>
        <w:bottom w:val="none" w:sz="0" w:space="0" w:color="auto"/>
        <w:right w:val="none" w:sz="0" w:space="0" w:color="auto"/>
      </w:divBdr>
    </w:div>
    <w:div w:id="197933317">
      <w:bodyDiv w:val="1"/>
      <w:marLeft w:val="0"/>
      <w:marRight w:val="0"/>
      <w:marTop w:val="0"/>
      <w:marBottom w:val="0"/>
      <w:divBdr>
        <w:top w:val="none" w:sz="0" w:space="0" w:color="auto"/>
        <w:left w:val="none" w:sz="0" w:space="0" w:color="auto"/>
        <w:bottom w:val="none" w:sz="0" w:space="0" w:color="auto"/>
        <w:right w:val="none" w:sz="0" w:space="0" w:color="auto"/>
      </w:divBdr>
    </w:div>
    <w:div w:id="235283476">
      <w:bodyDiv w:val="1"/>
      <w:marLeft w:val="0"/>
      <w:marRight w:val="0"/>
      <w:marTop w:val="0"/>
      <w:marBottom w:val="0"/>
      <w:divBdr>
        <w:top w:val="none" w:sz="0" w:space="0" w:color="auto"/>
        <w:left w:val="none" w:sz="0" w:space="0" w:color="auto"/>
        <w:bottom w:val="none" w:sz="0" w:space="0" w:color="auto"/>
        <w:right w:val="none" w:sz="0" w:space="0" w:color="auto"/>
      </w:divBdr>
    </w:div>
    <w:div w:id="236860904">
      <w:bodyDiv w:val="1"/>
      <w:marLeft w:val="0"/>
      <w:marRight w:val="0"/>
      <w:marTop w:val="0"/>
      <w:marBottom w:val="0"/>
      <w:divBdr>
        <w:top w:val="none" w:sz="0" w:space="0" w:color="auto"/>
        <w:left w:val="none" w:sz="0" w:space="0" w:color="auto"/>
        <w:bottom w:val="none" w:sz="0" w:space="0" w:color="auto"/>
        <w:right w:val="none" w:sz="0" w:space="0" w:color="auto"/>
      </w:divBdr>
    </w:div>
    <w:div w:id="252738345">
      <w:bodyDiv w:val="1"/>
      <w:marLeft w:val="0"/>
      <w:marRight w:val="0"/>
      <w:marTop w:val="0"/>
      <w:marBottom w:val="0"/>
      <w:divBdr>
        <w:top w:val="none" w:sz="0" w:space="0" w:color="auto"/>
        <w:left w:val="none" w:sz="0" w:space="0" w:color="auto"/>
        <w:bottom w:val="none" w:sz="0" w:space="0" w:color="auto"/>
        <w:right w:val="none" w:sz="0" w:space="0" w:color="auto"/>
      </w:divBdr>
    </w:div>
    <w:div w:id="290326126">
      <w:bodyDiv w:val="1"/>
      <w:marLeft w:val="0"/>
      <w:marRight w:val="0"/>
      <w:marTop w:val="0"/>
      <w:marBottom w:val="0"/>
      <w:divBdr>
        <w:top w:val="none" w:sz="0" w:space="0" w:color="auto"/>
        <w:left w:val="none" w:sz="0" w:space="0" w:color="auto"/>
        <w:bottom w:val="none" w:sz="0" w:space="0" w:color="auto"/>
        <w:right w:val="none" w:sz="0" w:space="0" w:color="auto"/>
      </w:divBdr>
    </w:div>
    <w:div w:id="303242809">
      <w:bodyDiv w:val="1"/>
      <w:marLeft w:val="0"/>
      <w:marRight w:val="0"/>
      <w:marTop w:val="0"/>
      <w:marBottom w:val="0"/>
      <w:divBdr>
        <w:top w:val="none" w:sz="0" w:space="0" w:color="auto"/>
        <w:left w:val="none" w:sz="0" w:space="0" w:color="auto"/>
        <w:bottom w:val="none" w:sz="0" w:space="0" w:color="auto"/>
        <w:right w:val="none" w:sz="0" w:space="0" w:color="auto"/>
      </w:divBdr>
    </w:div>
    <w:div w:id="310866975">
      <w:bodyDiv w:val="1"/>
      <w:marLeft w:val="0"/>
      <w:marRight w:val="0"/>
      <w:marTop w:val="0"/>
      <w:marBottom w:val="0"/>
      <w:divBdr>
        <w:top w:val="none" w:sz="0" w:space="0" w:color="auto"/>
        <w:left w:val="none" w:sz="0" w:space="0" w:color="auto"/>
        <w:bottom w:val="none" w:sz="0" w:space="0" w:color="auto"/>
        <w:right w:val="none" w:sz="0" w:space="0" w:color="auto"/>
      </w:divBdr>
    </w:div>
    <w:div w:id="316149525">
      <w:bodyDiv w:val="1"/>
      <w:marLeft w:val="0"/>
      <w:marRight w:val="0"/>
      <w:marTop w:val="0"/>
      <w:marBottom w:val="0"/>
      <w:divBdr>
        <w:top w:val="none" w:sz="0" w:space="0" w:color="auto"/>
        <w:left w:val="none" w:sz="0" w:space="0" w:color="auto"/>
        <w:bottom w:val="none" w:sz="0" w:space="0" w:color="auto"/>
        <w:right w:val="none" w:sz="0" w:space="0" w:color="auto"/>
      </w:divBdr>
    </w:div>
    <w:div w:id="344671704">
      <w:bodyDiv w:val="1"/>
      <w:marLeft w:val="0"/>
      <w:marRight w:val="0"/>
      <w:marTop w:val="0"/>
      <w:marBottom w:val="0"/>
      <w:divBdr>
        <w:top w:val="none" w:sz="0" w:space="0" w:color="auto"/>
        <w:left w:val="none" w:sz="0" w:space="0" w:color="auto"/>
        <w:bottom w:val="none" w:sz="0" w:space="0" w:color="auto"/>
        <w:right w:val="none" w:sz="0" w:space="0" w:color="auto"/>
      </w:divBdr>
    </w:div>
    <w:div w:id="363333157">
      <w:bodyDiv w:val="1"/>
      <w:marLeft w:val="0"/>
      <w:marRight w:val="0"/>
      <w:marTop w:val="0"/>
      <w:marBottom w:val="0"/>
      <w:divBdr>
        <w:top w:val="none" w:sz="0" w:space="0" w:color="auto"/>
        <w:left w:val="none" w:sz="0" w:space="0" w:color="auto"/>
        <w:bottom w:val="none" w:sz="0" w:space="0" w:color="auto"/>
        <w:right w:val="none" w:sz="0" w:space="0" w:color="auto"/>
      </w:divBdr>
    </w:div>
    <w:div w:id="370037346">
      <w:bodyDiv w:val="1"/>
      <w:marLeft w:val="0"/>
      <w:marRight w:val="0"/>
      <w:marTop w:val="0"/>
      <w:marBottom w:val="0"/>
      <w:divBdr>
        <w:top w:val="none" w:sz="0" w:space="0" w:color="auto"/>
        <w:left w:val="none" w:sz="0" w:space="0" w:color="auto"/>
        <w:bottom w:val="none" w:sz="0" w:space="0" w:color="auto"/>
        <w:right w:val="none" w:sz="0" w:space="0" w:color="auto"/>
      </w:divBdr>
    </w:div>
    <w:div w:id="370376432">
      <w:bodyDiv w:val="1"/>
      <w:marLeft w:val="0"/>
      <w:marRight w:val="0"/>
      <w:marTop w:val="0"/>
      <w:marBottom w:val="0"/>
      <w:divBdr>
        <w:top w:val="none" w:sz="0" w:space="0" w:color="auto"/>
        <w:left w:val="none" w:sz="0" w:space="0" w:color="auto"/>
        <w:bottom w:val="none" w:sz="0" w:space="0" w:color="auto"/>
        <w:right w:val="none" w:sz="0" w:space="0" w:color="auto"/>
      </w:divBdr>
    </w:div>
    <w:div w:id="407700891">
      <w:bodyDiv w:val="1"/>
      <w:marLeft w:val="0"/>
      <w:marRight w:val="0"/>
      <w:marTop w:val="0"/>
      <w:marBottom w:val="0"/>
      <w:divBdr>
        <w:top w:val="none" w:sz="0" w:space="0" w:color="auto"/>
        <w:left w:val="none" w:sz="0" w:space="0" w:color="auto"/>
        <w:bottom w:val="none" w:sz="0" w:space="0" w:color="auto"/>
        <w:right w:val="none" w:sz="0" w:space="0" w:color="auto"/>
      </w:divBdr>
    </w:div>
    <w:div w:id="428238097">
      <w:bodyDiv w:val="1"/>
      <w:marLeft w:val="0"/>
      <w:marRight w:val="0"/>
      <w:marTop w:val="0"/>
      <w:marBottom w:val="0"/>
      <w:divBdr>
        <w:top w:val="none" w:sz="0" w:space="0" w:color="auto"/>
        <w:left w:val="none" w:sz="0" w:space="0" w:color="auto"/>
        <w:bottom w:val="none" w:sz="0" w:space="0" w:color="auto"/>
        <w:right w:val="none" w:sz="0" w:space="0" w:color="auto"/>
      </w:divBdr>
    </w:div>
    <w:div w:id="429467828">
      <w:bodyDiv w:val="1"/>
      <w:marLeft w:val="0"/>
      <w:marRight w:val="0"/>
      <w:marTop w:val="0"/>
      <w:marBottom w:val="0"/>
      <w:divBdr>
        <w:top w:val="none" w:sz="0" w:space="0" w:color="auto"/>
        <w:left w:val="none" w:sz="0" w:space="0" w:color="auto"/>
        <w:bottom w:val="none" w:sz="0" w:space="0" w:color="auto"/>
        <w:right w:val="none" w:sz="0" w:space="0" w:color="auto"/>
      </w:divBdr>
    </w:div>
    <w:div w:id="443697355">
      <w:bodyDiv w:val="1"/>
      <w:marLeft w:val="0"/>
      <w:marRight w:val="0"/>
      <w:marTop w:val="0"/>
      <w:marBottom w:val="0"/>
      <w:divBdr>
        <w:top w:val="none" w:sz="0" w:space="0" w:color="auto"/>
        <w:left w:val="none" w:sz="0" w:space="0" w:color="auto"/>
        <w:bottom w:val="none" w:sz="0" w:space="0" w:color="auto"/>
        <w:right w:val="none" w:sz="0" w:space="0" w:color="auto"/>
      </w:divBdr>
    </w:div>
    <w:div w:id="454760757">
      <w:bodyDiv w:val="1"/>
      <w:marLeft w:val="0"/>
      <w:marRight w:val="0"/>
      <w:marTop w:val="0"/>
      <w:marBottom w:val="0"/>
      <w:divBdr>
        <w:top w:val="none" w:sz="0" w:space="0" w:color="auto"/>
        <w:left w:val="none" w:sz="0" w:space="0" w:color="auto"/>
        <w:bottom w:val="none" w:sz="0" w:space="0" w:color="auto"/>
        <w:right w:val="none" w:sz="0" w:space="0" w:color="auto"/>
      </w:divBdr>
    </w:div>
    <w:div w:id="496926519">
      <w:bodyDiv w:val="1"/>
      <w:marLeft w:val="0"/>
      <w:marRight w:val="0"/>
      <w:marTop w:val="0"/>
      <w:marBottom w:val="0"/>
      <w:divBdr>
        <w:top w:val="none" w:sz="0" w:space="0" w:color="auto"/>
        <w:left w:val="none" w:sz="0" w:space="0" w:color="auto"/>
        <w:bottom w:val="none" w:sz="0" w:space="0" w:color="auto"/>
        <w:right w:val="none" w:sz="0" w:space="0" w:color="auto"/>
      </w:divBdr>
    </w:div>
    <w:div w:id="499078563">
      <w:bodyDiv w:val="1"/>
      <w:marLeft w:val="0"/>
      <w:marRight w:val="0"/>
      <w:marTop w:val="0"/>
      <w:marBottom w:val="0"/>
      <w:divBdr>
        <w:top w:val="none" w:sz="0" w:space="0" w:color="auto"/>
        <w:left w:val="none" w:sz="0" w:space="0" w:color="auto"/>
        <w:bottom w:val="none" w:sz="0" w:space="0" w:color="auto"/>
        <w:right w:val="none" w:sz="0" w:space="0" w:color="auto"/>
      </w:divBdr>
    </w:div>
    <w:div w:id="526917471">
      <w:bodyDiv w:val="1"/>
      <w:marLeft w:val="0"/>
      <w:marRight w:val="0"/>
      <w:marTop w:val="0"/>
      <w:marBottom w:val="0"/>
      <w:divBdr>
        <w:top w:val="none" w:sz="0" w:space="0" w:color="auto"/>
        <w:left w:val="none" w:sz="0" w:space="0" w:color="auto"/>
        <w:bottom w:val="none" w:sz="0" w:space="0" w:color="auto"/>
        <w:right w:val="none" w:sz="0" w:space="0" w:color="auto"/>
      </w:divBdr>
    </w:div>
    <w:div w:id="531694564">
      <w:bodyDiv w:val="1"/>
      <w:marLeft w:val="0"/>
      <w:marRight w:val="0"/>
      <w:marTop w:val="0"/>
      <w:marBottom w:val="0"/>
      <w:divBdr>
        <w:top w:val="none" w:sz="0" w:space="0" w:color="auto"/>
        <w:left w:val="none" w:sz="0" w:space="0" w:color="auto"/>
        <w:bottom w:val="none" w:sz="0" w:space="0" w:color="auto"/>
        <w:right w:val="none" w:sz="0" w:space="0" w:color="auto"/>
      </w:divBdr>
    </w:div>
    <w:div w:id="543373945">
      <w:bodyDiv w:val="1"/>
      <w:marLeft w:val="0"/>
      <w:marRight w:val="0"/>
      <w:marTop w:val="0"/>
      <w:marBottom w:val="0"/>
      <w:divBdr>
        <w:top w:val="none" w:sz="0" w:space="0" w:color="auto"/>
        <w:left w:val="none" w:sz="0" w:space="0" w:color="auto"/>
        <w:bottom w:val="none" w:sz="0" w:space="0" w:color="auto"/>
        <w:right w:val="none" w:sz="0" w:space="0" w:color="auto"/>
      </w:divBdr>
    </w:div>
    <w:div w:id="574096410">
      <w:bodyDiv w:val="1"/>
      <w:marLeft w:val="0"/>
      <w:marRight w:val="0"/>
      <w:marTop w:val="0"/>
      <w:marBottom w:val="0"/>
      <w:divBdr>
        <w:top w:val="none" w:sz="0" w:space="0" w:color="auto"/>
        <w:left w:val="none" w:sz="0" w:space="0" w:color="auto"/>
        <w:bottom w:val="none" w:sz="0" w:space="0" w:color="auto"/>
        <w:right w:val="none" w:sz="0" w:space="0" w:color="auto"/>
      </w:divBdr>
    </w:div>
    <w:div w:id="602225058">
      <w:bodyDiv w:val="1"/>
      <w:marLeft w:val="0"/>
      <w:marRight w:val="0"/>
      <w:marTop w:val="0"/>
      <w:marBottom w:val="0"/>
      <w:divBdr>
        <w:top w:val="none" w:sz="0" w:space="0" w:color="auto"/>
        <w:left w:val="none" w:sz="0" w:space="0" w:color="auto"/>
        <w:bottom w:val="none" w:sz="0" w:space="0" w:color="auto"/>
        <w:right w:val="none" w:sz="0" w:space="0" w:color="auto"/>
      </w:divBdr>
    </w:div>
    <w:div w:id="644579245">
      <w:bodyDiv w:val="1"/>
      <w:marLeft w:val="0"/>
      <w:marRight w:val="0"/>
      <w:marTop w:val="0"/>
      <w:marBottom w:val="0"/>
      <w:divBdr>
        <w:top w:val="none" w:sz="0" w:space="0" w:color="auto"/>
        <w:left w:val="none" w:sz="0" w:space="0" w:color="auto"/>
        <w:bottom w:val="none" w:sz="0" w:space="0" w:color="auto"/>
        <w:right w:val="none" w:sz="0" w:space="0" w:color="auto"/>
      </w:divBdr>
    </w:div>
    <w:div w:id="670764531">
      <w:bodyDiv w:val="1"/>
      <w:marLeft w:val="0"/>
      <w:marRight w:val="0"/>
      <w:marTop w:val="0"/>
      <w:marBottom w:val="0"/>
      <w:divBdr>
        <w:top w:val="none" w:sz="0" w:space="0" w:color="auto"/>
        <w:left w:val="none" w:sz="0" w:space="0" w:color="auto"/>
        <w:bottom w:val="none" w:sz="0" w:space="0" w:color="auto"/>
        <w:right w:val="none" w:sz="0" w:space="0" w:color="auto"/>
      </w:divBdr>
    </w:div>
    <w:div w:id="694619407">
      <w:bodyDiv w:val="1"/>
      <w:marLeft w:val="0"/>
      <w:marRight w:val="0"/>
      <w:marTop w:val="0"/>
      <w:marBottom w:val="0"/>
      <w:divBdr>
        <w:top w:val="none" w:sz="0" w:space="0" w:color="auto"/>
        <w:left w:val="none" w:sz="0" w:space="0" w:color="auto"/>
        <w:bottom w:val="none" w:sz="0" w:space="0" w:color="auto"/>
        <w:right w:val="none" w:sz="0" w:space="0" w:color="auto"/>
      </w:divBdr>
    </w:div>
    <w:div w:id="697779324">
      <w:bodyDiv w:val="1"/>
      <w:marLeft w:val="0"/>
      <w:marRight w:val="0"/>
      <w:marTop w:val="0"/>
      <w:marBottom w:val="0"/>
      <w:divBdr>
        <w:top w:val="none" w:sz="0" w:space="0" w:color="auto"/>
        <w:left w:val="none" w:sz="0" w:space="0" w:color="auto"/>
        <w:bottom w:val="none" w:sz="0" w:space="0" w:color="auto"/>
        <w:right w:val="none" w:sz="0" w:space="0" w:color="auto"/>
      </w:divBdr>
    </w:div>
    <w:div w:id="711004514">
      <w:bodyDiv w:val="1"/>
      <w:marLeft w:val="0"/>
      <w:marRight w:val="0"/>
      <w:marTop w:val="0"/>
      <w:marBottom w:val="0"/>
      <w:divBdr>
        <w:top w:val="none" w:sz="0" w:space="0" w:color="auto"/>
        <w:left w:val="none" w:sz="0" w:space="0" w:color="auto"/>
        <w:bottom w:val="none" w:sz="0" w:space="0" w:color="auto"/>
        <w:right w:val="none" w:sz="0" w:space="0" w:color="auto"/>
      </w:divBdr>
    </w:div>
    <w:div w:id="718434437">
      <w:bodyDiv w:val="1"/>
      <w:marLeft w:val="0"/>
      <w:marRight w:val="0"/>
      <w:marTop w:val="0"/>
      <w:marBottom w:val="0"/>
      <w:divBdr>
        <w:top w:val="none" w:sz="0" w:space="0" w:color="auto"/>
        <w:left w:val="none" w:sz="0" w:space="0" w:color="auto"/>
        <w:bottom w:val="none" w:sz="0" w:space="0" w:color="auto"/>
        <w:right w:val="none" w:sz="0" w:space="0" w:color="auto"/>
      </w:divBdr>
    </w:div>
    <w:div w:id="721174140">
      <w:bodyDiv w:val="1"/>
      <w:marLeft w:val="0"/>
      <w:marRight w:val="0"/>
      <w:marTop w:val="0"/>
      <w:marBottom w:val="0"/>
      <w:divBdr>
        <w:top w:val="none" w:sz="0" w:space="0" w:color="auto"/>
        <w:left w:val="none" w:sz="0" w:space="0" w:color="auto"/>
        <w:bottom w:val="none" w:sz="0" w:space="0" w:color="auto"/>
        <w:right w:val="none" w:sz="0" w:space="0" w:color="auto"/>
      </w:divBdr>
    </w:div>
    <w:div w:id="757866621">
      <w:bodyDiv w:val="1"/>
      <w:marLeft w:val="0"/>
      <w:marRight w:val="0"/>
      <w:marTop w:val="0"/>
      <w:marBottom w:val="0"/>
      <w:divBdr>
        <w:top w:val="none" w:sz="0" w:space="0" w:color="auto"/>
        <w:left w:val="none" w:sz="0" w:space="0" w:color="auto"/>
        <w:bottom w:val="none" w:sz="0" w:space="0" w:color="auto"/>
        <w:right w:val="none" w:sz="0" w:space="0" w:color="auto"/>
      </w:divBdr>
    </w:div>
    <w:div w:id="834106651">
      <w:bodyDiv w:val="1"/>
      <w:marLeft w:val="0"/>
      <w:marRight w:val="0"/>
      <w:marTop w:val="0"/>
      <w:marBottom w:val="0"/>
      <w:divBdr>
        <w:top w:val="none" w:sz="0" w:space="0" w:color="auto"/>
        <w:left w:val="none" w:sz="0" w:space="0" w:color="auto"/>
        <w:bottom w:val="none" w:sz="0" w:space="0" w:color="auto"/>
        <w:right w:val="none" w:sz="0" w:space="0" w:color="auto"/>
      </w:divBdr>
    </w:div>
    <w:div w:id="839124922">
      <w:bodyDiv w:val="1"/>
      <w:marLeft w:val="0"/>
      <w:marRight w:val="0"/>
      <w:marTop w:val="0"/>
      <w:marBottom w:val="0"/>
      <w:divBdr>
        <w:top w:val="none" w:sz="0" w:space="0" w:color="auto"/>
        <w:left w:val="none" w:sz="0" w:space="0" w:color="auto"/>
        <w:bottom w:val="none" w:sz="0" w:space="0" w:color="auto"/>
        <w:right w:val="none" w:sz="0" w:space="0" w:color="auto"/>
      </w:divBdr>
    </w:div>
    <w:div w:id="850872279">
      <w:bodyDiv w:val="1"/>
      <w:marLeft w:val="0"/>
      <w:marRight w:val="0"/>
      <w:marTop w:val="0"/>
      <w:marBottom w:val="0"/>
      <w:divBdr>
        <w:top w:val="none" w:sz="0" w:space="0" w:color="auto"/>
        <w:left w:val="none" w:sz="0" w:space="0" w:color="auto"/>
        <w:bottom w:val="none" w:sz="0" w:space="0" w:color="auto"/>
        <w:right w:val="none" w:sz="0" w:space="0" w:color="auto"/>
      </w:divBdr>
    </w:div>
    <w:div w:id="873926053">
      <w:bodyDiv w:val="1"/>
      <w:marLeft w:val="0"/>
      <w:marRight w:val="0"/>
      <w:marTop w:val="0"/>
      <w:marBottom w:val="0"/>
      <w:divBdr>
        <w:top w:val="none" w:sz="0" w:space="0" w:color="auto"/>
        <w:left w:val="none" w:sz="0" w:space="0" w:color="auto"/>
        <w:bottom w:val="none" w:sz="0" w:space="0" w:color="auto"/>
        <w:right w:val="none" w:sz="0" w:space="0" w:color="auto"/>
      </w:divBdr>
    </w:div>
    <w:div w:id="879322871">
      <w:bodyDiv w:val="1"/>
      <w:marLeft w:val="0"/>
      <w:marRight w:val="0"/>
      <w:marTop w:val="0"/>
      <w:marBottom w:val="0"/>
      <w:divBdr>
        <w:top w:val="none" w:sz="0" w:space="0" w:color="auto"/>
        <w:left w:val="none" w:sz="0" w:space="0" w:color="auto"/>
        <w:bottom w:val="none" w:sz="0" w:space="0" w:color="auto"/>
        <w:right w:val="none" w:sz="0" w:space="0" w:color="auto"/>
      </w:divBdr>
    </w:div>
    <w:div w:id="881675022">
      <w:bodyDiv w:val="1"/>
      <w:marLeft w:val="0"/>
      <w:marRight w:val="0"/>
      <w:marTop w:val="0"/>
      <w:marBottom w:val="0"/>
      <w:divBdr>
        <w:top w:val="none" w:sz="0" w:space="0" w:color="auto"/>
        <w:left w:val="none" w:sz="0" w:space="0" w:color="auto"/>
        <w:bottom w:val="none" w:sz="0" w:space="0" w:color="auto"/>
        <w:right w:val="none" w:sz="0" w:space="0" w:color="auto"/>
      </w:divBdr>
    </w:div>
    <w:div w:id="897519516">
      <w:bodyDiv w:val="1"/>
      <w:marLeft w:val="0"/>
      <w:marRight w:val="0"/>
      <w:marTop w:val="0"/>
      <w:marBottom w:val="0"/>
      <w:divBdr>
        <w:top w:val="none" w:sz="0" w:space="0" w:color="auto"/>
        <w:left w:val="none" w:sz="0" w:space="0" w:color="auto"/>
        <w:bottom w:val="none" w:sz="0" w:space="0" w:color="auto"/>
        <w:right w:val="none" w:sz="0" w:space="0" w:color="auto"/>
      </w:divBdr>
    </w:div>
    <w:div w:id="902645343">
      <w:bodyDiv w:val="1"/>
      <w:marLeft w:val="0"/>
      <w:marRight w:val="0"/>
      <w:marTop w:val="0"/>
      <w:marBottom w:val="0"/>
      <w:divBdr>
        <w:top w:val="none" w:sz="0" w:space="0" w:color="auto"/>
        <w:left w:val="none" w:sz="0" w:space="0" w:color="auto"/>
        <w:bottom w:val="none" w:sz="0" w:space="0" w:color="auto"/>
        <w:right w:val="none" w:sz="0" w:space="0" w:color="auto"/>
      </w:divBdr>
    </w:div>
    <w:div w:id="947661745">
      <w:bodyDiv w:val="1"/>
      <w:marLeft w:val="0"/>
      <w:marRight w:val="0"/>
      <w:marTop w:val="0"/>
      <w:marBottom w:val="0"/>
      <w:divBdr>
        <w:top w:val="none" w:sz="0" w:space="0" w:color="auto"/>
        <w:left w:val="none" w:sz="0" w:space="0" w:color="auto"/>
        <w:bottom w:val="none" w:sz="0" w:space="0" w:color="auto"/>
        <w:right w:val="none" w:sz="0" w:space="0" w:color="auto"/>
      </w:divBdr>
    </w:div>
    <w:div w:id="958871987">
      <w:bodyDiv w:val="1"/>
      <w:marLeft w:val="0"/>
      <w:marRight w:val="0"/>
      <w:marTop w:val="0"/>
      <w:marBottom w:val="0"/>
      <w:divBdr>
        <w:top w:val="none" w:sz="0" w:space="0" w:color="auto"/>
        <w:left w:val="none" w:sz="0" w:space="0" w:color="auto"/>
        <w:bottom w:val="none" w:sz="0" w:space="0" w:color="auto"/>
        <w:right w:val="none" w:sz="0" w:space="0" w:color="auto"/>
      </w:divBdr>
    </w:div>
    <w:div w:id="1000305710">
      <w:bodyDiv w:val="1"/>
      <w:marLeft w:val="0"/>
      <w:marRight w:val="0"/>
      <w:marTop w:val="0"/>
      <w:marBottom w:val="0"/>
      <w:divBdr>
        <w:top w:val="none" w:sz="0" w:space="0" w:color="auto"/>
        <w:left w:val="none" w:sz="0" w:space="0" w:color="auto"/>
        <w:bottom w:val="none" w:sz="0" w:space="0" w:color="auto"/>
        <w:right w:val="none" w:sz="0" w:space="0" w:color="auto"/>
      </w:divBdr>
    </w:div>
    <w:div w:id="1001809292">
      <w:bodyDiv w:val="1"/>
      <w:marLeft w:val="0"/>
      <w:marRight w:val="0"/>
      <w:marTop w:val="0"/>
      <w:marBottom w:val="0"/>
      <w:divBdr>
        <w:top w:val="none" w:sz="0" w:space="0" w:color="auto"/>
        <w:left w:val="none" w:sz="0" w:space="0" w:color="auto"/>
        <w:bottom w:val="none" w:sz="0" w:space="0" w:color="auto"/>
        <w:right w:val="none" w:sz="0" w:space="0" w:color="auto"/>
      </w:divBdr>
    </w:div>
    <w:div w:id="1007949327">
      <w:bodyDiv w:val="1"/>
      <w:marLeft w:val="0"/>
      <w:marRight w:val="0"/>
      <w:marTop w:val="0"/>
      <w:marBottom w:val="0"/>
      <w:divBdr>
        <w:top w:val="none" w:sz="0" w:space="0" w:color="auto"/>
        <w:left w:val="none" w:sz="0" w:space="0" w:color="auto"/>
        <w:bottom w:val="none" w:sz="0" w:space="0" w:color="auto"/>
        <w:right w:val="none" w:sz="0" w:space="0" w:color="auto"/>
      </w:divBdr>
    </w:div>
    <w:div w:id="1013462310">
      <w:bodyDiv w:val="1"/>
      <w:marLeft w:val="0"/>
      <w:marRight w:val="0"/>
      <w:marTop w:val="0"/>
      <w:marBottom w:val="0"/>
      <w:divBdr>
        <w:top w:val="none" w:sz="0" w:space="0" w:color="auto"/>
        <w:left w:val="none" w:sz="0" w:space="0" w:color="auto"/>
        <w:bottom w:val="none" w:sz="0" w:space="0" w:color="auto"/>
        <w:right w:val="none" w:sz="0" w:space="0" w:color="auto"/>
      </w:divBdr>
    </w:div>
    <w:div w:id="1020861150">
      <w:bodyDiv w:val="1"/>
      <w:marLeft w:val="0"/>
      <w:marRight w:val="0"/>
      <w:marTop w:val="0"/>
      <w:marBottom w:val="0"/>
      <w:divBdr>
        <w:top w:val="none" w:sz="0" w:space="0" w:color="auto"/>
        <w:left w:val="none" w:sz="0" w:space="0" w:color="auto"/>
        <w:bottom w:val="none" w:sz="0" w:space="0" w:color="auto"/>
        <w:right w:val="none" w:sz="0" w:space="0" w:color="auto"/>
      </w:divBdr>
    </w:div>
    <w:div w:id="1026832799">
      <w:bodyDiv w:val="1"/>
      <w:marLeft w:val="0"/>
      <w:marRight w:val="0"/>
      <w:marTop w:val="0"/>
      <w:marBottom w:val="0"/>
      <w:divBdr>
        <w:top w:val="none" w:sz="0" w:space="0" w:color="auto"/>
        <w:left w:val="none" w:sz="0" w:space="0" w:color="auto"/>
        <w:bottom w:val="none" w:sz="0" w:space="0" w:color="auto"/>
        <w:right w:val="none" w:sz="0" w:space="0" w:color="auto"/>
      </w:divBdr>
    </w:div>
    <w:div w:id="1027561978">
      <w:bodyDiv w:val="1"/>
      <w:marLeft w:val="0"/>
      <w:marRight w:val="0"/>
      <w:marTop w:val="0"/>
      <w:marBottom w:val="0"/>
      <w:divBdr>
        <w:top w:val="none" w:sz="0" w:space="0" w:color="auto"/>
        <w:left w:val="none" w:sz="0" w:space="0" w:color="auto"/>
        <w:bottom w:val="none" w:sz="0" w:space="0" w:color="auto"/>
        <w:right w:val="none" w:sz="0" w:space="0" w:color="auto"/>
      </w:divBdr>
    </w:div>
    <w:div w:id="1083718493">
      <w:bodyDiv w:val="1"/>
      <w:marLeft w:val="0"/>
      <w:marRight w:val="0"/>
      <w:marTop w:val="0"/>
      <w:marBottom w:val="0"/>
      <w:divBdr>
        <w:top w:val="none" w:sz="0" w:space="0" w:color="auto"/>
        <w:left w:val="none" w:sz="0" w:space="0" w:color="auto"/>
        <w:bottom w:val="none" w:sz="0" w:space="0" w:color="auto"/>
        <w:right w:val="none" w:sz="0" w:space="0" w:color="auto"/>
      </w:divBdr>
    </w:div>
    <w:div w:id="1091199747">
      <w:bodyDiv w:val="1"/>
      <w:marLeft w:val="0"/>
      <w:marRight w:val="0"/>
      <w:marTop w:val="0"/>
      <w:marBottom w:val="0"/>
      <w:divBdr>
        <w:top w:val="none" w:sz="0" w:space="0" w:color="auto"/>
        <w:left w:val="none" w:sz="0" w:space="0" w:color="auto"/>
        <w:bottom w:val="none" w:sz="0" w:space="0" w:color="auto"/>
        <w:right w:val="none" w:sz="0" w:space="0" w:color="auto"/>
      </w:divBdr>
    </w:div>
    <w:div w:id="1099518924">
      <w:bodyDiv w:val="1"/>
      <w:marLeft w:val="0"/>
      <w:marRight w:val="0"/>
      <w:marTop w:val="0"/>
      <w:marBottom w:val="0"/>
      <w:divBdr>
        <w:top w:val="none" w:sz="0" w:space="0" w:color="auto"/>
        <w:left w:val="none" w:sz="0" w:space="0" w:color="auto"/>
        <w:bottom w:val="none" w:sz="0" w:space="0" w:color="auto"/>
        <w:right w:val="none" w:sz="0" w:space="0" w:color="auto"/>
      </w:divBdr>
    </w:div>
    <w:div w:id="1144548507">
      <w:bodyDiv w:val="1"/>
      <w:marLeft w:val="0"/>
      <w:marRight w:val="0"/>
      <w:marTop w:val="0"/>
      <w:marBottom w:val="0"/>
      <w:divBdr>
        <w:top w:val="none" w:sz="0" w:space="0" w:color="auto"/>
        <w:left w:val="none" w:sz="0" w:space="0" w:color="auto"/>
        <w:bottom w:val="none" w:sz="0" w:space="0" w:color="auto"/>
        <w:right w:val="none" w:sz="0" w:space="0" w:color="auto"/>
      </w:divBdr>
    </w:div>
    <w:div w:id="1156605170">
      <w:bodyDiv w:val="1"/>
      <w:marLeft w:val="0"/>
      <w:marRight w:val="0"/>
      <w:marTop w:val="0"/>
      <w:marBottom w:val="0"/>
      <w:divBdr>
        <w:top w:val="none" w:sz="0" w:space="0" w:color="auto"/>
        <w:left w:val="none" w:sz="0" w:space="0" w:color="auto"/>
        <w:bottom w:val="none" w:sz="0" w:space="0" w:color="auto"/>
        <w:right w:val="none" w:sz="0" w:space="0" w:color="auto"/>
      </w:divBdr>
      <w:divsChild>
        <w:div w:id="298341753">
          <w:marLeft w:val="0"/>
          <w:marRight w:val="0"/>
          <w:marTop w:val="0"/>
          <w:marBottom w:val="0"/>
          <w:divBdr>
            <w:top w:val="none" w:sz="0" w:space="0" w:color="auto"/>
            <w:left w:val="none" w:sz="0" w:space="0" w:color="auto"/>
            <w:bottom w:val="none" w:sz="0" w:space="0" w:color="auto"/>
            <w:right w:val="none" w:sz="0" w:space="0" w:color="auto"/>
          </w:divBdr>
          <w:divsChild>
            <w:div w:id="403069812">
              <w:marLeft w:val="-240"/>
              <w:marRight w:val="0"/>
              <w:marTop w:val="0"/>
              <w:marBottom w:val="0"/>
              <w:divBdr>
                <w:top w:val="none" w:sz="0" w:space="0" w:color="auto"/>
                <w:left w:val="none" w:sz="0" w:space="0" w:color="auto"/>
                <w:bottom w:val="none" w:sz="0" w:space="0" w:color="auto"/>
                <w:right w:val="none" w:sz="0" w:space="0" w:color="auto"/>
              </w:divBdr>
              <w:divsChild>
                <w:div w:id="212624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2030">
      <w:bodyDiv w:val="1"/>
      <w:marLeft w:val="0"/>
      <w:marRight w:val="0"/>
      <w:marTop w:val="0"/>
      <w:marBottom w:val="0"/>
      <w:divBdr>
        <w:top w:val="none" w:sz="0" w:space="0" w:color="auto"/>
        <w:left w:val="none" w:sz="0" w:space="0" w:color="auto"/>
        <w:bottom w:val="none" w:sz="0" w:space="0" w:color="auto"/>
        <w:right w:val="none" w:sz="0" w:space="0" w:color="auto"/>
      </w:divBdr>
    </w:div>
    <w:div w:id="1165054065">
      <w:bodyDiv w:val="1"/>
      <w:marLeft w:val="0"/>
      <w:marRight w:val="0"/>
      <w:marTop w:val="0"/>
      <w:marBottom w:val="0"/>
      <w:divBdr>
        <w:top w:val="none" w:sz="0" w:space="0" w:color="auto"/>
        <w:left w:val="none" w:sz="0" w:space="0" w:color="auto"/>
        <w:bottom w:val="none" w:sz="0" w:space="0" w:color="auto"/>
        <w:right w:val="none" w:sz="0" w:space="0" w:color="auto"/>
      </w:divBdr>
    </w:div>
    <w:div w:id="1165366168">
      <w:bodyDiv w:val="1"/>
      <w:marLeft w:val="0"/>
      <w:marRight w:val="0"/>
      <w:marTop w:val="0"/>
      <w:marBottom w:val="0"/>
      <w:divBdr>
        <w:top w:val="none" w:sz="0" w:space="0" w:color="auto"/>
        <w:left w:val="none" w:sz="0" w:space="0" w:color="auto"/>
        <w:bottom w:val="none" w:sz="0" w:space="0" w:color="auto"/>
        <w:right w:val="none" w:sz="0" w:space="0" w:color="auto"/>
      </w:divBdr>
    </w:div>
    <w:div w:id="1183324802">
      <w:bodyDiv w:val="1"/>
      <w:marLeft w:val="0"/>
      <w:marRight w:val="0"/>
      <w:marTop w:val="0"/>
      <w:marBottom w:val="0"/>
      <w:divBdr>
        <w:top w:val="none" w:sz="0" w:space="0" w:color="auto"/>
        <w:left w:val="none" w:sz="0" w:space="0" w:color="auto"/>
        <w:bottom w:val="none" w:sz="0" w:space="0" w:color="auto"/>
        <w:right w:val="none" w:sz="0" w:space="0" w:color="auto"/>
      </w:divBdr>
    </w:div>
    <w:div w:id="1188060029">
      <w:bodyDiv w:val="1"/>
      <w:marLeft w:val="0"/>
      <w:marRight w:val="0"/>
      <w:marTop w:val="0"/>
      <w:marBottom w:val="0"/>
      <w:divBdr>
        <w:top w:val="none" w:sz="0" w:space="0" w:color="auto"/>
        <w:left w:val="none" w:sz="0" w:space="0" w:color="auto"/>
        <w:bottom w:val="none" w:sz="0" w:space="0" w:color="auto"/>
        <w:right w:val="none" w:sz="0" w:space="0" w:color="auto"/>
      </w:divBdr>
    </w:div>
    <w:div w:id="1189493309">
      <w:bodyDiv w:val="1"/>
      <w:marLeft w:val="0"/>
      <w:marRight w:val="0"/>
      <w:marTop w:val="0"/>
      <w:marBottom w:val="0"/>
      <w:divBdr>
        <w:top w:val="none" w:sz="0" w:space="0" w:color="auto"/>
        <w:left w:val="none" w:sz="0" w:space="0" w:color="auto"/>
        <w:bottom w:val="none" w:sz="0" w:space="0" w:color="auto"/>
        <w:right w:val="none" w:sz="0" w:space="0" w:color="auto"/>
      </w:divBdr>
    </w:div>
    <w:div w:id="1195849308">
      <w:bodyDiv w:val="1"/>
      <w:marLeft w:val="0"/>
      <w:marRight w:val="0"/>
      <w:marTop w:val="0"/>
      <w:marBottom w:val="0"/>
      <w:divBdr>
        <w:top w:val="none" w:sz="0" w:space="0" w:color="auto"/>
        <w:left w:val="none" w:sz="0" w:space="0" w:color="auto"/>
        <w:bottom w:val="none" w:sz="0" w:space="0" w:color="auto"/>
        <w:right w:val="none" w:sz="0" w:space="0" w:color="auto"/>
      </w:divBdr>
    </w:div>
    <w:div w:id="1200357863">
      <w:bodyDiv w:val="1"/>
      <w:marLeft w:val="0"/>
      <w:marRight w:val="0"/>
      <w:marTop w:val="0"/>
      <w:marBottom w:val="0"/>
      <w:divBdr>
        <w:top w:val="none" w:sz="0" w:space="0" w:color="auto"/>
        <w:left w:val="none" w:sz="0" w:space="0" w:color="auto"/>
        <w:bottom w:val="none" w:sz="0" w:space="0" w:color="auto"/>
        <w:right w:val="none" w:sz="0" w:space="0" w:color="auto"/>
      </w:divBdr>
    </w:div>
    <w:div w:id="1206453587">
      <w:bodyDiv w:val="1"/>
      <w:marLeft w:val="0"/>
      <w:marRight w:val="0"/>
      <w:marTop w:val="0"/>
      <w:marBottom w:val="0"/>
      <w:divBdr>
        <w:top w:val="none" w:sz="0" w:space="0" w:color="auto"/>
        <w:left w:val="none" w:sz="0" w:space="0" w:color="auto"/>
        <w:bottom w:val="none" w:sz="0" w:space="0" w:color="auto"/>
        <w:right w:val="none" w:sz="0" w:space="0" w:color="auto"/>
      </w:divBdr>
    </w:div>
    <w:div w:id="1208644875">
      <w:bodyDiv w:val="1"/>
      <w:marLeft w:val="0"/>
      <w:marRight w:val="0"/>
      <w:marTop w:val="0"/>
      <w:marBottom w:val="0"/>
      <w:divBdr>
        <w:top w:val="none" w:sz="0" w:space="0" w:color="auto"/>
        <w:left w:val="none" w:sz="0" w:space="0" w:color="auto"/>
        <w:bottom w:val="none" w:sz="0" w:space="0" w:color="auto"/>
        <w:right w:val="none" w:sz="0" w:space="0" w:color="auto"/>
      </w:divBdr>
    </w:div>
    <w:div w:id="1214610663">
      <w:bodyDiv w:val="1"/>
      <w:marLeft w:val="0"/>
      <w:marRight w:val="0"/>
      <w:marTop w:val="0"/>
      <w:marBottom w:val="0"/>
      <w:divBdr>
        <w:top w:val="none" w:sz="0" w:space="0" w:color="auto"/>
        <w:left w:val="none" w:sz="0" w:space="0" w:color="auto"/>
        <w:bottom w:val="none" w:sz="0" w:space="0" w:color="auto"/>
        <w:right w:val="none" w:sz="0" w:space="0" w:color="auto"/>
      </w:divBdr>
    </w:div>
    <w:div w:id="1223441839">
      <w:bodyDiv w:val="1"/>
      <w:marLeft w:val="0"/>
      <w:marRight w:val="0"/>
      <w:marTop w:val="0"/>
      <w:marBottom w:val="0"/>
      <w:divBdr>
        <w:top w:val="none" w:sz="0" w:space="0" w:color="auto"/>
        <w:left w:val="none" w:sz="0" w:space="0" w:color="auto"/>
        <w:bottom w:val="none" w:sz="0" w:space="0" w:color="auto"/>
        <w:right w:val="none" w:sz="0" w:space="0" w:color="auto"/>
      </w:divBdr>
    </w:div>
    <w:div w:id="1250306193">
      <w:bodyDiv w:val="1"/>
      <w:marLeft w:val="0"/>
      <w:marRight w:val="0"/>
      <w:marTop w:val="0"/>
      <w:marBottom w:val="0"/>
      <w:divBdr>
        <w:top w:val="none" w:sz="0" w:space="0" w:color="auto"/>
        <w:left w:val="none" w:sz="0" w:space="0" w:color="auto"/>
        <w:bottom w:val="none" w:sz="0" w:space="0" w:color="auto"/>
        <w:right w:val="none" w:sz="0" w:space="0" w:color="auto"/>
      </w:divBdr>
    </w:div>
    <w:div w:id="1258948350">
      <w:bodyDiv w:val="1"/>
      <w:marLeft w:val="0"/>
      <w:marRight w:val="0"/>
      <w:marTop w:val="0"/>
      <w:marBottom w:val="0"/>
      <w:divBdr>
        <w:top w:val="none" w:sz="0" w:space="0" w:color="auto"/>
        <w:left w:val="none" w:sz="0" w:space="0" w:color="auto"/>
        <w:bottom w:val="none" w:sz="0" w:space="0" w:color="auto"/>
        <w:right w:val="none" w:sz="0" w:space="0" w:color="auto"/>
      </w:divBdr>
    </w:div>
    <w:div w:id="1275943553">
      <w:bodyDiv w:val="1"/>
      <w:marLeft w:val="0"/>
      <w:marRight w:val="0"/>
      <w:marTop w:val="0"/>
      <w:marBottom w:val="0"/>
      <w:divBdr>
        <w:top w:val="none" w:sz="0" w:space="0" w:color="auto"/>
        <w:left w:val="none" w:sz="0" w:space="0" w:color="auto"/>
        <w:bottom w:val="none" w:sz="0" w:space="0" w:color="auto"/>
        <w:right w:val="none" w:sz="0" w:space="0" w:color="auto"/>
      </w:divBdr>
    </w:div>
    <w:div w:id="1285310389">
      <w:bodyDiv w:val="1"/>
      <w:marLeft w:val="0"/>
      <w:marRight w:val="0"/>
      <w:marTop w:val="0"/>
      <w:marBottom w:val="0"/>
      <w:divBdr>
        <w:top w:val="none" w:sz="0" w:space="0" w:color="auto"/>
        <w:left w:val="none" w:sz="0" w:space="0" w:color="auto"/>
        <w:bottom w:val="none" w:sz="0" w:space="0" w:color="auto"/>
        <w:right w:val="none" w:sz="0" w:space="0" w:color="auto"/>
      </w:divBdr>
    </w:div>
    <w:div w:id="1292395695">
      <w:bodyDiv w:val="1"/>
      <w:marLeft w:val="0"/>
      <w:marRight w:val="0"/>
      <w:marTop w:val="0"/>
      <w:marBottom w:val="0"/>
      <w:divBdr>
        <w:top w:val="none" w:sz="0" w:space="0" w:color="auto"/>
        <w:left w:val="none" w:sz="0" w:space="0" w:color="auto"/>
        <w:bottom w:val="none" w:sz="0" w:space="0" w:color="auto"/>
        <w:right w:val="none" w:sz="0" w:space="0" w:color="auto"/>
      </w:divBdr>
    </w:div>
    <w:div w:id="1302734828">
      <w:bodyDiv w:val="1"/>
      <w:marLeft w:val="0"/>
      <w:marRight w:val="0"/>
      <w:marTop w:val="0"/>
      <w:marBottom w:val="0"/>
      <w:divBdr>
        <w:top w:val="none" w:sz="0" w:space="0" w:color="auto"/>
        <w:left w:val="none" w:sz="0" w:space="0" w:color="auto"/>
        <w:bottom w:val="none" w:sz="0" w:space="0" w:color="auto"/>
        <w:right w:val="none" w:sz="0" w:space="0" w:color="auto"/>
      </w:divBdr>
    </w:div>
    <w:div w:id="1303460917">
      <w:bodyDiv w:val="1"/>
      <w:marLeft w:val="0"/>
      <w:marRight w:val="0"/>
      <w:marTop w:val="0"/>
      <w:marBottom w:val="0"/>
      <w:divBdr>
        <w:top w:val="none" w:sz="0" w:space="0" w:color="auto"/>
        <w:left w:val="none" w:sz="0" w:space="0" w:color="auto"/>
        <w:bottom w:val="none" w:sz="0" w:space="0" w:color="auto"/>
        <w:right w:val="none" w:sz="0" w:space="0" w:color="auto"/>
      </w:divBdr>
    </w:div>
    <w:div w:id="1310791281">
      <w:bodyDiv w:val="1"/>
      <w:marLeft w:val="0"/>
      <w:marRight w:val="0"/>
      <w:marTop w:val="0"/>
      <w:marBottom w:val="0"/>
      <w:divBdr>
        <w:top w:val="none" w:sz="0" w:space="0" w:color="auto"/>
        <w:left w:val="none" w:sz="0" w:space="0" w:color="auto"/>
        <w:bottom w:val="none" w:sz="0" w:space="0" w:color="auto"/>
        <w:right w:val="none" w:sz="0" w:space="0" w:color="auto"/>
      </w:divBdr>
    </w:div>
    <w:div w:id="1336570483">
      <w:bodyDiv w:val="1"/>
      <w:marLeft w:val="0"/>
      <w:marRight w:val="0"/>
      <w:marTop w:val="0"/>
      <w:marBottom w:val="0"/>
      <w:divBdr>
        <w:top w:val="none" w:sz="0" w:space="0" w:color="auto"/>
        <w:left w:val="none" w:sz="0" w:space="0" w:color="auto"/>
        <w:bottom w:val="none" w:sz="0" w:space="0" w:color="auto"/>
        <w:right w:val="none" w:sz="0" w:space="0" w:color="auto"/>
      </w:divBdr>
    </w:div>
    <w:div w:id="1351755278">
      <w:bodyDiv w:val="1"/>
      <w:marLeft w:val="0"/>
      <w:marRight w:val="0"/>
      <w:marTop w:val="0"/>
      <w:marBottom w:val="0"/>
      <w:divBdr>
        <w:top w:val="none" w:sz="0" w:space="0" w:color="auto"/>
        <w:left w:val="none" w:sz="0" w:space="0" w:color="auto"/>
        <w:bottom w:val="none" w:sz="0" w:space="0" w:color="auto"/>
        <w:right w:val="none" w:sz="0" w:space="0" w:color="auto"/>
      </w:divBdr>
    </w:div>
    <w:div w:id="1351762235">
      <w:bodyDiv w:val="1"/>
      <w:marLeft w:val="0"/>
      <w:marRight w:val="0"/>
      <w:marTop w:val="0"/>
      <w:marBottom w:val="0"/>
      <w:divBdr>
        <w:top w:val="none" w:sz="0" w:space="0" w:color="auto"/>
        <w:left w:val="none" w:sz="0" w:space="0" w:color="auto"/>
        <w:bottom w:val="none" w:sz="0" w:space="0" w:color="auto"/>
        <w:right w:val="none" w:sz="0" w:space="0" w:color="auto"/>
      </w:divBdr>
    </w:div>
    <w:div w:id="1377392627">
      <w:bodyDiv w:val="1"/>
      <w:marLeft w:val="0"/>
      <w:marRight w:val="0"/>
      <w:marTop w:val="0"/>
      <w:marBottom w:val="0"/>
      <w:divBdr>
        <w:top w:val="none" w:sz="0" w:space="0" w:color="auto"/>
        <w:left w:val="none" w:sz="0" w:space="0" w:color="auto"/>
        <w:bottom w:val="none" w:sz="0" w:space="0" w:color="auto"/>
        <w:right w:val="none" w:sz="0" w:space="0" w:color="auto"/>
      </w:divBdr>
    </w:div>
    <w:div w:id="1382174683">
      <w:bodyDiv w:val="1"/>
      <w:marLeft w:val="0"/>
      <w:marRight w:val="0"/>
      <w:marTop w:val="0"/>
      <w:marBottom w:val="0"/>
      <w:divBdr>
        <w:top w:val="none" w:sz="0" w:space="0" w:color="auto"/>
        <w:left w:val="none" w:sz="0" w:space="0" w:color="auto"/>
        <w:bottom w:val="none" w:sz="0" w:space="0" w:color="auto"/>
        <w:right w:val="none" w:sz="0" w:space="0" w:color="auto"/>
      </w:divBdr>
    </w:div>
    <w:div w:id="1397317970">
      <w:bodyDiv w:val="1"/>
      <w:marLeft w:val="0"/>
      <w:marRight w:val="0"/>
      <w:marTop w:val="0"/>
      <w:marBottom w:val="0"/>
      <w:divBdr>
        <w:top w:val="none" w:sz="0" w:space="0" w:color="auto"/>
        <w:left w:val="none" w:sz="0" w:space="0" w:color="auto"/>
        <w:bottom w:val="none" w:sz="0" w:space="0" w:color="auto"/>
        <w:right w:val="none" w:sz="0" w:space="0" w:color="auto"/>
      </w:divBdr>
    </w:div>
    <w:div w:id="1432047366">
      <w:bodyDiv w:val="1"/>
      <w:marLeft w:val="0"/>
      <w:marRight w:val="0"/>
      <w:marTop w:val="0"/>
      <w:marBottom w:val="0"/>
      <w:divBdr>
        <w:top w:val="none" w:sz="0" w:space="0" w:color="auto"/>
        <w:left w:val="none" w:sz="0" w:space="0" w:color="auto"/>
        <w:bottom w:val="none" w:sz="0" w:space="0" w:color="auto"/>
        <w:right w:val="none" w:sz="0" w:space="0" w:color="auto"/>
      </w:divBdr>
    </w:div>
    <w:div w:id="1446584205">
      <w:bodyDiv w:val="1"/>
      <w:marLeft w:val="0"/>
      <w:marRight w:val="0"/>
      <w:marTop w:val="0"/>
      <w:marBottom w:val="0"/>
      <w:divBdr>
        <w:top w:val="none" w:sz="0" w:space="0" w:color="auto"/>
        <w:left w:val="none" w:sz="0" w:space="0" w:color="auto"/>
        <w:bottom w:val="none" w:sz="0" w:space="0" w:color="auto"/>
        <w:right w:val="none" w:sz="0" w:space="0" w:color="auto"/>
      </w:divBdr>
    </w:div>
    <w:div w:id="1449541045">
      <w:bodyDiv w:val="1"/>
      <w:marLeft w:val="0"/>
      <w:marRight w:val="0"/>
      <w:marTop w:val="0"/>
      <w:marBottom w:val="0"/>
      <w:divBdr>
        <w:top w:val="none" w:sz="0" w:space="0" w:color="auto"/>
        <w:left w:val="none" w:sz="0" w:space="0" w:color="auto"/>
        <w:bottom w:val="none" w:sz="0" w:space="0" w:color="auto"/>
        <w:right w:val="none" w:sz="0" w:space="0" w:color="auto"/>
      </w:divBdr>
    </w:div>
    <w:div w:id="1452432858">
      <w:bodyDiv w:val="1"/>
      <w:marLeft w:val="0"/>
      <w:marRight w:val="0"/>
      <w:marTop w:val="0"/>
      <w:marBottom w:val="0"/>
      <w:divBdr>
        <w:top w:val="none" w:sz="0" w:space="0" w:color="auto"/>
        <w:left w:val="none" w:sz="0" w:space="0" w:color="auto"/>
        <w:bottom w:val="none" w:sz="0" w:space="0" w:color="auto"/>
        <w:right w:val="none" w:sz="0" w:space="0" w:color="auto"/>
      </w:divBdr>
    </w:div>
    <w:div w:id="1465344732">
      <w:bodyDiv w:val="1"/>
      <w:marLeft w:val="0"/>
      <w:marRight w:val="0"/>
      <w:marTop w:val="0"/>
      <w:marBottom w:val="0"/>
      <w:divBdr>
        <w:top w:val="none" w:sz="0" w:space="0" w:color="auto"/>
        <w:left w:val="none" w:sz="0" w:space="0" w:color="auto"/>
        <w:bottom w:val="none" w:sz="0" w:space="0" w:color="auto"/>
        <w:right w:val="none" w:sz="0" w:space="0" w:color="auto"/>
      </w:divBdr>
    </w:div>
    <w:div w:id="1471555748">
      <w:bodyDiv w:val="1"/>
      <w:marLeft w:val="0"/>
      <w:marRight w:val="0"/>
      <w:marTop w:val="0"/>
      <w:marBottom w:val="0"/>
      <w:divBdr>
        <w:top w:val="none" w:sz="0" w:space="0" w:color="auto"/>
        <w:left w:val="none" w:sz="0" w:space="0" w:color="auto"/>
        <w:bottom w:val="none" w:sz="0" w:space="0" w:color="auto"/>
        <w:right w:val="none" w:sz="0" w:space="0" w:color="auto"/>
      </w:divBdr>
    </w:div>
    <w:div w:id="1480460460">
      <w:bodyDiv w:val="1"/>
      <w:marLeft w:val="0"/>
      <w:marRight w:val="0"/>
      <w:marTop w:val="0"/>
      <w:marBottom w:val="0"/>
      <w:divBdr>
        <w:top w:val="none" w:sz="0" w:space="0" w:color="auto"/>
        <w:left w:val="none" w:sz="0" w:space="0" w:color="auto"/>
        <w:bottom w:val="none" w:sz="0" w:space="0" w:color="auto"/>
        <w:right w:val="none" w:sz="0" w:space="0" w:color="auto"/>
      </w:divBdr>
    </w:div>
    <w:div w:id="1501316636">
      <w:bodyDiv w:val="1"/>
      <w:marLeft w:val="0"/>
      <w:marRight w:val="0"/>
      <w:marTop w:val="0"/>
      <w:marBottom w:val="0"/>
      <w:divBdr>
        <w:top w:val="none" w:sz="0" w:space="0" w:color="auto"/>
        <w:left w:val="none" w:sz="0" w:space="0" w:color="auto"/>
        <w:bottom w:val="none" w:sz="0" w:space="0" w:color="auto"/>
        <w:right w:val="none" w:sz="0" w:space="0" w:color="auto"/>
      </w:divBdr>
    </w:div>
    <w:div w:id="1505978050">
      <w:bodyDiv w:val="1"/>
      <w:marLeft w:val="0"/>
      <w:marRight w:val="0"/>
      <w:marTop w:val="0"/>
      <w:marBottom w:val="0"/>
      <w:divBdr>
        <w:top w:val="none" w:sz="0" w:space="0" w:color="auto"/>
        <w:left w:val="none" w:sz="0" w:space="0" w:color="auto"/>
        <w:bottom w:val="none" w:sz="0" w:space="0" w:color="auto"/>
        <w:right w:val="none" w:sz="0" w:space="0" w:color="auto"/>
      </w:divBdr>
    </w:div>
    <w:div w:id="1522817244">
      <w:bodyDiv w:val="1"/>
      <w:marLeft w:val="0"/>
      <w:marRight w:val="0"/>
      <w:marTop w:val="0"/>
      <w:marBottom w:val="0"/>
      <w:divBdr>
        <w:top w:val="none" w:sz="0" w:space="0" w:color="auto"/>
        <w:left w:val="none" w:sz="0" w:space="0" w:color="auto"/>
        <w:bottom w:val="none" w:sz="0" w:space="0" w:color="auto"/>
        <w:right w:val="none" w:sz="0" w:space="0" w:color="auto"/>
      </w:divBdr>
    </w:div>
    <w:div w:id="1561361323">
      <w:bodyDiv w:val="1"/>
      <w:marLeft w:val="0"/>
      <w:marRight w:val="0"/>
      <w:marTop w:val="0"/>
      <w:marBottom w:val="0"/>
      <w:divBdr>
        <w:top w:val="none" w:sz="0" w:space="0" w:color="auto"/>
        <w:left w:val="none" w:sz="0" w:space="0" w:color="auto"/>
        <w:bottom w:val="none" w:sz="0" w:space="0" w:color="auto"/>
        <w:right w:val="none" w:sz="0" w:space="0" w:color="auto"/>
      </w:divBdr>
    </w:div>
    <w:div w:id="1563830880">
      <w:bodyDiv w:val="1"/>
      <w:marLeft w:val="0"/>
      <w:marRight w:val="0"/>
      <w:marTop w:val="0"/>
      <w:marBottom w:val="0"/>
      <w:divBdr>
        <w:top w:val="none" w:sz="0" w:space="0" w:color="auto"/>
        <w:left w:val="none" w:sz="0" w:space="0" w:color="auto"/>
        <w:bottom w:val="none" w:sz="0" w:space="0" w:color="auto"/>
        <w:right w:val="none" w:sz="0" w:space="0" w:color="auto"/>
      </w:divBdr>
    </w:div>
    <w:div w:id="1565946845">
      <w:bodyDiv w:val="1"/>
      <w:marLeft w:val="0"/>
      <w:marRight w:val="0"/>
      <w:marTop w:val="0"/>
      <w:marBottom w:val="0"/>
      <w:divBdr>
        <w:top w:val="none" w:sz="0" w:space="0" w:color="auto"/>
        <w:left w:val="none" w:sz="0" w:space="0" w:color="auto"/>
        <w:bottom w:val="none" w:sz="0" w:space="0" w:color="auto"/>
        <w:right w:val="none" w:sz="0" w:space="0" w:color="auto"/>
      </w:divBdr>
    </w:div>
    <w:div w:id="1597784671">
      <w:bodyDiv w:val="1"/>
      <w:marLeft w:val="0"/>
      <w:marRight w:val="0"/>
      <w:marTop w:val="0"/>
      <w:marBottom w:val="0"/>
      <w:divBdr>
        <w:top w:val="none" w:sz="0" w:space="0" w:color="auto"/>
        <w:left w:val="none" w:sz="0" w:space="0" w:color="auto"/>
        <w:bottom w:val="none" w:sz="0" w:space="0" w:color="auto"/>
        <w:right w:val="none" w:sz="0" w:space="0" w:color="auto"/>
      </w:divBdr>
    </w:div>
    <w:div w:id="1624074182">
      <w:bodyDiv w:val="1"/>
      <w:marLeft w:val="0"/>
      <w:marRight w:val="0"/>
      <w:marTop w:val="0"/>
      <w:marBottom w:val="0"/>
      <w:divBdr>
        <w:top w:val="none" w:sz="0" w:space="0" w:color="auto"/>
        <w:left w:val="none" w:sz="0" w:space="0" w:color="auto"/>
        <w:bottom w:val="none" w:sz="0" w:space="0" w:color="auto"/>
        <w:right w:val="none" w:sz="0" w:space="0" w:color="auto"/>
      </w:divBdr>
    </w:div>
    <w:div w:id="1683629808">
      <w:bodyDiv w:val="1"/>
      <w:marLeft w:val="0"/>
      <w:marRight w:val="0"/>
      <w:marTop w:val="0"/>
      <w:marBottom w:val="0"/>
      <w:divBdr>
        <w:top w:val="none" w:sz="0" w:space="0" w:color="auto"/>
        <w:left w:val="none" w:sz="0" w:space="0" w:color="auto"/>
        <w:bottom w:val="none" w:sz="0" w:space="0" w:color="auto"/>
        <w:right w:val="none" w:sz="0" w:space="0" w:color="auto"/>
      </w:divBdr>
    </w:div>
    <w:div w:id="1698702312">
      <w:bodyDiv w:val="1"/>
      <w:marLeft w:val="0"/>
      <w:marRight w:val="0"/>
      <w:marTop w:val="0"/>
      <w:marBottom w:val="0"/>
      <w:divBdr>
        <w:top w:val="none" w:sz="0" w:space="0" w:color="auto"/>
        <w:left w:val="none" w:sz="0" w:space="0" w:color="auto"/>
        <w:bottom w:val="none" w:sz="0" w:space="0" w:color="auto"/>
        <w:right w:val="none" w:sz="0" w:space="0" w:color="auto"/>
      </w:divBdr>
    </w:div>
    <w:div w:id="1710883128">
      <w:bodyDiv w:val="1"/>
      <w:marLeft w:val="0"/>
      <w:marRight w:val="0"/>
      <w:marTop w:val="0"/>
      <w:marBottom w:val="0"/>
      <w:divBdr>
        <w:top w:val="none" w:sz="0" w:space="0" w:color="auto"/>
        <w:left w:val="none" w:sz="0" w:space="0" w:color="auto"/>
        <w:bottom w:val="none" w:sz="0" w:space="0" w:color="auto"/>
        <w:right w:val="none" w:sz="0" w:space="0" w:color="auto"/>
      </w:divBdr>
    </w:div>
    <w:div w:id="1720474549">
      <w:bodyDiv w:val="1"/>
      <w:marLeft w:val="0"/>
      <w:marRight w:val="0"/>
      <w:marTop w:val="0"/>
      <w:marBottom w:val="0"/>
      <w:divBdr>
        <w:top w:val="none" w:sz="0" w:space="0" w:color="auto"/>
        <w:left w:val="none" w:sz="0" w:space="0" w:color="auto"/>
        <w:bottom w:val="none" w:sz="0" w:space="0" w:color="auto"/>
        <w:right w:val="none" w:sz="0" w:space="0" w:color="auto"/>
      </w:divBdr>
    </w:div>
    <w:div w:id="1738746633">
      <w:bodyDiv w:val="1"/>
      <w:marLeft w:val="0"/>
      <w:marRight w:val="0"/>
      <w:marTop w:val="0"/>
      <w:marBottom w:val="0"/>
      <w:divBdr>
        <w:top w:val="none" w:sz="0" w:space="0" w:color="auto"/>
        <w:left w:val="none" w:sz="0" w:space="0" w:color="auto"/>
        <w:bottom w:val="none" w:sz="0" w:space="0" w:color="auto"/>
        <w:right w:val="none" w:sz="0" w:space="0" w:color="auto"/>
      </w:divBdr>
    </w:div>
    <w:div w:id="1795833014">
      <w:bodyDiv w:val="1"/>
      <w:marLeft w:val="0"/>
      <w:marRight w:val="0"/>
      <w:marTop w:val="0"/>
      <w:marBottom w:val="0"/>
      <w:divBdr>
        <w:top w:val="none" w:sz="0" w:space="0" w:color="auto"/>
        <w:left w:val="none" w:sz="0" w:space="0" w:color="auto"/>
        <w:bottom w:val="none" w:sz="0" w:space="0" w:color="auto"/>
        <w:right w:val="none" w:sz="0" w:space="0" w:color="auto"/>
      </w:divBdr>
    </w:div>
    <w:div w:id="1815099362">
      <w:bodyDiv w:val="1"/>
      <w:marLeft w:val="0"/>
      <w:marRight w:val="0"/>
      <w:marTop w:val="0"/>
      <w:marBottom w:val="0"/>
      <w:divBdr>
        <w:top w:val="none" w:sz="0" w:space="0" w:color="auto"/>
        <w:left w:val="none" w:sz="0" w:space="0" w:color="auto"/>
        <w:bottom w:val="none" w:sz="0" w:space="0" w:color="auto"/>
        <w:right w:val="none" w:sz="0" w:space="0" w:color="auto"/>
      </w:divBdr>
    </w:div>
    <w:div w:id="1822383907">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839955025">
      <w:bodyDiv w:val="1"/>
      <w:marLeft w:val="0"/>
      <w:marRight w:val="0"/>
      <w:marTop w:val="0"/>
      <w:marBottom w:val="0"/>
      <w:divBdr>
        <w:top w:val="none" w:sz="0" w:space="0" w:color="auto"/>
        <w:left w:val="none" w:sz="0" w:space="0" w:color="auto"/>
        <w:bottom w:val="none" w:sz="0" w:space="0" w:color="auto"/>
        <w:right w:val="none" w:sz="0" w:space="0" w:color="auto"/>
      </w:divBdr>
    </w:div>
    <w:div w:id="1919360124">
      <w:bodyDiv w:val="1"/>
      <w:marLeft w:val="0"/>
      <w:marRight w:val="0"/>
      <w:marTop w:val="0"/>
      <w:marBottom w:val="0"/>
      <w:divBdr>
        <w:top w:val="none" w:sz="0" w:space="0" w:color="auto"/>
        <w:left w:val="none" w:sz="0" w:space="0" w:color="auto"/>
        <w:bottom w:val="none" w:sz="0" w:space="0" w:color="auto"/>
        <w:right w:val="none" w:sz="0" w:space="0" w:color="auto"/>
      </w:divBdr>
    </w:div>
    <w:div w:id="1919896413">
      <w:bodyDiv w:val="1"/>
      <w:marLeft w:val="0"/>
      <w:marRight w:val="0"/>
      <w:marTop w:val="0"/>
      <w:marBottom w:val="0"/>
      <w:divBdr>
        <w:top w:val="none" w:sz="0" w:space="0" w:color="auto"/>
        <w:left w:val="none" w:sz="0" w:space="0" w:color="auto"/>
        <w:bottom w:val="none" w:sz="0" w:space="0" w:color="auto"/>
        <w:right w:val="none" w:sz="0" w:space="0" w:color="auto"/>
      </w:divBdr>
    </w:div>
    <w:div w:id="1926574440">
      <w:bodyDiv w:val="1"/>
      <w:marLeft w:val="0"/>
      <w:marRight w:val="0"/>
      <w:marTop w:val="0"/>
      <w:marBottom w:val="0"/>
      <w:divBdr>
        <w:top w:val="none" w:sz="0" w:space="0" w:color="auto"/>
        <w:left w:val="none" w:sz="0" w:space="0" w:color="auto"/>
        <w:bottom w:val="none" w:sz="0" w:space="0" w:color="auto"/>
        <w:right w:val="none" w:sz="0" w:space="0" w:color="auto"/>
      </w:divBdr>
    </w:div>
    <w:div w:id="1927807172">
      <w:bodyDiv w:val="1"/>
      <w:marLeft w:val="0"/>
      <w:marRight w:val="0"/>
      <w:marTop w:val="0"/>
      <w:marBottom w:val="0"/>
      <w:divBdr>
        <w:top w:val="none" w:sz="0" w:space="0" w:color="auto"/>
        <w:left w:val="none" w:sz="0" w:space="0" w:color="auto"/>
        <w:bottom w:val="none" w:sz="0" w:space="0" w:color="auto"/>
        <w:right w:val="none" w:sz="0" w:space="0" w:color="auto"/>
      </w:divBdr>
    </w:div>
    <w:div w:id="1934123982">
      <w:bodyDiv w:val="1"/>
      <w:marLeft w:val="0"/>
      <w:marRight w:val="0"/>
      <w:marTop w:val="0"/>
      <w:marBottom w:val="0"/>
      <w:divBdr>
        <w:top w:val="none" w:sz="0" w:space="0" w:color="auto"/>
        <w:left w:val="none" w:sz="0" w:space="0" w:color="auto"/>
        <w:bottom w:val="none" w:sz="0" w:space="0" w:color="auto"/>
        <w:right w:val="none" w:sz="0" w:space="0" w:color="auto"/>
      </w:divBdr>
    </w:div>
    <w:div w:id="1948656945">
      <w:bodyDiv w:val="1"/>
      <w:marLeft w:val="0"/>
      <w:marRight w:val="0"/>
      <w:marTop w:val="0"/>
      <w:marBottom w:val="0"/>
      <w:divBdr>
        <w:top w:val="none" w:sz="0" w:space="0" w:color="auto"/>
        <w:left w:val="none" w:sz="0" w:space="0" w:color="auto"/>
        <w:bottom w:val="none" w:sz="0" w:space="0" w:color="auto"/>
        <w:right w:val="none" w:sz="0" w:space="0" w:color="auto"/>
      </w:divBdr>
    </w:div>
    <w:div w:id="1955019339">
      <w:bodyDiv w:val="1"/>
      <w:marLeft w:val="0"/>
      <w:marRight w:val="0"/>
      <w:marTop w:val="0"/>
      <w:marBottom w:val="0"/>
      <w:divBdr>
        <w:top w:val="none" w:sz="0" w:space="0" w:color="auto"/>
        <w:left w:val="none" w:sz="0" w:space="0" w:color="auto"/>
        <w:bottom w:val="none" w:sz="0" w:space="0" w:color="auto"/>
        <w:right w:val="none" w:sz="0" w:space="0" w:color="auto"/>
      </w:divBdr>
    </w:div>
    <w:div w:id="1960643735">
      <w:bodyDiv w:val="1"/>
      <w:marLeft w:val="0"/>
      <w:marRight w:val="0"/>
      <w:marTop w:val="0"/>
      <w:marBottom w:val="0"/>
      <w:divBdr>
        <w:top w:val="none" w:sz="0" w:space="0" w:color="auto"/>
        <w:left w:val="none" w:sz="0" w:space="0" w:color="auto"/>
        <w:bottom w:val="none" w:sz="0" w:space="0" w:color="auto"/>
        <w:right w:val="none" w:sz="0" w:space="0" w:color="auto"/>
      </w:divBdr>
    </w:div>
    <w:div w:id="1965040974">
      <w:bodyDiv w:val="1"/>
      <w:marLeft w:val="0"/>
      <w:marRight w:val="0"/>
      <w:marTop w:val="0"/>
      <w:marBottom w:val="0"/>
      <w:divBdr>
        <w:top w:val="none" w:sz="0" w:space="0" w:color="auto"/>
        <w:left w:val="none" w:sz="0" w:space="0" w:color="auto"/>
        <w:bottom w:val="none" w:sz="0" w:space="0" w:color="auto"/>
        <w:right w:val="none" w:sz="0" w:space="0" w:color="auto"/>
      </w:divBdr>
    </w:div>
    <w:div w:id="1984844379">
      <w:bodyDiv w:val="1"/>
      <w:marLeft w:val="0"/>
      <w:marRight w:val="0"/>
      <w:marTop w:val="0"/>
      <w:marBottom w:val="0"/>
      <w:divBdr>
        <w:top w:val="none" w:sz="0" w:space="0" w:color="auto"/>
        <w:left w:val="none" w:sz="0" w:space="0" w:color="auto"/>
        <w:bottom w:val="none" w:sz="0" w:space="0" w:color="auto"/>
        <w:right w:val="none" w:sz="0" w:space="0" w:color="auto"/>
      </w:divBdr>
    </w:div>
    <w:div w:id="1992370756">
      <w:bodyDiv w:val="1"/>
      <w:marLeft w:val="0"/>
      <w:marRight w:val="0"/>
      <w:marTop w:val="0"/>
      <w:marBottom w:val="0"/>
      <w:divBdr>
        <w:top w:val="none" w:sz="0" w:space="0" w:color="auto"/>
        <w:left w:val="none" w:sz="0" w:space="0" w:color="auto"/>
        <w:bottom w:val="none" w:sz="0" w:space="0" w:color="auto"/>
        <w:right w:val="none" w:sz="0" w:space="0" w:color="auto"/>
      </w:divBdr>
    </w:div>
    <w:div w:id="2000378296">
      <w:bodyDiv w:val="1"/>
      <w:marLeft w:val="0"/>
      <w:marRight w:val="0"/>
      <w:marTop w:val="0"/>
      <w:marBottom w:val="0"/>
      <w:divBdr>
        <w:top w:val="none" w:sz="0" w:space="0" w:color="auto"/>
        <w:left w:val="none" w:sz="0" w:space="0" w:color="auto"/>
        <w:bottom w:val="none" w:sz="0" w:space="0" w:color="auto"/>
        <w:right w:val="none" w:sz="0" w:space="0" w:color="auto"/>
      </w:divBdr>
    </w:div>
    <w:div w:id="2061976231">
      <w:bodyDiv w:val="1"/>
      <w:marLeft w:val="0"/>
      <w:marRight w:val="0"/>
      <w:marTop w:val="0"/>
      <w:marBottom w:val="0"/>
      <w:divBdr>
        <w:top w:val="none" w:sz="0" w:space="0" w:color="auto"/>
        <w:left w:val="none" w:sz="0" w:space="0" w:color="auto"/>
        <w:bottom w:val="none" w:sz="0" w:space="0" w:color="auto"/>
        <w:right w:val="none" w:sz="0" w:space="0" w:color="auto"/>
      </w:divBdr>
    </w:div>
    <w:div w:id="2086342821">
      <w:bodyDiv w:val="1"/>
      <w:marLeft w:val="0"/>
      <w:marRight w:val="0"/>
      <w:marTop w:val="0"/>
      <w:marBottom w:val="0"/>
      <w:divBdr>
        <w:top w:val="none" w:sz="0" w:space="0" w:color="auto"/>
        <w:left w:val="none" w:sz="0" w:space="0" w:color="auto"/>
        <w:bottom w:val="none" w:sz="0" w:space="0" w:color="auto"/>
        <w:right w:val="none" w:sz="0" w:space="0" w:color="auto"/>
      </w:divBdr>
    </w:div>
    <w:div w:id="2100443138">
      <w:bodyDiv w:val="1"/>
      <w:marLeft w:val="0"/>
      <w:marRight w:val="0"/>
      <w:marTop w:val="0"/>
      <w:marBottom w:val="0"/>
      <w:divBdr>
        <w:top w:val="none" w:sz="0" w:space="0" w:color="auto"/>
        <w:left w:val="none" w:sz="0" w:space="0" w:color="auto"/>
        <w:bottom w:val="none" w:sz="0" w:space="0" w:color="auto"/>
        <w:right w:val="none" w:sz="0" w:space="0" w:color="auto"/>
      </w:divBdr>
    </w:div>
    <w:div w:id="211558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xtractive-industries-transparency-initiativ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pga/2015/26/contents/enacted" TargetMode="External"/><Relationship Id="rId2" Type="http://schemas.openxmlformats.org/officeDocument/2006/relationships/hyperlink" Target="https://www.gov.uk/government/consultations/eu-accounting-directive-smaller-companies-reporting" TargetMode="External"/><Relationship Id="rId1" Type="http://schemas.openxmlformats.org/officeDocument/2006/relationships/hyperlink" Target="http://www.legislation.gov.uk/uksi/2014/3209/contents/made" TargetMode="External"/><Relationship Id="rId4" Type="http://schemas.openxmlformats.org/officeDocument/2006/relationships/hyperlink" Target="http://download.companieshouse.gov.uk/en_psc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A711-5247-422D-A822-4EB3A9C1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1979</Words>
  <Characters>11283</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UK Extractives Industries Transparency Initiative (EITI) Report for 2016</vt:lpstr>
      <vt:lpstr>UK Extractives Industries Transparency Initiative (EITI) Report for 2016</vt:lpstr>
    </vt:vector>
  </TitlesOfParts>
  <Company>BIS</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Extractives Industries Transparency Initiative (EITI) Report for 2016</dc:title>
  <dc:creator>UK EITI MSG</dc:creator>
  <cp:lastModifiedBy>Nash, Michael (Business Frameworks)</cp:lastModifiedBy>
  <cp:revision>2</cp:revision>
  <cp:lastPrinted>2018-10-05T07:20:00Z</cp:lastPrinted>
  <dcterms:created xsi:type="dcterms:W3CDTF">2020-03-19T15:43:00Z</dcterms:created>
  <dcterms:modified xsi:type="dcterms:W3CDTF">2020-03-19T15:43:00Z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2020-03-19T15:42:41Z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7577f8c0-3ca7-49cb-acf9-0000129e8171</vt:lpwstr>
  </property>
  <property fmtid="{D5CDD505-2E9C-101B-9397-08002B2CF9AE}" pid="8" name="MSIP_Label_ba62f585-b40f-4ab9-bafe-39150f03d124_ContentBits">
    <vt:lpwstr>0</vt:lpwstr>
  </property>
</Properties>
</file>