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76AAA" w14:textId="3DA76430" w:rsidR="00243255" w:rsidRPr="0081318C" w:rsidRDefault="003E2297" w:rsidP="00E0694A">
      <w:pPr>
        <w:pStyle w:val="Heading1"/>
        <w:keepNext w:val="0"/>
        <w:keepLines w:val="0"/>
        <w:pageBreakBefore/>
        <w:numPr>
          <w:ilvl w:val="0"/>
          <w:numId w:val="42"/>
        </w:numPr>
        <w:shd w:val="clear" w:color="auto" w:fill="1F4E79"/>
        <w:tabs>
          <w:tab w:val="clear" w:pos="567"/>
        </w:tabs>
        <w:spacing w:line="276" w:lineRule="auto"/>
        <w:ind w:left="567" w:hanging="567"/>
        <w:rPr>
          <w:rFonts w:cs="Arial"/>
          <w:szCs w:val="24"/>
        </w:rPr>
      </w:pPr>
      <w:bookmarkStart w:id="0" w:name="_Toc513063206"/>
      <w:r>
        <w:rPr>
          <w:rFonts w:cs="Arial"/>
          <w:szCs w:val="24"/>
          <w:lang w:val="en-GB"/>
        </w:rPr>
        <w:t xml:space="preserve">BACKGROUND INFORMATION ON </w:t>
      </w:r>
      <w:r w:rsidR="00243255" w:rsidRPr="00E0694A">
        <w:rPr>
          <w:rFonts w:cs="Arial"/>
          <w:szCs w:val="24"/>
          <w:lang w:val="en-GB"/>
        </w:rPr>
        <w:t>Oil and Gas</w:t>
      </w:r>
      <w:bookmarkEnd w:id="0"/>
    </w:p>
    <w:p w14:paraId="7CE4548B" w14:textId="77777777" w:rsidR="001134D4" w:rsidRDefault="001134D4" w:rsidP="00E0694A">
      <w:pPr>
        <w:pStyle w:val="Heading3"/>
        <w:keepNext/>
        <w:spacing w:after="0"/>
        <w:ind w:left="1225"/>
        <w:jc w:val="left"/>
        <w:rPr>
          <w:sz w:val="24"/>
          <w:szCs w:val="24"/>
        </w:rPr>
      </w:pPr>
    </w:p>
    <w:p w14:paraId="5F43DAD7" w14:textId="7534927A" w:rsidR="00243255" w:rsidRPr="003A7719" w:rsidRDefault="00752DFB"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7119B8">
        <w:rPr>
          <w:rFonts w:cs="Arial"/>
          <w:szCs w:val="24"/>
        </w:rPr>
        <w:t>Background and recent developments</w:t>
      </w:r>
    </w:p>
    <w:p w14:paraId="492F5747" w14:textId="570ECE2E" w:rsidR="00243255" w:rsidRPr="007A5FDE" w:rsidRDefault="00350285" w:rsidP="00243255">
      <w:pPr>
        <w:pStyle w:val="Default"/>
        <w:spacing w:after="180" w:line="276" w:lineRule="auto"/>
        <w:rPr>
          <w:rFonts w:ascii="Arial" w:hAnsi="Arial" w:cs="Arial"/>
          <w:color w:val="auto"/>
        </w:rPr>
      </w:pPr>
      <w:r w:rsidRPr="007A5FDE">
        <w:rPr>
          <w:rFonts w:ascii="Arial" w:hAnsi="Arial" w:cs="Arial"/>
          <w:color w:val="auto"/>
        </w:rPr>
        <w:t>T</w:t>
      </w:r>
      <w:r w:rsidR="00243255" w:rsidRPr="007A5FDE">
        <w:rPr>
          <w:rFonts w:ascii="Arial" w:hAnsi="Arial" w:cs="Arial"/>
          <w:color w:val="auto"/>
        </w:rPr>
        <w:t xml:space="preserve">he UK’s oil and gas </w:t>
      </w:r>
      <w:r w:rsidRPr="007A5FDE">
        <w:rPr>
          <w:rFonts w:ascii="Arial" w:hAnsi="Arial" w:cs="Arial"/>
          <w:color w:val="auto"/>
        </w:rPr>
        <w:t xml:space="preserve">sector </w:t>
      </w:r>
      <w:r w:rsidR="00243255" w:rsidRPr="007A5FDE">
        <w:rPr>
          <w:rFonts w:ascii="Arial" w:hAnsi="Arial" w:cs="Arial"/>
          <w:color w:val="auto"/>
        </w:rPr>
        <w:t>is dominated by production from offshore areas, which account for virtually all of UK output.</w:t>
      </w:r>
      <w:r w:rsidR="00243255" w:rsidRPr="007A5FDE">
        <w:rPr>
          <w:rFonts w:ascii="Arial" w:hAnsi="Arial" w:cs="Arial"/>
          <w:color w:val="auto"/>
          <w:vertAlign w:val="superscript"/>
        </w:rPr>
        <w:footnoteReference w:id="2"/>
      </w:r>
      <w:r w:rsidR="00243255" w:rsidRPr="007A5FDE">
        <w:rPr>
          <w:rFonts w:ascii="Arial" w:hAnsi="Arial" w:cs="Arial"/>
          <w:color w:val="auto"/>
        </w:rPr>
        <w:t xml:space="preserve"> Production of natural gas began in 1967 with the West Sole field in the Southern North Sea. Offshore oil production began with the Argyll field in the Central North Sea (CNS) in 1975.</w:t>
      </w:r>
      <w:r w:rsidR="00752DFB" w:rsidRPr="007A5FDE">
        <w:rPr>
          <w:rFonts w:ascii="Arial" w:hAnsi="Arial" w:cs="Arial"/>
          <w:color w:val="auto"/>
        </w:rPr>
        <w:t xml:space="preserve"> At the start of the industry in the 1960s and 1970s production was dominated by a small number of very large fields, such as </w:t>
      </w:r>
      <w:r w:rsidR="0011625F" w:rsidRPr="007A5FDE">
        <w:rPr>
          <w:rFonts w:ascii="Arial" w:hAnsi="Arial" w:cs="Arial"/>
          <w:color w:val="auto"/>
        </w:rPr>
        <w:t xml:space="preserve">Inde, Leman, </w:t>
      </w:r>
      <w:r w:rsidR="00752DFB" w:rsidRPr="007A5FDE">
        <w:rPr>
          <w:rFonts w:ascii="Arial" w:hAnsi="Arial" w:cs="Arial"/>
          <w:color w:val="auto"/>
        </w:rPr>
        <w:t>Forties, Brent</w:t>
      </w:r>
      <w:r w:rsidR="006C3FDE" w:rsidRPr="007A5FDE">
        <w:rPr>
          <w:rFonts w:ascii="Arial" w:hAnsi="Arial" w:cs="Arial"/>
          <w:color w:val="auto"/>
        </w:rPr>
        <w:t>,</w:t>
      </w:r>
      <w:r w:rsidR="00752DFB" w:rsidRPr="007A5FDE">
        <w:rPr>
          <w:rFonts w:ascii="Arial" w:hAnsi="Arial" w:cs="Arial"/>
          <w:color w:val="auto"/>
        </w:rPr>
        <w:t xml:space="preserve"> Ninian and Piper</w:t>
      </w:r>
      <w:r w:rsidR="00D2106A">
        <w:rPr>
          <w:rFonts w:ascii="Arial" w:hAnsi="Arial" w:cs="Arial"/>
          <w:color w:val="auto"/>
        </w:rPr>
        <w:t xml:space="preserve">. That era also saw </w:t>
      </w:r>
      <w:r w:rsidR="00752DFB" w:rsidRPr="007A5FDE">
        <w:rPr>
          <w:rFonts w:ascii="Arial" w:hAnsi="Arial" w:cs="Arial"/>
          <w:color w:val="auto"/>
        </w:rPr>
        <w:t xml:space="preserve">the development of </w:t>
      </w:r>
      <w:r w:rsidR="001234CF">
        <w:rPr>
          <w:rFonts w:ascii="Arial" w:hAnsi="Arial" w:cs="Arial"/>
          <w:color w:val="auto"/>
        </w:rPr>
        <w:t xml:space="preserve">a number of </w:t>
      </w:r>
      <w:r w:rsidR="00752DFB" w:rsidRPr="007A5FDE">
        <w:rPr>
          <w:rFonts w:ascii="Arial" w:hAnsi="Arial" w:cs="Arial"/>
          <w:color w:val="auto"/>
        </w:rPr>
        <w:t xml:space="preserve">key offshore pipelines. UKCS production now comes from </w:t>
      </w:r>
      <w:r w:rsidR="003148DB" w:rsidRPr="007A5FDE">
        <w:rPr>
          <w:rFonts w:ascii="Arial" w:hAnsi="Arial" w:cs="Arial"/>
          <w:color w:val="auto"/>
        </w:rPr>
        <w:t xml:space="preserve">over 300 predominantly small fields and others that are much more technically complex to produce from, both of which tend to increase unit development and production costs. By </w:t>
      </w:r>
      <w:r w:rsidR="001234CF">
        <w:rPr>
          <w:rFonts w:ascii="Arial" w:hAnsi="Arial" w:cs="Arial"/>
          <w:color w:val="auto"/>
        </w:rPr>
        <w:t xml:space="preserve">the end of </w:t>
      </w:r>
      <w:r w:rsidR="003148DB" w:rsidRPr="007A5FDE">
        <w:rPr>
          <w:rFonts w:ascii="Arial" w:hAnsi="Arial" w:cs="Arial"/>
          <w:color w:val="auto"/>
        </w:rPr>
        <w:t>201</w:t>
      </w:r>
      <w:r w:rsidR="001234CF">
        <w:rPr>
          <w:rFonts w:ascii="Arial" w:hAnsi="Arial" w:cs="Arial"/>
          <w:color w:val="auto"/>
        </w:rPr>
        <w:t>7</w:t>
      </w:r>
      <w:r w:rsidR="003148DB" w:rsidRPr="007A5FDE">
        <w:rPr>
          <w:rFonts w:ascii="Arial" w:hAnsi="Arial" w:cs="Arial"/>
          <w:color w:val="auto"/>
        </w:rPr>
        <w:t>, more than 4</w:t>
      </w:r>
      <w:r w:rsidR="001234CF">
        <w:rPr>
          <w:rFonts w:ascii="Arial" w:hAnsi="Arial" w:cs="Arial"/>
          <w:color w:val="auto"/>
        </w:rPr>
        <w:t>4</w:t>
      </w:r>
      <w:r w:rsidR="003148DB" w:rsidRPr="007A5FDE">
        <w:rPr>
          <w:rFonts w:ascii="Arial" w:hAnsi="Arial" w:cs="Arial"/>
          <w:color w:val="auto"/>
        </w:rPr>
        <w:t xml:space="preserve"> billion barrels of oil equivalent </w:t>
      </w:r>
      <w:r w:rsidR="0011625F" w:rsidRPr="007A5FDE">
        <w:rPr>
          <w:rFonts w:ascii="Arial" w:hAnsi="Arial" w:cs="Arial"/>
          <w:color w:val="auto"/>
        </w:rPr>
        <w:t xml:space="preserve">(boe) </w:t>
      </w:r>
      <w:r w:rsidR="001234CF">
        <w:rPr>
          <w:rFonts w:ascii="Arial" w:hAnsi="Arial" w:cs="Arial"/>
          <w:color w:val="auto"/>
        </w:rPr>
        <w:t xml:space="preserve">had </w:t>
      </w:r>
      <w:r w:rsidR="003148DB" w:rsidRPr="007A5FDE">
        <w:rPr>
          <w:rFonts w:ascii="Arial" w:hAnsi="Arial" w:cs="Arial"/>
          <w:color w:val="auto"/>
        </w:rPr>
        <w:t>been recovered from the UK Continental Shelf (UKCS).</w:t>
      </w:r>
      <w:r w:rsidR="006D4C5E" w:rsidRPr="007A5FDE">
        <w:rPr>
          <w:rFonts w:ascii="Arial" w:hAnsi="Arial" w:cs="Arial"/>
          <w:color w:val="auto"/>
        </w:rPr>
        <w:t xml:space="preserve"> </w:t>
      </w:r>
      <w:r w:rsidR="003148DB" w:rsidRPr="007A5FDE">
        <w:rPr>
          <w:rFonts w:ascii="Arial" w:hAnsi="Arial" w:cs="Arial"/>
          <w:color w:val="auto"/>
        </w:rPr>
        <w:t xml:space="preserve">The OGA estimates that a further 10 to 20 billion </w:t>
      </w:r>
      <w:r w:rsidR="000F6511" w:rsidRPr="007A5FDE">
        <w:rPr>
          <w:rFonts w:ascii="Arial" w:hAnsi="Arial" w:cs="Arial"/>
          <w:color w:val="auto"/>
        </w:rPr>
        <w:t>boe</w:t>
      </w:r>
      <w:r w:rsidR="0011625F" w:rsidRPr="007A5FDE">
        <w:rPr>
          <w:rFonts w:ascii="Arial" w:hAnsi="Arial" w:cs="Arial"/>
          <w:color w:val="auto"/>
        </w:rPr>
        <w:t xml:space="preserve"> could </w:t>
      </w:r>
      <w:r w:rsidR="003148DB" w:rsidRPr="007A5FDE">
        <w:rPr>
          <w:rFonts w:ascii="Arial" w:hAnsi="Arial" w:cs="Arial"/>
          <w:color w:val="auto"/>
        </w:rPr>
        <w:t>still be recovered from the basin.</w:t>
      </w:r>
      <w:r w:rsidR="003148DB" w:rsidRPr="007A5FDE">
        <w:rPr>
          <w:rStyle w:val="FootnoteReference"/>
          <w:rFonts w:ascii="Arial" w:hAnsi="Arial" w:cs="Arial"/>
          <w:color w:val="auto"/>
        </w:rPr>
        <w:footnoteReference w:id="3"/>
      </w:r>
    </w:p>
    <w:p w14:paraId="38340B38" w14:textId="77777777" w:rsidR="00BF62AF" w:rsidRPr="00905209" w:rsidRDefault="00BF62AF"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905209">
        <w:rPr>
          <w:rFonts w:cs="Arial"/>
          <w:szCs w:val="24"/>
        </w:rPr>
        <w:t>Key Economic par</w:t>
      </w:r>
      <w:r w:rsidR="00D50F28" w:rsidRPr="0059555C">
        <w:rPr>
          <w:rFonts w:cs="Arial"/>
          <w:szCs w:val="24"/>
        </w:rPr>
        <w:t>a</w:t>
      </w:r>
      <w:r w:rsidRPr="0059555C">
        <w:rPr>
          <w:rFonts w:cs="Arial"/>
          <w:szCs w:val="24"/>
        </w:rPr>
        <w:t>meters</w:t>
      </w:r>
    </w:p>
    <w:p w14:paraId="3F9F47AC" w14:textId="0B559DA3" w:rsidR="00C57169" w:rsidRPr="007A5FDE" w:rsidRDefault="00C57169" w:rsidP="00BC7065">
      <w:pPr>
        <w:pStyle w:val="Default"/>
        <w:keepNext/>
        <w:spacing w:after="120" w:line="276" w:lineRule="auto"/>
        <w:outlineLvl w:val="0"/>
        <w:rPr>
          <w:rFonts w:ascii="Arial" w:hAnsi="Arial" w:cs="Arial"/>
          <w:b/>
          <w:bCs/>
        </w:rPr>
      </w:pPr>
      <w:r w:rsidRPr="007A5FDE">
        <w:rPr>
          <w:rFonts w:ascii="Arial" w:hAnsi="Arial" w:cs="Arial"/>
          <w:b/>
          <w:bCs/>
        </w:rPr>
        <w:t>Oil and Gas prices</w:t>
      </w:r>
    </w:p>
    <w:p w14:paraId="5C8D73A4" w14:textId="77777777" w:rsidR="00C57169" w:rsidRPr="007A5FDE" w:rsidRDefault="00C57169" w:rsidP="00E0694A">
      <w:pPr>
        <w:pStyle w:val="Default"/>
        <w:spacing w:after="180" w:line="276" w:lineRule="auto"/>
        <w:rPr>
          <w:rFonts w:ascii="Arial" w:hAnsi="Arial" w:cs="Arial"/>
          <w:bCs/>
        </w:rPr>
      </w:pPr>
      <w:r w:rsidRPr="007A5FDE">
        <w:rPr>
          <w:rFonts w:ascii="Arial" w:hAnsi="Arial" w:cs="Arial"/>
          <w:bCs/>
        </w:rPr>
        <w:t>Boom and bust cycles are the norm in the energy markets. Throughout the years, the nominal price of oil has fluctuated significantly, reaching as low as $3 per barrel in the 1970s and as high as $143 per barrel in July 2008. The oil price is affected by many factors, all of which are global in nature</w:t>
      </w:r>
      <w:r w:rsidR="00496636" w:rsidRPr="007A5FDE">
        <w:rPr>
          <w:rFonts w:ascii="Arial" w:hAnsi="Arial" w:cs="Arial"/>
          <w:bCs/>
        </w:rPr>
        <w:t>, and reach from supply and demand fundamentals to the strength of the US Dollar (all oil is traded in US Dollar</w:t>
      </w:r>
      <w:r w:rsidR="00276379" w:rsidRPr="007A5FDE">
        <w:rPr>
          <w:rFonts w:ascii="Arial" w:hAnsi="Arial" w:cs="Arial"/>
          <w:bCs/>
        </w:rPr>
        <w:t>) and to geopolitical stability. Global demand for oil and gas has been steadily rising since the 1970s and has nearly doubled since then</w:t>
      </w:r>
      <w:r w:rsidR="0036575A" w:rsidRPr="007A5FDE">
        <w:rPr>
          <w:rFonts w:ascii="Arial" w:hAnsi="Arial" w:cs="Arial"/>
          <w:bCs/>
        </w:rPr>
        <w:t>.</w:t>
      </w:r>
      <w:r w:rsidR="0036575A" w:rsidRPr="007A5FDE">
        <w:rPr>
          <w:rStyle w:val="FootnoteReference"/>
          <w:rFonts w:ascii="Arial" w:hAnsi="Arial" w:cs="Arial"/>
          <w:bCs/>
        </w:rPr>
        <w:footnoteReference w:id="4"/>
      </w:r>
      <w:r w:rsidR="00276379" w:rsidRPr="007A5FDE">
        <w:rPr>
          <w:rFonts w:ascii="Arial" w:hAnsi="Arial" w:cs="Arial"/>
          <w:bCs/>
        </w:rPr>
        <w:t xml:space="preserve"> </w:t>
      </w:r>
      <w:r w:rsidR="008956BE" w:rsidRPr="007A5FDE">
        <w:rPr>
          <w:rFonts w:ascii="Arial" w:hAnsi="Arial" w:cs="Arial"/>
          <w:bCs/>
        </w:rPr>
        <w:t>Strong economic growth particularly in fast-growing developing economies like China and India is a major contributor to increasing levels of demand.</w:t>
      </w:r>
    </w:p>
    <w:p w14:paraId="399A3278" w14:textId="77777777" w:rsidR="008E59CD" w:rsidRPr="007A5FDE" w:rsidRDefault="009D0355" w:rsidP="006B1D4B">
      <w:pPr>
        <w:pStyle w:val="Default"/>
        <w:spacing w:after="180" w:line="276" w:lineRule="auto"/>
        <w:rPr>
          <w:rFonts w:ascii="Arial" w:hAnsi="Arial" w:cs="Arial"/>
          <w:bCs/>
        </w:rPr>
      </w:pPr>
      <w:r w:rsidRPr="007A5FDE">
        <w:rPr>
          <w:rFonts w:ascii="Arial" w:hAnsi="Arial" w:cs="Arial"/>
          <w:bCs/>
        </w:rPr>
        <w:t>T</w:t>
      </w:r>
      <w:r w:rsidR="008E59CD" w:rsidRPr="007A5FDE">
        <w:rPr>
          <w:rFonts w:ascii="Arial" w:hAnsi="Arial" w:cs="Arial"/>
          <w:bCs/>
        </w:rPr>
        <w:t>he United States was</w:t>
      </w:r>
      <w:r w:rsidRPr="007A5FDE">
        <w:rPr>
          <w:rFonts w:ascii="Arial" w:hAnsi="Arial" w:cs="Arial"/>
          <w:bCs/>
        </w:rPr>
        <w:t>, until 2010,</w:t>
      </w:r>
      <w:r w:rsidR="008E59CD" w:rsidRPr="007A5FDE">
        <w:rPr>
          <w:rFonts w:ascii="Arial" w:hAnsi="Arial" w:cs="Arial"/>
          <w:bCs/>
        </w:rPr>
        <w:t xml:space="preserve"> the world’s largest net importer of crude oil, which was a significant contributor to the steady increase in prices until </w:t>
      </w:r>
      <w:r w:rsidRPr="007A5FDE">
        <w:rPr>
          <w:rFonts w:ascii="Arial" w:hAnsi="Arial" w:cs="Arial"/>
          <w:bCs/>
        </w:rPr>
        <w:t>then</w:t>
      </w:r>
      <w:r w:rsidR="008E59CD" w:rsidRPr="007A5FDE">
        <w:rPr>
          <w:rFonts w:ascii="Arial" w:hAnsi="Arial" w:cs="Arial"/>
          <w:bCs/>
        </w:rPr>
        <w:t xml:space="preserve">. Since 2011, the growth of US tight oil (often referred to as “US shale”) has reduced the </w:t>
      </w:r>
      <w:r w:rsidR="00A627EB" w:rsidRPr="007A5FDE">
        <w:rPr>
          <w:rFonts w:ascii="Arial" w:hAnsi="Arial" w:cs="Arial"/>
          <w:bCs/>
        </w:rPr>
        <w:t xml:space="preserve">reliance of the </w:t>
      </w:r>
      <w:r w:rsidR="008E59CD" w:rsidRPr="007A5FDE">
        <w:rPr>
          <w:rFonts w:ascii="Arial" w:hAnsi="Arial" w:cs="Arial"/>
          <w:bCs/>
        </w:rPr>
        <w:t>United States on imports by over one third.</w:t>
      </w:r>
      <w:r w:rsidR="00D63FE1" w:rsidRPr="007A5FDE">
        <w:rPr>
          <w:rFonts w:ascii="Arial" w:hAnsi="Arial" w:cs="Arial"/>
          <w:bCs/>
        </w:rPr>
        <w:t xml:space="preserve"> Together with a slow-down </w:t>
      </w:r>
      <w:r w:rsidR="008956BE" w:rsidRPr="007A5FDE">
        <w:rPr>
          <w:rFonts w:ascii="Arial" w:hAnsi="Arial" w:cs="Arial"/>
          <w:bCs/>
        </w:rPr>
        <w:t xml:space="preserve">in </w:t>
      </w:r>
      <w:r w:rsidR="00D63FE1" w:rsidRPr="007A5FDE">
        <w:rPr>
          <w:rFonts w:ascii="Arial" w:hAnsi="Arial" w:cs="Arial"/>
          <w:bCs/>
        </w:rPr>
        <w:t xml:space="preserve">China’s rapid economic growth and more efficient energy use overall, this caused </w:t>
      </w:r>
      <w:r w:rsidR="00D63FE1" w:rsidRPr="007A5FDE">
        <w:rPr>
          <w:rFonts w:ascii="Arial" w:hAnsi="Arial" w:cs="Arial"/>
          <w:bCs/>
        </w:rPr>
        <w:lastRenderedPageBreak/>
        <w:t xml:space="preserve">prices to fall rapidly towards the end of 2015 and throughout 2016. During 2016, </w:t>
      </w:r>
      <w:r w:rsidR="005B698C" w:rsidRPr="007A5FDE">
        <w:rPr>
          <w:rFonts w:ascii="Arial" w:hAnsi="Arial" w:cs="Arial"/>
          <w:bCs/>
        </w:rPr>
        <w:t>d</w:t>
      </w:r>
      <w:r w:rsidR="00D63FE1" w:rsidRPr="007A5FDE">
        <w:rPr>
          <w:rFonts w:ascii="Arial" w:hAnsi="Arial" w:cs="Arial"/>
          <w:bCs/>
        </w:rPr>
        <w:t>ated Brent oil price was at its lowest nominal level since 2004 at an average $4</w:t>
      </w:r>
      <w:r w:rsidR="00A95569" w:rsidRPr="007A5FDE">
        <w:rPr>
          <w:rFonts w:ascii="Arial" w:hAnsi="Arial" w:cs="Arial"/>
          <w:bCs/>
        </w:rPr>
        <w:t>4</w:t>
      </w:r>
      <w:r w:rsidR="00D63FE1" w:rsidRPr="007A5FDE">
        <w:rPr>
          <w:rFonts w:ascii="Arial" w:hAnsi="Arial" w:cs="Arial"/>
          <w:bCs/>
        </w:rPr>
        <w:t xml:space="preserve"> per barrel, with a trough of $31 per barrel in January 2016.</w:t>
      </w:r>
      <w:r w:rsidR="00D63FE1" w:rsidRPr="007A5FDE">
        <w:rPr>
          <w:rStyle w:val="FootnoteReference"/>
          <w:rFonts w:ascii="Arial" w:hAnsi="Arial" w:cs="Arial"/>
          <w:bCs/>
        </w:rPr>
        <w:footnoteReference w:id="5"/>
      </w:r>
    </w:p>
    <w:p w14:paraId="6B8F01E7" w14:textId="1A6B7106" w:rsidR="006E06DE" w:rsidRPr="00595CB3" w:rsidRDefault="00C60788" w:rsidP="00BC7065">
      <w:pPr>
        <w:pStyle w:val="Caption"/>
        <w:keepNext/>
        <w:spacing w:before="0" w:line="276" w:lineRule="auto"/>
        <w:outlineLvl w:val="0"/>
        <w:rPr>
          <w:rFonts w:ascii="Arial" w:hAnsi="Arial" w:cs="Arial"/>
          <w:bCs/>
          <w:sz w:val="22"/>
          <w:szCs w:val="22"/>
        </w:rPr>
      </w:pPr>
      <w:bookmarkStart w:id="1" w:name="_Toc512547344"/>
      <w:r w:rsidRPr="00595CB3">
        <w:rPr>
          <w:rFonts w:ascii="Arial" w:hAnsi="Arial" w:cs="Arial"/>
          <w:sz w:val="22"/>
          <w:szCs w:val="22"/>
        </w:rPr>
        <w:t xml:space="preserve">Figure </w:t>
      </w:r>
      <w:r w:rsidR="00113F68">
        <w:rPr>
          <w:rFonts w:ascii="Arial" w:hAnsi="Arial" w:cs="Arial"/>
          <w:sz w:val="22"/>
          <w:szCs w:val="22"/>
        </w:rPr>
        <w:t>1</w:t>
      </w:r>
      <w:r w:rsidRPr="00595CB3">
        <w:rPr>
          <w:rFonts w:ascii="Arial" w:hAnsi="Arial" w:cs="Arial"/>
          <w:sz w:val="22"/>
          <w:szCs w:val="22"/>
        </w:rPr>
        <w:t xml:space="preserve">. </w:t>
      </w:r>
      <w:r w:rsidR="009A1EF3" w:rsidRPr="00595CB3">
        <w:rPr>
          <w:rFonts w:ascii="Arial" w:hAnsi="Arial" w:cs="Arial"/>
          <w:bCs/>
          <w:sz w:val="22"/>
          <w:szCs w:val="22"/>
        </w:rPr>
        <w:t>Brent Spot Price (nominal)</w:t>
      </w:r>
      <w:r w:rsidR="006E06DE" w:rsidRPr="00595CB3">
        <w:rPr>
          <w:rStyle w:val="FootnoteReference"/>
          <w:rFonts w:ascii="Arial" w:hAnsi="Arial" w:cs="Arial"/>
          <w:bCs/>
          <w:sz w:val="22"/>
          <w:szCs w:val="22"/>
        </w:rPr>
        <w:footnoteReference w:id="6"/>
      </w:r>
      <w:bookmarkEnd w:id="1"/>
    </w:p>
    <w:p w14:paraId="6848F2BA" w14:textId="77777777" w:rsidR="00C30866" w:rsidRPr="00595CB3" w:rsidRDefault="003A1C6B" w:rsidP="00C17CD0">
      <w:pPr>
        <w:pStyle w:val="Default"/>
        <w:keepNext/>
        <w:spacing w:after="120" w:line="276" w:lineRule="auto"/>
        <w:rPr>
          <w:rFonts w:ascii="Arial" w:hAnsi="Arial" w:cs="Arial"/>
          <w:b/>
          <w:bCs/>
          <w:sz w:val="22"/>
          <w:szCs w:val="22"/>
        </w:rPr>
      </w:pPr>
      <w:r>
        <w:rPr>
          <w:rFonts w:ascii="Arial" w:hAnsi="Arial" w:cs="Arial"/>
          <w:b/>
          <w:bCs/>
          <w:noProof/>
          <w:sz w:val="22"/>
          <w:szCs w:val="22"/>
        </w:rPr>
        <w:drawing>
          <wp:inline distT="0" distB="0" distL="0" distR="0" wp14:anchorId="39DCC55E" wp14:editId="5F643BD3">
            <wp:extent cx="5705475" cy="2719701"/>
            <wp:effectExtent l="0" t="0" r="0" b="5080"/>
            <wp:docPr id="16" name="Picture 16" descr="Figure 1 Brent Spot Price (nominal). This graph shows the average dated Brent Oil price per barrel in both pounds and dollars per barrel for the period 20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83" cy="2724281"/>
                    </a:xfrm>
                    <a:prstGeom prst="rect">
                      <a:avLst/>
                    </a:prstGeom>
                    <a:noFill/>
                  </pic:spPr>
                </pic:pic>
              </a:graphicData>
            </a:graphic>
          </wp:inline>
        </w:drawing>
      </w:r>
    </w:p>
    <w:p w14:paraId="5194B47E" w14:textId="77777777" w:rsidR="00BF62AF" w:rsidRPr="00595CB3" w:rsidRDefault="006E06DE" w:rsidP="005468F7">
      <w:pPr>
        <w:pStyle w:val="Default"/>
        <w:keepNext/>
        <w:spacing w:after="180" w:line="276" w:lineRule="auto"/>
        <w:rPr>
          <w:rFonts w:ascii="Arial" w:hAnsi="Arial" w:cs="Arial"/>
          <w:bCs/>
          <w:sz w:val="18"/>
          <w:szCs w:val="16"/>
        </w:rPr>
      </w:pPr>
      <w:r w:rsidRPr="00595CB3">
        <w:rPr>
          <w:rFonts w:ascii="Arial" w:hAnsi="Arial" w:cs="Arial"/>
          <w:bCs/>
          <w:sz w:val="18"/>
          <w:szCs w:val="16"/>
        </w:rPr>
        <w:t>Source</w:t>
      </w:r>
      <w:r w:rsidR="005B698C" w:rsidRPr="00595CB3">
        <w:rPr>
          <w:rFonts w:ascii="Arial" w:hAnsi="Arial" w:cs="Arial"/>
          <w:bCs/>
          <w:sz w:val="18"/>
          <w:szCs w:val="16"/>
        </w:rPr>
        <w:t>s</w:t>
      </w:r>
      <w:r w:rsidRPr="00595CB3">
        <w:rPr>
          <w:rFonts w:ascii="Arial" w:hAnsi="Arial" w:cs="Arial"/>
          <w:bCs/>
          <w:sz w:val="18"/>
          <w:szCs w:val="16"/>
        </w:rPr>
        <w:t xml:space="preserve">: </w:t>
      </w:r>
      <w:r w:rsidR="00F02D71">
        <w:rPr>
          <w:rFonts w:ascii="Arial" w:hAnsi="Arial" w:cs="Arial"/>
          <w:bCs/>
          <w:sz w:val="18"/>
          <w:szCs w:val="16"/>
        </w:rPr>
        <w:t>World Bank</w:t>
      </w:r>
      <w:r w:rsidR="00E06D0A" w:rsidRPr="00595CB3">
        <w:rPr>
          <w:rFonts w:ascii="Arial" w:hAnsi="Arial" w:cs="Arial"/>
          <w:bCs/>
          <w:sz w:val="18"/>
          <w:szCs w:val="16"/>
        </w:rPr>
        <w:t xml:space="preserve"> and Bank of England</w:t>
      </w:r>
      <w:r w:rsidR="008E706A">
        <w:rPr>
          <w:rFonts w:ascii="Arial" w:hAnsi="Arial" w:cs="Arial"/>
          <w:bCs/>
          <w:sz w:val="18"/>
          <w:szCs w:val="16"/>
        </w:rPr>
        <w:t>.</w:t>
      </w:r>
    </w:p>
    <w:p w14:paraId="50DD2754" w14:textId="77777777" w:rsidR="004B58A8" w:rsidRPr="005468F7" w:rsidRDefault="009B1157" w:rsidP="00E0694A">
      <w:pPr>
        <w:pStyle w:val="Default"/>
        <w:spacing w:after="180" w:line="276" w:lineRule="auto"/>
        <w:rPr>
          <w:rFonts w:ascii="Arial" w:hAnsi="Arial" w:cs="Arial"/>
          <w:color w:val="auto"/>
        </w:rPr>
      </w:pPr>
      <w:r w:rsidRPr="005468F7">
        <w:rPr>
          <w:rFonts w:ascii="Arial" w:hAnsi="Arial" w:cs="Arial"/>
          <w:color w:val="auto"/>
        </w:rPr>
        <w:t xml:space="preserve">Gas markets are still mostly regional in nature due to infrastructure, transportation and currency exchange limitations. Historically, gas prices in Europe (including the UK) were determined through long-term contracts, with prices adapted regularly according to contractual review clauses. Prices were </w:t>
      </w:r>
      <w:r w:rsidR="007A38C9" w:rsidRPr="005468F7">
        <w:rPr>
          <w:rFonts w:ascii="Arial" w:hAnsi="Arial" w:cs="Arial"/>
          <w:color w:val="auto"/>
        </w:rPr>
        <w:t xml:space="preserve">often linked to oil and oil products, and thus were trailing oil price developments by about 4 to 6 </w:t>
      </w:r>
      <w:r w:rsidR="006D4C5E" w:rsidRPr="005468F7">
        <w:rPr>
          <w:rFonts w:ascii="Arial" w:hAnsi="Arial" w:cs="Arial"/>
          <w:color w:val="auto"/>
        </w:rPr>
        <w:t xml:space="preserve">months. Deregulation in the UK </w:t>
      </w:r>
      <w:r w:rsidR="007A38C9" w:rsidRPr="005468F7">
        <w:rPr>
          <w:rFonts w:ascii="Arial" w:hAnsi="Arial" w:cs="Arial"/>
          <w:color w:val="auto"/>
        </w:rPr>
        <w:t>gas market since the 1990s resulted in the creation of the NBP (National Balancing Point), a virtual trading location of UK natural gas.</w:t>
      </w:r>
      <w:r w:rsidR="009A65BA" w:rsidRPr="005468F7">
        <w:rPr>
          <w:rFonts w:ascii="Arial" w:hAnsi="Arial" w:cs="Arial"/>
          <w:color w:val="auto"/>
        </w:rPr>
        <w:t xml:space="preserve"> Various European trading </w:t>
      </w:r>
      <w:r w:rsidR="00FD6EF7" w:rsidRPr="005468F7">
        <w:rPr>
          <w:rFonts w:ascii="Arial" w:hAnsi="Arial" w:cs="Arial"/>
          <w:color w:val="auto"/>
        </w:rPr>
        <w:t>hubs have followed since</w:t>
      </w:r>
      <w:r w:rsidR="00293364" w:rsidRPr="005468F7">
        <w:rPr>
          <w:rFonts w:ascii="Arial" w:hAnsi="Arial" w:cs="Arial"/>
          <w:color w:val="auto"/>
        </w:rPr>
        <w:t xml:space="preserve">, together </w:t>
      </w:r>
      <w:r w:rsidR="008647A4" w:rsidRPr="005468F7">
        <w:rPr>
          <w:rFonts w:ascii="Arial" w:hAnsi="Arial" w:cs="Arial"/>
          <w:color w:val="auto"/>
        </w:rPr>
        <w:t>with the interconnector in 1998, and the NBP is currently</w:t>
      </w:r>
      <w:r w:rsidR="004B58A8" w:rsidRPr="005468F7">
        <w:rPr>
          <w:rFonts w:ascii="Arial" w:hAnsi="Arial" w:cs="Arial"/>
          <w:color w:val="auto"/>
        </w:rPr>
        <w:t xml:space="preserve"> </w:t>
      </w:r>
      <w:r w:rsidR="001703D7" w:rsidRPr="005468F7">
        <w:rPr>
          <w:rFonts w:ascii="Arial" w:hAnsi="Arial" w:cs="Arial"/>
          <w:color w:val="auto"/>
        </w:rPr>
        <w:t>the second most liquid European gas trading point.</w:t>
      </w:r>
      <w:r w:rsidR="001703D7" w:rsidRPr="005468F7">
        <w:rPr>
          <w:rStyle w:val="FootnoteReference"/>
          <w:rFonts w:ascii="Arial" w:hAnsi="Arial" w:cs="Arial"/>
          <w:color w:val="auto"/>
        </w:rPr>
        <w:footnoteReference w:id="7"/>
      </w:r>
      <w:r w:rsidR="007A38C9" w:rsidRPr="005468F7">
        <w:rPr>
          <w:rFonts w:ascii="Arial" w:hAnsi="Arial" w:cs="Arial"/>
          <w:color w:val="auto"/>
        </w:rPr>
        <w:t xml:space="preserve"> </w:t>
      </w:r>
      <w:r w:rsidR="007858A3" w:rsidRPr="005468F7">
        <w:rPr>
          <w:rFonts w:ascii="Arial" w:hAnsi="Arial" w:cs="Arial"/>
          <w:color w:val="auto"/>
        </w:rPr>
        <w:t>Gas prices available from these hubs show the regional</w:t>
      </w:r>
      <w:r w:rsidR="004B58A8" w:rsidRPr="005468F7">
        <w:rPr>
          <w:rFonts w:ascii="Arial" w:hAnsi="Arial" w:cs="Arial"/>
          <w:color w:val="auto"/>
        </w:rPr>
        <w:t xml:space="preserve"> effect on pricing (due to residual lack of interconnectedness), as well as a seasonality trend reflecting rising gas demand in winter.</w:t>
      </w:r>
    </w:p>
    <w:p w14:paraId="4F3AAE63" w14:textId="77777777" w:rsidR="00B816DE" w:rsidRPr="00D34DB8" w:rsidRDefault="004B58A8" w:rsidP="00F21E64">
      <w:pPr>
        <w:pStyle w:val="Default"/>
        <w:spacing w:after="240" w:line="276" w:lineRule="auto"/>
        <w:rPr>
          <w:rFonts w:ascii="Arial" w:hAnsi="Arial" w:cs="Arial"/>
          <w:color w:val="auto"/>
        </w:rPr>
      </w:pPr>
      <w:r w:rsidRPr="00D34DB8">
        <w:rPr>
          <w:rFonts w:ascii="Arial" w:hAnsi="Arial" w:cs="Arial"/>
          <w:color w:val="auto"/>
        </w:rPr>
        <w:lastRenderedPageBreak/>
        <w:t>In recent years, LNG (Liquefied Natural Gas) has become an increasingly important driver of European Gas market</w:t>
      </w:r>
      <w:r w:rsidR="008956BE" w:rsidRPr="00D34DB8">
        <w:rPr>
          <w:rFonts w:ascii="Arial" w:hAnsi="Arial" w:cs="Arial"/>
          <w:color w:val="auto"/>
        </w:rPr>
        <w:t xml:space="preserve"> dynamics</w:t>
      </w:r>
      <w:r w:rsidRPr="00D34DB8">
        <w:rPr>
          <w:rFonts w:ascii="Arial" w:hAnsi="Arial" w:cs="Arial"/>
          <w:color w:val="auto"/>
        </w:rPr>
        <w:t>. The UK</w:t>
      </w:r>
      <w:r w:rsidR="008B7893" w:rsidRPr="00D34DB8">
        <w:rPr>
          <w:rFonts w:ascii="Arial" w:hAnsi="Arial" w:cs="Arial"/>
          <w:color w:val="auto"/>
        </w:rPr>
        <w:t xml:space="preserve"> is currently a net importer of Natural Gas, and piped gas from Russia is the main competition to LNG in Europe</w:t>
      </w:r>
      <w:r w:rsidR="0069585F" w:rsidRPr="00D34DB8">
        <w:rPr>
          <w:rFonts w:ascii="Arial" w:hAnsi="Arial" w:cs="Arial"/>
          <w:color w:val="auto"/>
        </w:rPr>
        <w:t>. As such, Europe is seen as the market of last resort to absorb surplus LNG volumes from the current global gas supply surplus.</w:t>
      </w:r>
      <w:r w:rsidR="0069585F" w:rsidRPr="00D34DB8">
        <w:rPr>
          <w:rStyle w:val="FootnoteReference"/>
          <w:rFonts w:ascii="Arial" w:hAnsi="Arial" w:cs="Arial"/>
          <w:color w:val="auto"/>
        </w:rPr>
        <w:footnoteReference w:id="8"/>
      </w:r>
      <w:r w:rsidR="0062599A" w:rsidRPr="00D34DB8">
        <w:rPr>
          <w:rFonts w:ascii="Arial" w:hAnsi="Arial" w:cs="Arial"/>
          <w:color w:val="auto"/>
        </w:rPr>
        <w:t xml:space="preserve"> </w:t>
      </w:r>
      <w:r w:rsidR="006A5AE5" w:rsidRPr="00D34DB8">
        <w:rPr>
          <w:rFonts w:ascii="Arial" w:hAnsi="Arial" w:cs="Arial"/>
          <w:color w:val="auto"/>
        </w:rPr>
        <w:t>Gas prices across the globe reached new lows in early 2016 within weeks of the trough in oil prices (see above paragraphs), with NBP month-ahead prices reaching a low of 28 pence per therm in April 2016</w:t>
      </w:r>
      <w:r w:rsidR="001A5594" w:rsidRPr="00D34DB8">
        <w:rPr>
          <w:rFonts w:ascii="Arial" w:hAnsi="Arial" w:cs="Arial"/>
          <w:color w:val="auto"/>
        </w:rPr>
        <w:t>. The acute oversupply of gas in 2015 due to weaker import demand growth in Asia, additional LNG capacity added globally and 2015 having been the warmest year on record resulted in a significantly weakened price, which carried into 2016. An increase in the replacement of power generation by coal to power generation by gas, the temporary cessation of the Rough</w:t>
      </w:r>
      <w:r w:rsidR="00A92B92" w:rsidRPr="00D34DB8">
        <w:rPr>
          <w:rFonts w:ascii="Arial" w:hAnsi="Arial" w:cs="Arial"/>
          <w:color w:val="auto"/>
        </w:rPr>
        <w:t xml:space="preserve"> storage facility in the UK, continues uncertainly over LNG supply to the UK and the colder winter in 2016/17 has somewhat stabilised NBP prices at an average of 34.6 pence per therm for 2016 (down from the average month-ahead NBP price of 42.6 pence per therm for 2015)</w:t>
      </w:r>
      <w:r w:rsidR="0062599A" w:rsidRPr="00D34DB8">
        <w:rPr>
          <w:rFonts w:ascii="Arial" w:hAnsi="Arial" w:cs="Arial"/>
          <w:color w:val="auto"/>
        </w:rPr>
        <w:t>.</w:t>
      </w:r>
      <w:r w:rsidR="00B816DE" w:rsidRPr="00D34DB8">
        <w:rPr>
          <w:rStyle w:val="FootnoteReference"/>
          <w:rFonts w:ascii="Arial" w:hAnsi="Arial" w:cs="Arial"/>
          <w:color w:val="auto"/>
        </w:rPr>
        <w:footnoteReference w:id="9"/>
      </w:r>
    </w:p>
    <w:p w14:paraId="1940E2E2" w14:textId="2968C377" w:rsidR="00F5707B" w:rsidRPr="00595CB3" w:rsidRDefault="00364ABD" w:rsidP="00BC7065">
      <w:pPr>
        <w:pStyle w:val="Caption"/>
        <w:keepNext/>
        <w:spacing w:before="0" w:line="276" w:lineRule="auto"/>
        <w:outlineLvl w:val="0"/>
        <w:rPr>
          <w:rFonts w:ascii="Arial" w:eastAsia="Calibri" w:hAnsi="Arial" w:cs="Arial"/>
          <w:bCs/>
          <w:color w:val="000000"/>
          <w:sz w:val="22"/>
          <w:szCs w:val="22"/>
        </w:rPr>
      </w:pPr>
      <w:bookmarkStart w:id="2" w:name="_Toc512547345"/>
      <w:r w:rsidRPr="00595CB3">
        <w:rPr>
          <w:rFonts w:ascii="Arial" w:hAnsi="Arial" w:cs="Arial"/>
          <w:sz w:val="22"/>
          <w:szCs w:val="22"/>
        </w:rPr>
        <w:t xml:space="preserve">Figure </w:t>
      </w:r>
      <w:r w:rsidR="00A410BC">
        <w:rPr>
          <w:rFonts w:ascii="Arial" w:hAnsi="Arial" w:cs="Arial"/>
          <w:sz w:val="22"/>
          <w:szCs w:val="22"/>
        </w:rPr>
        <w:t>2</w:t>
      </w:r>
      <w:r w:rsidR="00F5707B" w:rsidRPr="00595CB3">
        <w:rPr>
          <w:rFonts w:ascii="Arial" w:eastAsia="Calibri" w:hAnsi="Arial" w:cs="Arial"/>
          <w:bCs/>
          <w:color w:val="000000"/>
          <w:sz w:val="22"/>
          <w:szCs w:val="22"/>
        </w:rPr>
        <w:t xml:space="preserve">. </w:t>
      </w:r>
      <w:r w:rsidR="009B2C35">
        <w:rPr>
          <w:rFonts w:ascii="Arial" w:eastAsia="Calibri" w:hAnsi="Arial" w:cs="Arial"/>
          <w:bCs/>
          <w:color w:val="000000"/>
          <w:sz w:val="22"/>
          <w:szCs w:val="22"/>
        </w:rPr>
        <w:t xml:space="preserve">Gas </w:t>
      </w:r>
      <w:r w:rsidR="00B733D1">
        <w:rPr>
          <w:rFonts w:ascii="Arial" w:eastAsia="Calibri" w:hAnsi="Arial" w:cs="Arial"/>
          <w:bCs/>
          <w:color w:val="000000"/>
          <w:sz w:val="22"/>
          <w:szCs w:val="22"/>
        </w:rPr>
        <w:t>Spot Price (nominal)</w:t>
      </w:r>
      <w:bookmarkEnd w:id="2"/>
    </w:p>
    <w:p w14:paraId="694CC68D" w14:textId="77777777" w:rsidR="009B2C35" w:rsidRPr="00595CB3" w:rsidRDefault="009B2C35" w:rsidP="00412459">
      <w:pPr>
        <w:pStyle w:val="Default"/>
        <w:keepNext/>
        <w:spacing w:after="24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5806F50F" wp14:editId="6092A863">
            <wp:extent cx="5705475" cy="2767013"/>
            <wp:effectExtent l="0" t="0" r="0" b="0"/>
            <wp:docPr id="14" name="Picture 14" descr="Figure 2 Gas Spot Price Graph showing the NBP day-ahead nominal gas price (pence per therm) for the years 200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233" cy="2777565"/>
                    </a:xfrm>
                    <a:prstGeom prst="rect">
                      <a:avLst/>
                    </a:prstGeom>
                    <a:noFill/>
                  </pic:spPr>
                </pic:pic>
              </a:graphicData>
            </a:graphic>
          </wp:inline>
        </w:drawing>
      </w:r>
    </w:p>
    <w:p w14:paraId="4169EFE1" w14:textId="77777777" w:rsidR="005634A7" w:rsidRPr="00595CB3" w:rsidRDefault="005634A7" w:rsidP="00F21E64">
      <w:pPr>
        <w:pStyle w:val="Default"/>
        <w:spacing w:after="240" w:line="276" w:lineRule="auto"/>
        <w:rPr>
          <w:rFonts w:ascii="Arial" w:hAnsi="Arial" w:cs="Arial"/>
          <w:color w:val="auto"/>
          <w:sz w:val="18"/>
          <w:szCs w:val="16"/>
        </w:rPr>
      </w:pPr>
      <w:r w:rsidRPr="00595CB3">
        <w:rPr>
          <w:rFonts w:ascii="Arial" w:hAnsi="Arial" w:cs="Arial"/>
          <w:color w:val="auto"/>
          <w:sz w:val="18"/>
          <w:szCs w:val="16"/>
        </w:rPr>
        <w:t xml:space="preserve">Source: </w:t>
      </w:r>
      <w:r w:rsidR="00B733D1">
        <w:rPr>
          <w:rFonts w:ascii="Arial" w:hAnsi="Arial" w:cs="Arial"/>
          <w:color w:val="auto"/>
          <w:sz w:val="18"/>
          <w:szCs w:val="16"/>
        </w:rPr>
        <w:t>OGA from various sources</w:t>
      </w:r>
      <w:r w:rsidR="008E706A">
        <w:rPr>
          <w:rFonts w:ascii="Arial" w:hAnsi="Arial" w:cs="Arial"/>
          <w:color w:val="auto"/>
          <w:sz w:val="18"/>
          <w:szCs w:val="16"/>
        </w:rPr>
        <w:t>.</w:t>
      </w:r>
    </w:p>
    <w:p w14:paraId="182470B8" w14:textId="77777777" w:rsidR="005634A7" w:rsidRPr="00E0694A" w:rsidRDefault="005634A7" w:rsidP="00E0694A">
      <w:pPr>
        <w:pStyle w:val="Heading2"/>
        <w:keepLines w:val="0"/>
        <w:numPr>
          <w:ilvl w:val="1"/>
          <w:numId w:val="43"/>
        </w:numPr>
        <w:shd w:val="clear" w:color="auto" w:fill="BFBFBF"/>
        <w:tabs>
          <w:tab w:val="clear" w:pos="567"/>
        </w:tabs>
        <w:spacing w:after="180" w:line="276" w:lineRule="auto"/>
        <w:ind w:left="567" w:hanging="567"/>
        <w:rPr>
          <w:rFonts w:cs="Arial"/>
          <w:b w:val="0"/>
        </w:rPr>
      </w:pPr>
      <w:r w:rsidRPr="00E0694A">
        <w:rPr>
          <w:rFonts w:cs="Arial"/>
          <w:szCs w:val="24"/>
        </w:rPr>
        <w:t>Production</w:t>
      </w:r>
    </w:p>
    <w:p w14:paraId="237936AD" w14:textId="6E8D1E73" w:rsidR="00693081" w:rsidRPr="00D34DB8" w:rsidRDefault="005634A7" w:rsidP="00693081">
      <w:pPr>
        <w:pStyle w:val="Default"/>
        <w:spacing w:after="240" w:line="276" w:lineRule="auto"/>
        <w:rPr>
          <w:rFonts w:ascii="Arial" w:hAnsi="Arial" w:cs="Arial"/>
          <w:color w:val="auto"/>
        </w:rPr>
      </w:pPr>
      <w:r w:rsidRPr="00D34DB8">
        <w:rPr>
          <w:rFonts w:ascii="Arial" w:hAnsi="Arial" w:cs="Arial"/>
          <w:color w:val="auto"/>
        </w:rPr>
        <w:t>Production on the UKCS is currently split roughly 60:40 between oil production and natural gas production</w:t>
      </w:r>
      <w:r w:rsidR="00693081">
        <w:rPr>
          <w:rFonts w:ascii="Arial" w:hAnsi="Arial" w:cs="Arial"/>
          <w:color w:val="auto"/>
        </w:rPr>
        <w:t xml:space="preserve"> </w:t>
      </w:r>
      <w:r w:rsidR="00693081" w:rsidRPr="00D34DB8">
        <w:rPr>
          <w:rFonts w:ascii="Arial" w:hAnsi="Arial" w:cs="Arial"/>
          <w:color w:val="auto"/>
        </w:rPr>
        <w:t xml:space="preserve">(Figure </w:t>
      </w:r>
      <w:r w:rsidR="00B076A1">
        <w:rPr>
          <w:rFonts w:ascii="Arial" w:hAnsi="Arial" w:cs="Arial"/>
          <w:color w:val="auto"/>
        </w:rPr>
        <w:t>3</w:t>
      </w:r>
      <w:r w:rsidR="00693081" w:rsidRPr="00D34DB8">
        <w:rPr>
          <w:rFonts w:ascii="Arial" w:hAnsi="Arial" w:cs="Arial"/>
          <w:color w:val="auto"/>
        </w:rPr>
        <w:t>).</w:t>
      </w:r>
    </w:p>
    <w:p w14:paraId="7C333F98" w14:textId="36D6105F" w:rsidR="00693081" w:rsidRPr="00595CB3" w:rsidRDefault="00693081" w:rsidP="00693081">
      <w:pPr>
        <w:pStyle w:val="Caption"/>
        <w:keepNext/>
        <w:outlineLvl w:val="0"/>
        <w:rPr>
          <w:rFonts w:ascii="Arial" w:hAnsi="Arial" w:cs="Arial"/>
          <w:sz w:val="22"/>
          <w:szCs w:val="22"/>
        </w:rPr>
      </w:pPr>
      <w:bookmarkStart w:id="3" w:name="_Toc512547346"/>
      <w:r w:rsidRPr="00595CB3">
        <w:rPr>
          <w:rFonts w:ascii="Arial" w:hAnsi="Arial" w:cs="Arial"/>
          <w:sz w:val="22"/>
          <w:szCs w:val="22"/>
        </w:rPr>
        <w:t xml:space="preserve">Figure </w:t>
      </w:r>
      <w:r w:rsidR="00B076A1">
        <w:rPr>
          <w:rFonts w:ascii="Arial" w:hAnsi="Arial" w:cs="Arial"/>
          <w:sz w:val="22"/>
          <w:szCs w:val="22"/>
        </w:rPr>
        <w:t>3</w:t>
      </w:r>
      <w:r w:rsidRPr="00595CB3">
        <w:rPr>
          <w:rFonts w:ascii="Arial" w:hAnsi="Arial" w:cs="Arial"/>
          <w:sz w:val="22"/>
          <w:szCs w:val="22"/>
        </w:rPr>
        <w:t>. UK oil and net gas production</w:t>
      </w:r>
      <w:r w:rsidRPr="00595CB3">
        <w:rPr>
          <w:rStyle w:val="FootnoteReference"/>
          <w:rFonts w:ascii="Arial" w:hAnsi="Arial" w:cs="Arial"/>
          <w:sz w:val="22"/>
          <w:szCs w:val="22"/>
        </w:rPr>
        <w:footnoteReference w:id="10"/>
      </w:r>
      <w:bookmarkEnd w:id="3"/>
    </w:p>
    <w:p w14:paraId="68CA414D" w14:textId="06A14DB0" w:rsidR="0098282D" w:rsidRPr="00595CB3" w:rsidRDefault="008E6F9E" w:rsidP="00E0694A">
      <w:pPr>
        <w:pStyle w:val="Default"/>
        <w:spacing w:after="180" w:line="276" w:lineRule="auto"/>
        <w:rPr>
          <w:rFonts w:ascii="Arial" w:hAnsi="Arial" w:cs="Arial"/>
          <w:color w:val="auto"/>
          <w:sz w:val="18"/>
          <w:szCs w:val="16"/>
        </w:rPr>
      </w:pPr>
      <w:r>
        <w:rPr>
          <w:noProof/>
        </w:rPr>
        <w:drawing>
          <wp:inline distT="0" distB="0" distL="0" distR="0" wp14:anchorId="1FBEBEF5" wp14:editId="6259D0E1">
            <wp:extent cx="5705475" cy="2621767"/>
            <wp:effectExtent l="0" t="0" r="0" b="0"/>
            <wp:docPr id="1" name="Picture 1" descr="Figure 3 shows UK oil and gas production in million barrels of oil equivalent per day for the period 197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3761" cy="2625575"/>
                    </a:xfrm>
                    <a:prstGeom prst="rect">
                      <a:avLst/>
                    </a:prstGeom>
                    <a:noFill/>
                  </pic:spPr>
                </pic:pic>
              </a:graphicData>
            </a:graphic>
          </wp:inline>
        </w:drawing>
      </w:r>
      <w:r w:rsidR="0098282D" w:rsidRPr="00595CB3">
        <w:rPr>
          <w:rFonts w:ascii="Arial" w:hAnsi="Arial" w:cs="Arial"/>
          <w:color w:val="auto"/>
          <w:sz w:val="18"/>
          <w:szCs w:val="16"/>
        </w:rPr>
        <w:t>Source: OGA</w:t>
      </w:r>
      <w:r w:rsidR="004A6276">
        <w:rPr>
          <w:rFonts w:ascii="Arial" w:hAnsi="Arial" w:cs="Arial"/>
          <w:color w:val="auto"/>
          <w:sz w:val="18"/>
          <w:szCs w:val="16"/>
        </w:rPr>
        <w:t>.</w:t>
      </w:r>
    </w:p>
    <w:p w14:paraId="323818DD" w14:textId="753C6C51" w:rsidR="004F7306" w:rsidRPr="00D34DB8" w:rsidRDefault="004F7306" w:rsidP="006B1D4B">
      <w:pPr>
        <w:pStyle w:val="Default"/>
        <w:spacing w:after="180" w:line="276" w:lineRule="auto"/>
        <w:rPr>
          <w:rFonts w:ascii="Arial" w:hAnsi="Arial" w:cs="Arial"/>
          <w:color w:val="auto"/>
        </w:rPr>
      </w:pPr>
      <w:r w:rsidRPr="00D34DB8">
        <w:rPr>
          <w:rFonts w:ascii="Arial" w:hAnsi="Arial" w:cs="Arial"/>
          <w:color w:val="auto"/>
        </w:rPr>
        <w:t>Combined oil and gas production volumes from the UKCS peaked in 1999 at 4.6 million boe/day and have since declined to 1.6 million boe/day – a consequence of natural reservoir decline in existing fields combined with fewer/smaller developments. Between 2014 and 201</w:t>
      </w:r>
      <w:r w:rsidR="00381929">
        <w:rPr>
          <w:rFonts w:ascii="Arial" w:hAnsi="Arial" w:cs="Arial"/>
          <w:color w:val="auto"/>
        </w:rPr>
        <w:t>7</w:t>
      </w:r>
      <w:r w:rsidRPr="00D34DB8">
        <w:rPr>
          <w:rFonts w:ascii="Arial" w:hAnsi="Arial" w:cs="Arial"/>
          <w:color w:val="auto"/>
        </w:rPr>
        <w:t>, however, this trend was reversed and production on the UKCS increased by 16%.</w:t>
      </w:r>
    </w:p>
    <w:p w14:paraId="78D0B1E2" w14:textId="7CDF6567" w:rsidR="004217C4" w:rsidRPr="00595CB3" w:rsidRDefault="004217C4" w:rsidP="004217C4">
      <w:pPr>
        <w:pStyle w:val="Caption"/>
        <w:keepNext/>
        <w:outlineLvl w:val="0"/>
        <w:rPr>
          <w:rFonts w:ascii="Arial" w:hAnsi="Arial" w:cs="Arial"/>
          <w:sz w:val="22"/>
          <w:szCs w:val="22"/>
        </w:rPr>
      </w:pPr>
      <w:bookmarkStart w:id="4" w:name="_Toc512547334"/>
      <w:r w:rsidRPr="00595CB3">
        <w:rPr>
          <w:rFonts w:ascii="Arial" w:hAnsi="Arial" w:cs="Arial"/>
          <w:sz w:val="22"/>
          <w:szCs w:val="22"/>
        </w:rPr>
        <w:t>Table</w:t>
      </w:r>
      <w:r>
        <w:rPr>
          <w:rFonts w:ascii="Arial" w:hAnsi="Arial" w:cs="Arial"/>
          <w:sz w:val="22"/>
          <w:szCs w:val="22"/>
        </w:rPr>
        <w:t xml:space="preserve"> </w:t>
      </w:r>
      <w:r w:rsidR="00E33BED">
        <w:rPr>
          <w:rFonts w:ascii="Arial" w:hAnsi="Arial" w:cs="Arial"/>
          <w:sz w:val="22"/>
          <w:szCs w:val="22"/>
        </w:rPr>
        <w:t>1</w:t>
      </w:r>
      <w:r w:rsidRPr="00595CB3">
        <w:rPr>
          <w:rFonts w:ascii="Arial" w:hAnsi="Arial" w:cs="Arial"/>
          <w:sz w:val="22"/>
          <w:szCs w:val="22"/>
        </w:rPr>
        <w:t>. Volume and value of production of coal, oil and gas, 201</w:t>
      </w:r>
      <w:r>
        <w:rPr>
          <w:rFonts w:ascii="Arial" w:hAnsi="Arial" w:cs="Arial"/>
          <w:sz w:val="22"/>
          <w:szCs w:val="22"/>
        </w:rPr>
        <w:t>3</w:t>
      </w:r>
      <w:r w:rsidRPr="00595CB3">
        <w:rPr>
          <w:rFonts w:ascii="Arial" w:hAnsi="Arial" w:cs="Arial"/>
          <w:sz w:val="22"/>
          <w:szCs w:val="22"/>
        </w:rPr>
        <w:t>–201</w:t>
      </w:r>
      <w:bookmarkEnd w:id="4"/>
      <w:r>
        <w:rPr>
          <w:rFonts w:ascii="Arial" w:hAnsi="Arial" w:cs="Arial"/>
          <w:sz w:val="22"/>
          <w:szCs w:val="22"/>
        </w:rPr>
        <w:t>7</w:t>
      </w:r>
    </w:p>
    <w:tbl>
      <w:tblPr>
        <w:tblW w:w="0" w:type="auto"/>
        <w:tblLayout w:type="fixed"/>
        <w:tblCellMar>
          <w:left w:w="70" w:type="dxa"/>
          <w:right w:w="70" w:type="dxa"/>
        </w:tblCellMar>
        <w:tblLook w:val="04A0" w:firstRow="1" w:lastRow="0" w:firstColumn="1" w:lastColumn="0" w:noHBand="0" w:noVBand="1"/>
        <w:tblCaption w:val="Table 1 Volume and value of production of coal, oil and gas 2012-2016"/>
        <w:tblDescription w:val="Table 1 displays the volume and value (both in millions) of indigenous production from 2013-2017 for coal, oil and natural gas."/>
      </w:tblPr>
      <w:tblGrid>
        <w:gridCol w:w="496"/>
        <w:gridCol w:w="2294"/>
        <w:gridCol w:w="810"/>
        <w:gridCol w:w="900"/>
        <w:gridCol w:w="810"/>
        <w:gridCol w:w="481"/>
        <w:gridCol w:w="487"/>
        <w:gridCol w:w="630"/>
        <w:gridCol w:w="859"/>
        <w:gridCol w:w="693"/>
      </w:tblGrid>
      <w:tr w:rsidR="004217C4" w:rsidRPr="00595CB3" w14:paraId="7E76F718" w14:textId="77777777" w:rsidTr="006C397F">
        <w:trPr>
          <w:trHeight w:val="283"/>
        </w:trPr>
        <w:tc>
          <w:tcPr>
            <w:tcW w:w="496" w:type="dxa"/>
            <w:tcBorders>
              <w:top w:val="nil"/>
              <w:left w:val="nil"/>
              <w:bottom w:val="nil"/>
              <w:right w:val="nil"/>
            </w:tcBorders>
            <w:shd w:val="clear" w:color="auto" w:fill="auto"/>
            <w:noWrap/>
            <w:vAlign w:val="center"/>
            <w:hideMark/>
          </w:tcPr>
          <w:p w14:paraId="79453498" w14:textId="77777777" w:rsidR="004217C4" w:rsidRPr="00595CB3" w:rsidRDefault="004217C4" w:rsidP="00641701">
            <w:pPr>
              <w:keepNext/>
              <w:rPr>
                <w:rFonts w:ascii="Times New Roman" w:eastAsia="Times New Roman" w:hAnsi="Times New Roman" w:cs="Times New Roman"/>
                <w:szCs w:val="24"/>
                <w:lang w:eastAsia="fr-FR"/>
              </w:rPr>
            </w:pPr>
          </w:p>
        </w:tc>
        <w:tc>
          <w:tcPr>
            <w:tcW w:w="4814" w:type="dxa"/>
            <w:gridSpan w:val="4"/>
            <w:tcBorders>
              <w:top w:val="nil"/>
              <w:left w:val="nil"/>
              <w:bottom w:val="single" w:sz="12" w:space="0" w:color="5B9BD5"/>
              <w:right w:val="nil"/>
            </w:tcBorders>
            <w:shd w:val="clear" w:color="000000" w:fill="244062"/>
            <w:vAlign w:val="center"/>
            <w:hideMark/>
          </w:tcPr>
          <w:p w14:paraId="6EFF910B" w14:textId="77777777" w:rsidR="004217C4" w:rsidRPr="00595CB3" w:rsidRDefault="004217C4" w:rsidP="00641701">
            <w:pPr>
              <w:keepNext/>
              <w:jc w:val="center"/>
              <w:rPr>
                <w:rFonts w:eastAsia="Times New Roman"/>
                <w:b/>
                <w:bCs/>
                <w:color w:val="FFFFFF"/>
                <w:sz w:val="16"/>
                <w:lang w:eastAsia="fr-FR"/>
              </w:rPr>
            </w:pPr>
            <w:r w:rsidRPr="00595CB3">
              <w:rPr>
                <w:rFonts w:eastAsia="Times New Roman"/>
                <w:b/>
                <w:bCs/>
                <w:color w:val="FFFFFF"/>
                <w:sz w:val="16"/>
                <w:lang w:eastAsia="fr-FR"/>
              </w:rPr>
              <w:t>Volume of indigenous production (mtoe)</w:t>
            </w:r>
          </w:p>
        </w:tc>
        <w:tc>
          <w:tcPr>
            <w:tcW w:w="481" w:type="dxa"/>
            <w:tcBorders>
              <w:top w:val="nil"/>
              <w:left w:val="nil"/>
              <w:bottom w:val="nil"/>
              <w:right w:val="nil"/>
            </w:tcBorders>
            <w:shd w:val="clear" w:color="auto" w:fill="auto"/>
            <w:noWrap/>
            <w:vAlign w:val="center"/>
            <w:hideMark/>
          </w:tcPr>
          <w:p w14:paraId="5D6C4D81" w14:textId="77777777" w:rsidR="004217C4" w:rsidRPr="00595CB3" w:rsidRDefault="004217C4" w:rsidP="00641701">
            <w:pPr>
              <w:keepNext/>
              <w:jc w:val="center"/>
              <w:rPr>
                <w:rFonts w:eastAsia="Times New Roman"/>
                <w:b/>
                <w:bCs/>
                <w:color w:val="FFFFFF"/>
                <w:sz w:val="16"/>
                <w:lang w:eastAsia="fr-FR"/>
              </w:rPr>
            </w:pPr>
          </w:p>
        </w:tc>
        <w:tc>
          <w:tcPr>
            <w:tcW w:w="2669" w:type="dxa"/>
            <w:gridSpan w:val="4"/>
            <w:tcBorders>
              <w:top w:val="nil"/>
              <w:left w:val="nil"/>
              <w:bottom w:val="single" w:sz="12" w:space="0" w:color="5B9BD5"/>
              <w:right w:val="nil"/>
            </w:tcBorders>
            <w:shd w:val="clear" w:color="000000" w:fill="244062"/>
            <w:vAlign w:val="center"/>
            <w:hideMark/>
          </w:tcPr>
          <w:p w14:paraId="1EE6271B" w14:textId="77777777" w:rsidR="004217C4" w:rsidRPr="00595CB3" w:rsidRDefault="004217C4" w:rsidP="00641701">
            <w:pPr>
              <w:keepNext/>
              <w:jc w:val="center"/>
              <w:rPr>
                <w:rFonts w:eastAsia="Times New Roman"/>
                <w:b/>
                <w:bCs/>
                <w:color w:val="FFFFFF"/>
                <w:sz w:val="16"/>
                <w:lang w:eastAsia="fr-FR"/>
              </w:rPr>
            </w:pPr>
            <w:r w:rsidRPr="00595CB3">
              <w:rPr>
                <w:rFonts w:eastAsia="Times New Roman"/>
                <w:b/>
                <w:bCs/>
                <w:color w:val="FFFFFF"/>
                <w:sz w:val="16"/>
                <w:lang w:eastAsia="fr-FR"/>
              </w:rPr>
              <w:t>Value of indigenous production (£ million)</w:t>
            </w:r>
          </w:p>
        </w:tc>
      </w:tr>
      <w:tr w:rsidR="006203E8" w:rsidRPr="00595CB3" w14:paraId="5C5DD785" w14:textId="77777777" w:rsidTr="008B6862">
        <w:trPr>
          <w:trHeight w:val="283"/>
        </w:trPr>
        <w:tc>
          <w:tcPr>
            <w:tcW w:w="496" w:type="dxa"/>
            <w:tcBorders>
              <w:top w:val="nil"/>
              <w:left w:val="nil"/>
              <w:bottom w:val="nil"/>
              <w:right w:val="nil"/>
            </w:tcBorders>
            <w:shd w:val="clear" w:color="000000" w:fill="BFBFBF"/>
            <w:vAlign w:val="center"/>
            <w:hideMark/>
          </w:tcPr>
          <w:p w14:paraId="34F24E14" w14:textId="77777777" w:rsidR="004217C4" w:rsidRPr="00595CB3" w:rsidRDefault="004217C4" w:rsidP="008B6862">
            <w:pPr>
              <w:keepNext/>
              <w:rPr>
                <w:rFonts w:eastAsia="Times New Roman"/>
                <w:b/>
                <w:bCs/>
                <w:color w:val="000000"/>
                <w:sz w:val="16"/>
                <w:lang w:eastAsia="fr-FR"/>
              </w:rPr>
            </w:pPr>
            <w:r w:rsidRPr="00595CB3">
              <w:rPr>
                <w:rFonts w:eastAsia="Times New Roman"/>
                <w:b/>
                <w:bCs/>
                <w:color w:val="000000"/>
                <w:sz w:val="16"/>
                <w:lang w:eastAsia="fr-FR"/>
              </w:rPr>
              <w:t>Year</w:t>
            </w:r>
          </w:p>
        </w:tc>
        <w:tc>
          <w:tcPr>
            <w:tcW w:w="2294" w:type="dxa"/>
            <w:tcBorders>
              <w:top w:val="nil"/>
              <w:left w:val="nil"/>
              <w:bottom w:val="nil"/>
              <w:right w:val="nil"/>
            </w:tcBorders>
            <w:shd w:val="clear" w:color="000000" w:fill="BFBFBF"/>
            <w:vAlign w:val="center"/>
            <w:hideMark/>
          </w:tcPr>
          <w:p w14:paraId="4EAA2091"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Coal</w:t>
            </w:r>
          </w:p>
        </w:tc>
        <w:tc>
          <w:tcPr>
            <w:tcW w:w="810" w:type="dxa"/>
            <w:tcBorders>
              <w:top w:val="nil"/>
              <w:left w:val="nil"/>
              <w:bottom w:val="nil"/>
              <w:right w:val="nil"/>
            </w:tcBorders>
            <w:shd w:val="clear" w:color="000000" w:fill="BFBFBF"/>
            <w:vAlign w:val="center"/>
            <w:hideMark/>
          </w:tcPr>
          <w:p w14:paraId="6FB04991"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Oil</w:t>
            </w:r>
          </w:p>
        </w:tc>
        <w:tc>
          <w:tcPr>
            <w:tcW w:w="900" w:type="dxa"/>
            <w:tcBorders>
              <w:top w:val="nil"/>
              <w:left w:val="nil"/>
              <w:bottom w:val="nil"/>
              <w:right w:val="nil"/>
            </w:tcBorders>
            <w:shd w:val="clear" w:color="000000" w:fill="BFBFBF"/>
            <w:vAlign w:val="center"/>
            <w:hideMark/>
          </w:tcPr>
          <w:p w14:paraId="59033948"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Natural Gas</w:t>
            </w:r>
          </w:p>
        </w:tc>
        <w:tc>
          <w:tcPr>
            <w:tcW w:w="810" w:type="dxa"/>
            <w:tcBorders>
              <w:top w:val="nil"/>
              <w:left w:val="nil"/>
              <w:bottom w:val="nil"/>
              <w:right w:val="nil"/>
            </w:tcBorders>
            <w:shd w:val="clear" w:color="000000" w:fill="BFBFBF"/>
            <w:vAlign w:val="center"/>
            <w:hideMark/>
          </w:tcPr>
          <w:p w14:paraId="6BB977DD"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Oil &amp; Gas</w:t>
            </w:r>
          </w:p>
        </w:tc>
        <w:tc>
          <w:tcPr>
            <w:tcW w:w="481" w:type="dxa"/>
            <w:tcBorders>
              <w:top w:val="nil"/>
              <w:left w:val="nil"/>
              <w:bottom w:val="nil"/>
              <w:right w:val="nil"/>
            </w:tcBorders>
            <w:shd w:val="clear" w:color="auto" w:fill="auto"/>
            <w:noWrap/>
            <w:vAlign w:val="center"/>
            <w:hideMark/>
          </w:tcPr>
          <w:p w14:paraId="45384B07" w14:textId="77777777" w:rsidR="004217C4" w:rsidRPr="00595CB3" w:rsidRDefault="004217C4" w:rsidP="00641701">
            <w:pPr>
              <w:keepNext/>
              <w:jc w:val="right"/>
              <w:rPr>
                <w:rFonts w:eastAsia="Times New Roman"/>
                <w:b/>
                <w:bCs/>
                <w:color w:val="000000"/>
                <w:sz w:val="16"/>
                <w:lang w:eastAsia="fr-FR"/>
              </w:rPr>
            </w:pPr>
          </w:p>
        </w:tc>
        <w:tc>
          <w:tcPr>
            <w:tcW w:w="487" w:type="dxa"/>
            <w:tcBorders>
              <w:top w:val="nil"/>
              <w:left w:val="nil"/>
              <w:bottom w:val="nil"/>
              <w:right w:val="nil"/>
            </w:tcBorders>
            <w:shd w:val="clear" w:color="000000" w:fill="BFBFBF"/>
            <w:vAlign w:val="center"/>
            <w:hideMark/>
          </w:tcPr>
          <w:p w14:paraId="1BA31B32"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Coal</w:t>
            </w:r>
          </w:p>
        </w:tc>
        <w:tc>
          <w:tcPr>
            <w:tcW w:w="630" w:type="dxa"/>
            <w:tcBorders>
              <w:top w:val="nil"/>
              <w:left w:val="nil"/>
              <w:bottom w:val="nil"/>
              <w:right w:val="nil"/>
            </w:tcBorders>
            <w:shd w:val="clear" w:color="000000" w:fill="BFBFBF"/>
            <w:vAlign w:val="center"/>
            <w:hideMark/>
          </w:tcPr>
          <w:p w14:paraId="5B5703DC"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Oil</w:t>
            </w:r>
          </w:p>
        </w:tc>
        <w:tc>
          <w:tcPr>
            <w:tcW w:w="859" w:type="dxa"/>
            <w:tcBorders>
              <w:top w:val="nil"/>
              <w:left w:val="nil"/>
              <w:bottom w:val="nil"/>
              <w:right w:val="nil"/>
            </w:tcBorders>
            <w:shd w:val="clear" w:color="000000" w:fill="BFBFBF"/>
            <w:vAlign w:val="center"/>
            <w:hideMark/>
          </w:tcPr>
          <w:p w14:paraId="343BFFB1"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Natural Gas</w:t>
            </w:r>
          </w:p>
        </w:tc>
        <w:tc>
          <w:tcPr>
            <w:tcW w:w="693" w:type="dxa"/>
            <w:tcBorders>
              <w:top w:val="nil"/>
              <w:left w:val="nil"/>
              <w:bottom w:val="nil"/>
              <w:right w:val="nil"/>
            </w:tcBorders>
            <w:shd w:val="clear" w:color="000000" w:fill="BFBFBF"/>
            <w:vAlign w:val="center"/>
            <w:hideMark/>
          </w:tcPr>
          <w:p w14:paraId="7CCCEAEF" w14:textId="77777777" w:rsidR="004217C4" w:rsidRPr="00595CB3" w:rsidRDefault="004217C4" w:rsidP="00641701">
            <w:pPr>
              <w:keepNext/>
              <w:jc w:val="right"/>
              <w:rPr>
                <w:rFonts w:eastAsia="Times New Roman"/>
                <w:b/>
                <w:bCs/>
                <w:color w:val="000000"/>
                <w:sz w:val="16"/>
                <w:lang w:eastAsia="fr-FR"/>
              </w:rPr>
            </w:pPr>
            <w:r w:rsidRPr="00595CB3">
              <w:rPr>
                <w:rFonts w:eastAsia="Times New Roman"/>
                <w:b/>
                <w:bCs/>
                <w:color w:val="000000"/>
                <w:sz w:val="16"/>
                <w:lang w:eastAsia="fr-FR"/>
              </w:rPr>
              <w:t>Oil &amp; Gas</w:t>
            </w:r>
          </w:p>
        </w:tc>
      </w:tr>
      <w:tr w:rsidR="006203E8" w:rsidRPr="00595CB3" w14:paraId="6FC47F24" w14:textId="77777777" w:rsidTr="008B6862">
        <w:trPr>
          <w:trHeight w:val="283"/>
        </w:trPr>
        <w:tc>
          <w:tcPr>
            <w:tcW w:w="496" w:type="dxa"/>
            <w:tcBorders>
              <w:top w:val="nil"/>
              <w:left w:val="nil"/>
              <w:bottom w:val="nil"/>
              <w:right w:val="nil"/>
            </w:tcBorders>
            <w:shd w:val="clear" w:color="000000" w:fill="BDD7EE"/>
            <w:noWrap/>
            <w:vAlign w:val="center"/>
            <w:hideMark/>
          </w:tcPr>
          <w:p w14:paraId="1721FD88" w14:textId="31A4B581" w:rsidR="00E9457E" w:rsidRPr="00595CB3" w:rsidRDefault="00E9457E" w:rsidP="008B6862">
            <w:pPr>
              <w:keepNext/>
              <w:rPr>
                <w:rFonts w:eastAsia="Times New Roman"/>
                <w:b/>
                <w:bCs/>
                <w:color w:val="000000"/>
                <w:sz w:val="16"/>
                <w:lang w:eastAsia="fr-FR"/>
              </w:rPr>
            </w:pPr>
            <w:r w:rsidRPr="00595CB3">
              <w:rPr>
                <w:rFonts w:eastAsia="Times New Roman"/>
                <w:b/>
                <w:bCs/>
                <w:color w:val="000000"/>
                <w:sz w:val="16"/>
                <w:lang w:eastAsia="fr-FR"/>
              </w:rPr>
              <w:t>201</w:t>
            </w:r>
            <w:r>
              <w:rPr>
                <w:rFonts w:eastAsia="Times New Roman"/>
                <w:b/>
                <w:bCs/>
                <w:color w:val="000000"/>
                <w:sz w:val="16"/>
                <w:lang w:eastAsia="fr-FR"/>
              </w:rPr>
              <w:t>3</w:t>
            </w:r>
          </w:p>
        </w:tc>
        <w:tc>
          <w:tcPr>
            <w:tcW w:w="2294" w:type="dxa"/>
            <w:tcBorders>
              <w:top w:val="nil"/>
              <w:left w:val="nil"/>
              <w:bottom w:val="nil"/>
              <w:right w:val="nil"/>
            </w:tcBorders>
            <w:shd w:val="clear" w:color="000000" w:fill="BDD7EE"/>
            <w:noWrap/>
            <w:vAlign w:val="center"/>
            <w:hideMark/>
          </w:tcPr>
          <w:p w14:paraId="0E0819AF" w14:textId="58EA01A0" w:rsidR="00E9457E" w:rsidRPr="006203E8" w:rsidRDefault="00E9457E" w:rsidP="00964863">
            <w:pPr>
              <w:keepNext/>
              <w:jc w:val="right"/>
              <w:rPr>
                <w:rFonts w:eastAsia="Times New Roman"/>
                <w:color w:val="000000"/>
                <w:sz w:val="16"/>
                <w:lang w:eastAsia="fr-FR"/>
              </w:rPr>
            </w:pPr>
            <w:r w:rsidRPr="006203E8">
              <w:rPr>
                <w:color w:val="000000"/>
                <w:sz w:val="16"/>
                <w:szCs w:val="20"/>
              </w:rPr>
              <w:t>7.973</w:t>
            </w:r>
          </w:p>
        </w:tc>
        <w:tc>
          <w:tcPr>
            <w:tcW w:w="810" w:type="dxa"/>
            <w:tcBorders>
              <w:top w:val="nil"/>
              <w:left w:val="nil"/>
              <w:bottom w:val="nil"/>
              <w:right w:val="nil"/>
            </w:tcBorders>
            <w:shd w:val="clear" w:color="000000" w:fill="BDD7EE"/>
            <w:noWrap/>
            <w:vAlign w:val="center"/>
            <w:hideMark/>
          </w:tcPr>
          <w:p w14:paraId="67CE08CB" w14:textId="40060948" w:rsidR="00E9457E" w:rsidRPr="006203E8" w:rsidRDefault="00E9457E" w:rsidP="00964863">
            <w:pPr>
              <w:keepNext/>
              <w:jc w:val="right"/>
              <w:rPr>
                <w:rFonts w:eastAsia="Times New Roman"/>
                <w:color w:val="000000"/>
                <w:sz w:val="16"/>
                <w:lang w:eastAsia="fr-FR"/>
              </w:rPr>
            </w:pPr>
            <w:r w:rsidRPr="006203E8">
              <w:rPr>
                <w:color w:val="000000"/>
                <w:sz w:val="16"/>
                <w:szCs w:val="20"/>
              </w:rPr>
              <w:t>44.468</w:t>
            </w:r>
          </w:p>
        </w:tc>
        <w:tc>
          <w:tcPr>
            <w:tcW w:w="900" w:type="dxa"/>
            <w:tcBorders>
              <w:top w:val="nil"/>
              <w:left w:val="nil"/>
              <w:bottom w:val="nil"/>
              <w:right w:val="nil"/>
            </w:tcBorders>
            <w:shd w:val="clear" w:color="000000" w:fill="BDD7EE"/>
            <w:noWrap/>
            <w:vAlign w:val="center"/>
            <w:hideMark/>
          </w:tcPr>
          <w:p w14:paraId="663432C1" w14:textId="6693C257" w:rsidR="00E9457E" w:rsidRPr="006203E8" w:rsidRDefault="00E9457E">
            <w:pPr>
              <w:keepNext/>
              <w:jc w:val="right"/>
              <w:rPr>
                <w:rFonts w:eastAsia="Times New Roman"/>
                <w:color w:val="000000"/>
                <w:sz w:val="16"/>
                <w:lang w:eastAsia="fr-FR"/>
              </w:rPr>
            </w:pPr>
            <w:r w:rsidRPr="006203E8">
              <w:rPr>
                <w:color w:val="000000"/>
                <w:sz w:val="16"/>
                <w:szCs w:val="20"/>
              </w:rPr>
              <w:t>35.331</w:t>
            </w:r>
          </w:p>
        </w:tc>
        <w:tc>
          <w:tcPr>
            <w:tcW w:w="810" w:type="dxa"/>
            <w:tcBorders>
              <w:top w:val="nil"/>
              <w:left w:val="nil"/>
              <w:bottom w:val="nil"/>
              <w:right w:val="nil"/>
            </w:tcBorders>
            <w:shd w:val="clear" w:color="000000" w:fill="BDD7EE"/>
            <w:noWrap/>
            <w:vAlign w:val="center"/>
            <w:hideMark/>
          </w:tcPr>
          <w:p w14:paraId="7B8BFC3D" w14:textId="2BADD67B" w:rsidR="00E9457E" w:rsidRPr="006203E8" w:rsidRDefault="00E9457E">
            <w:pPr>
              <w:keepNext/>
              <w:jc w:val="right"/>
              <w:rPr>
                <w:rFonts w:eastAsia="Times New Roman"/>
                <w:color w:val="000000"/>
                <w:sz w:val="16"/>
                <w:lang w:eastAsia="fr-FR"/>
              </w:rPr>
            </w:pPr>
            <w:r w:rsidRPr="006203E8">
              <w:rPr>
                <w:color w:val="000000"/>
                <w:sz w:val="16"/>
                <w:szCs w:val="20"/>
              </w:rPr>
              <w:t>79.799</w:t>
            </w:r>
          </w:p>
        </w:tc>
        <w:tc>
          <w:tcPr>
            <w:tcW w:w="481" w:type="dxa"/>
            <w:tcBorders>
              <w:top w:val="nil"/>
              <w:left w:val="nil"/>
              <w:bottom w:val="nil"/>
              <w:right w:val="nil"/>
            </w:tcBorders>
            <w:shd w:val="clear" w:color="auto" w:fill="auto"/>
            <w:noWrap/>
            <w:vAlign w:val="bottom"/>
            <w:hideMark/>
          </w:tcPr>
          <w:p w14:paraId="4458A01A" w14:textId="77777777" w:rsidR="00E9457E" w:rsidRPr="006203E8" w:rsidRDefault="00E9457E" w:rsidP="00E9457E">
            <w:pPr>
              <w:keepNext/>
              <w:jc w:val="right"/>
              <w:rPr>
                <w:rFonts w:eastAsia="Times New Roman"/>
                <w:color w:val="000000"/>
                <w:sz w:val="16"/>
                <w:lang w:eastAsia="fr-FR"/>
              </w:rPr>
            </w:pPr>
          </w:p>
        </w:tc>
        <w:tc>
          <w:tcPr>
            <w:tcW w:w="487" w:type="dxa"/>
            <w:tcBorders>
              <w:top w:val="nil"/>
              <w:left w:val="nil"/>
              <w:bottom w:val="nil"/>
              <w:right w:val="nil"/>
            </w:tcBorders>
            <w:shd w:val="clear" w:color="000000" w:fill="BDD7EE"/>
            <w:noWrap/>
            <w:vAlign w:val="center"/>
            <w:hideMark/>
          </w:tcPr>
          <w:p w14:paraId="1702EDAC" w14:textId="650B26F9" w:rsidR="00E9457E" w:rsidRPr="006203E8" w:rsidRDefault="00E9457E" w:rsidP="00964863">
            <w:pPr>
              <w:keepNext/>
              <w:jc w:val="right"/>
              <w:rPr>
                <w:rFonts w:eastAsia="Times New Roman"/>
                <w:color w:val="000000"/>
                <w:sz w:val="16"/>
                <w:lang w:eastAsia="fr-FR"/>
              </w:rPr>
            </w:pPr>
            <w:r w:rsidRPr="006203E8">
              <w:rPr>
                <w:color w:val="000000"/>
                <w:sz w:val="16"/>
                <w:szCs w:val="20"/>
              </w:rPr>
              <w:t>500</w:t>
            </w:r>
          </w:p>
        </w:tc>
        <w:tc>
          <w:tcPr>
            <w:tcW w:w="630" w:type="dxa"/>
            <w:tcBorders>
              <w:top w:val="nil"/>
              <w:left w:val="nil"/>
              <w:bottom w:val="nil"/>
              <w:right w:val="nil"/>
            </w:tcBorders>
            <w:shd w:val="clear" w:color="000000" w:fill="BDD7EE"/>
            <w:noWrap/>
            <w:vAlign w:val="center"/>
            <w:hideMark/>
          </w:tcPr>
          <w:p w14:paraId="6664AC5C" w14:textId="5BFCEF05" w:rsidR="00E9457E" w:rsidRPr="006203E8" w:rsidRDefault="00E9457E">
            <w:pPr>
              <w:keepNext/>
              <w:jc w:val="right"/>
              <w:rPr>
                <w:rFonts w:eastAsia="Times New Roman"/>
                <w:color w:val="000000"/>
                <w:sz w:val="16"/>
                <w:lang w:eastAsia="fr-FR"/>
              </w:rPr>
            </w:pPr>
            <w:r w:rsidRPr="006203E8">
              <w:rPr>
                <w:color w:val="000000"/>
                <w:sz w:val="16"/>
                <w:szCs w:val="20"/>
              </w:rPr>
              <w:t>21,330</w:t>
            </w:r>
          </w:p>
        </w:tc>
        <w:tc>
          <w:tcPr>
            <w:tcW w:w="859" w:type="dxa"/>
            <w:tcBorders>
              <w:top w:val="nil"/>
              <w:left w:val="nil"/>
              <w:bottom w:val="nil"/>
              <w:right w:val="nil"/>
            </w:tcBorders>
            <w:shd w:val="clear" w:color="000000" w:fill="BDD7EE"/>
            <w:noWrap/>
            <w:vAlign w:val="center"/>
            <w:hideMark/>
          </w:tcPr>
          <w:p w14:paraId="3F352D33" w14:textId="39FCC488" w:rsidR="00E9457E" w:rsidRPr="006203E8" w:rsidRDefault="00E9457E">
            <w:pPr>
              <w:keepNext/>
              <w:jc w:val="right"/>
              <w:rPr>
                <w:rFonts w:eastAsia="Times New Roman"/>
                <w:color w:val="000000"/>
                <w:sz w:val="16"/>
                <w:lang w:eastAsia="fr-FR"/>
              </w:rPr>
            </w:pPr>
            <w:r w:rsidRPr="006203E8">
              <w:rPr>
                <w:color w:val="000000"/>
                <w:sz w:val="16"/>
                <w:szCs w:val="20"/>
              </w:rPr>
              <w:t>7,755</w:t>
            </w:r>
          </w:p>
        </w:tc>
        <w:tc>
          <w:tcPr>
            <w:tcW w:w="693" w:type="dxa"/>
            <w:tcBorders>
              <w:top w:val="nil"/>
              <w:left w:val="nil"/>
              <w:bottom w:val="nil"/>
              <w:right w:val="nil"/>
            </w:tcBorders>
            <w:shd w:val="clear" w:color="000000" w:fill="BDD7EE"/>
            <w:noWrap/>
            <w:vAlign w:val="center"/>
            <w:hideMark/>
          </w:tcPr>
          <w:p w14:paraId="7613C6F4" w14:textId="45F4CB79" w:rsidR="00E9457E" w:rsidRPr="006203E8" w:rsidRDefault="00E9457E">
            <w:pPr>
              <w:keepNext/>
              <w:jc w:val="right"/>
              <w:rPr>
                <w:rFonts w:eastAsia="Times New Roman"/>
                <w:color w:val="000000"/>
                <w:sz w:val="16"/>
                <w:lang w:eastAsia="fr-FR"/>
              </w:rPr>
            </w:pPr>
            <w:r w:rsidRPr="006203E8">
              <w:rPr>
                <w:color w:val="000000"/>
                <w:sz w:val="16"/>
                <w:szCs w:val="20"/>
              </w:rPr>
              <w:t>29,085</w:t>
            </w:r>
          </w:p>
        </w:tc>
      </w:tr>
      <w:tr w:rsidR="006203E8" w:rsidRPr="00595CB3" w14:paraId="6B41B1CD" w14:textId="77777777" w:rsidTr="008B6862">
        <w:trPr>
          <w:trHeight w:val="283"/>
        </w:trPr>
        <w:tc>
          <w:tcPr>
            <w:tcW w:w="496" w:type="dxa"/>
            <w:tcBorders>
              <w:top w:val="nil"/>
              <w:left w:val="nil"/>
              <w:bottom w:val="nil"/>
              <w:right w:val="nil"/>
            </w:tcBorders>
            <w:shd w:val="clear" w:color="auto" w:fill="auto"/>
            <w:noWrap/>
            <w:vAlign w:val="center"/>
            <w:hideMark/>
          </w:tcPr>
          <w:p w14:paraId="604E75B2" w14:textId="5A3B2E19" w:rsidR="00E9457E" w:rsidRPr="00595CB3" w:rsidRDefault="00E9457E" w:rsidP="008B6862">
            <w:pPr>
              <w:keepNext/>
              <w:rPr>
                <w:rFonts w:eastAsia="Times New Roman"/>
                <w:b/>
                <w:bCs/>
                <w:color w:val="000000"/>
                <w:sz w:val="16"/>
                <w:lang w:eastAsia="fr-FR"/>
              </w:rPr>
            </w:pPr>
            <w:r w:rsidRPr="00595CB3">
              <w:rPr>
                <w:rFonts w:eastAsia="Times New Roman"/>
                <w:b/>
                <w:bCs/>
                <w:color w:val="000000"/>
                <w:sz w:val="16"/>
                <w:lang w:eastAsia="fr-FR"/>
              </w:rPr>
              <w:t>201</w:t>
            </w:r>
            <w:r>
              <w:rPr>
                <w:rFonts w:eastAsia="Times New Roman"/>
                <w:b/>
                <w:bCs/>
                <w:color w:val="000000"/>
                <w:sz w:val="16"/>
                <w:lang w:eastAsia="fr-FR"/>
              </w:rPr>
              <w:t>4</w:t>
            </w:r>
          </w:p>
        </w:tc>
        <w:tc>
          <w:tcPr>
            <w:tcW w:w="2294" w:type="dxa"/>
            <w:tcBorders>
              <w:top w:val="nil"/>
              <w:left w:val="nil"/>
              <w:bottom w:val="nil"/>
              <w:right w:val="nil"/>
            </w:tcBorders>
            <w:shd w:val="clear" w:color="auto" w:fill="auto"/>
            <w:noWrap/>
            <w:vAlign w:val="center"/>
            <w:hideMark/>
          </w:tcPr>
          <w:p w14:paraId="3D0623FA" w14:textId="28820FA6" w:rsidR="00E9457E" w:rsidRPr="006203E8" w:rsidRDefault="00E9457E" w:rsidP="00964863">
            <w:pPr>
              <w:keepNext/>
              <w:jc w:val="right"/>
              <w:rPr>
                <w:rFonts w:eastAsia="Times New Roman"/>
                <w:color w:val="000000"/>
                <w:sz w:val="16"/>
                <w:lang w:eastAsia="fr-FR"/>
              </w:rPr>
            </w:pPr>
            <w:r w:rsidRPr="006203E8">
              <w:rPr>
                <w:color w:val="000000"/>
                <w:sz w:val="16"/>
                <w:szCs w:val="20"/>
              </w:rPr>
              <w:t>7.289</w:t>
            </w:r>
          </w:p>
        </w:tc>
        <w:tc>
          <w:tcPr>
            <w:tcW w:w="810" w:type="dxa"/>
            <w:tcBorders>
              <w:top w:val="nil"/>
              <w:left w:val="nil"/>
              <w:bottom w:val="nil"/>
              <w:right w:val="nil"/>
            </w:tcBorders>
            <w:shd w:val="clear" w:color="auto" w:fill="auto"/>
            <w:noWrap/>
            <w:vAlign w:val="center"/>
            <w:hideMark/>
          </w:tcPr>
          <w:p w14:paraId="2F9F0065" w14:textId="128B9909" w:rsidR="00E9457E" w:rsidRPr="006203E8" w:rsidRDefault="00E9457E" w:rsidP="00964863">
            <w:pPr>
              <w:keepNext/>
              <w:jc w:val="right"/>
              <w:rPr>
                <w:rFonts w:eastAsia="Times New Roman"/>
                <w:color w:val="000000"/>
                <w:sz w:val="16"/>
                <w:lang w:eastAsia="fr-FR"/>
              </w:rPr>
            </w:pPr>
            <w:r w:rsidRPr="006203E8">
              <w:rPr>
                <w:color w:val="000000"/>
                <w:sz w:val="16"/>
                <w:szCs w:val="20"/>
              </w:rPr>
              <w:t>43.705</w:t>
            </w:r>
          </w:p>
        </w:tc>
        <w:tc>
          <w:tcPr>
            <w:tcW w:w="900" w:type="dxa"/>
            <w:tcBorders>
              <w:top w:val="nil"/>
              <w:left w:val="nil"/>
              <w:bottom w:val="nil"/>
              <w:right w:val="nil"/>
            </w:tcBorders>
            <w:shd w:val="clear" w:color="auto" w:fill="auto"/>
            <w:noWrap/>
            <w:vAlign w:val="center"/>
            <w:hideMark/>
          </w:tcPr>
          <w:p w14:paraId="01DEDC9D" w14:textId="4B906E93" w:rsidR="00E9457E" w:rsidRPr="006203E8" w:rsidRDefault="00E9457E">
            <w:pPr>
              <w:keepNext/>
              <w:jc w:val="right"/>
              <w:rPr>
                <w:rFonts w:eastAsia="Times New Roman"/>
                <w:color w:val="000000"/>
                <w:sz w:val="16"/>
                <w:lang w:eastAsia="fr-FR"/>
              </w:rPr>
            </w:pPr>
            <w:r w:rsidRPr="006203E8">
              <w:rPr>
                <w:color w:val="000000"/>
                <w:sz w:val="16"/>
                <w:szCs w:val="20"/>
              </w:rPr>
              <w:t>35.762</w:t>
            </w:r>
          </w:p>
        </w:tc>
        <w:tc>
          <w:tcPr>
            <w:tcW w:w="810" w:type="dxa"/>
            <w:tcBorders>
              <w:top w:val="nil"/>
              <w:left w:val="nil"/>
              <w:bottom w:val="nil"/>
              <w:right w:val="nil"/>
            </w:tcBorders>
            <w:shd w:val="clear" w:color="auto" w:fill="auto"/>
            <w:noWrap/>
            <w:vAlign w:val="center"/>
            <w:hideMark/>
          </w:tcPr>
          <w:p w14:paraId="5DC2362B" w14:textId="2E2B5B85" w:rsidR="00E9457E" w:rsidRPr="006203E8" w:rsidRDefault="00E9457E">
            <w:pPr>
              <w:keepNext/>
              <w:jc w:val="right"/>
              <w:rPr>
                <w:rFonts w:eastAsia="Times New Roman"/>
                <w:color w:val="000000"/>
                <w:sz w:val="16"/>
                <w:lang w:eastAsia="fr-FR"/>
              </w:rPr>
            </w:pPr>
            <w:r w:rsidRPr="006203E8">
              <w:rPr>
                <w:color w:val="000000"/>
                <w:sz w:val="16"/>
                <w:szCs w:val="20"/>
              </w:rPr>
              <w:t>79.467</w:t>
            </w:r>
          </w:p>
        </w:tc>
        <w:tc>
          <w:tcPr>
            <w:tcW w:w="481" w:type="dxa"/>
            <w:tcBorders>
              <w:top w:val="nil"/>
              <w:left w:val="nil"/>
              <w:bottom w:val="nil"/>
              <w:right w:val="nil"/>
            </w:tcBorders>
            <w:shd w:val="clear" w:color="auto" w:fill="auto"/>
            <w:noWrap/>
            <w:vAlign w:val="bottom"/>
            <w:hideMark/>
          </w:tcPr>
          <w:p w14:paraId="7EA5063B" w14:textId="77777777" w:rsidR="00E9457E" w:rsidRPr="006203E8" w:rsidRDefault="00E9457E" w:rsidP="00E9457E">
            <w:pPr>
              <w:keepNext/>
              <w:jc w:val="right"/>
              <w:rPr>
                <w:rFonts w:eastAsia="Times New Roman"/>
                <w:color w:val="000000"/>
                <w:sz w:val="16"/>
                <w:lang w:eastAsia="fr-FR"/>
              </w:rPr>
            </w:pPr>
          </w:p>
        </w:tc>
        <w:tc>
          <w:tcPr>
            <w:tcW w:w="487" w:type="dxa"/>
            <w:tcBorders>
              <w:top w:val="nil"/>
              <w:left w:val="nil"/>
              <w:bottom w:val="nil"/>
              <w:right w:val="nil"/>
            </w:tcBorders>
            <w:shd w:val="clear" w:color="auto" w:fill="auto"/>
            <w:noWrap/>
            <w:vAlign w:val="center"/>
            <w:hideMark/>
          </w:tcPr>
          <w:p w14:paraId="1BED0AE2" w14:textId="7AE4EB33" w:rsidR="00E9457E" w:rsidRPr="006203E8" w:rsidRDefault="00E9457E" w:rsidP="00964863">
            <w:pPr>
              <w:keepNext/>
              <w:jc w:val="right"/>
              <w:rPr>
                <w:rFonts w:eastAsia="Times New Roman"/>
                <w:color w:val="000000"/>
                <w:sz w:val="16"/>
                <w:lang w:eastAsia="fr-FR"/>
              </w:rPr>
            </w:pPr>
            <w:r w:rsidRPr="006203E8">
              <w:rPr>
                <w:color w:val="000000"/>
                <w:sz w:val="16"/>
                <w:szCs w:val="20"/>
              </w:rPr>
              <w:t>390</w:t>
            </w:r>
          </w:p>
        </w:tc>
        <w:tc>
          <w:tcPr>
            <w:tcW w:w="630" w:type="dxa"/>
            <w:tcBorders>
              <w:top w:val="nil"/>
              <w:left w:val="nil"/>
              <w:bottom w:val="nil"/>
              <w:right w:val="nil"/>
            </w:tcBorders>
            <w:shd w:val="clear" w:color="auto" w:fill="auto"/>
            <w:noWrap/>
            <w:vAlign w:val="center"/>
            <w:hideMark/>
          </w:tcPr>
          <w:p w14:paraId="6FC746E8" w14:textId="562AAF75" w:rsidR="00E9457E" w:rsidRPr="006203E8" w:rsidRDefault="00E9457E">
            <w:pPr>
              <w:keepNext/>
              <w:jc w:val="right"/>
              <w:rPr>
                <w:rFonts w:eastAsia="Times New Roman"/>
                <w:color w:val="000000"/>
                <w:sz w:val="16"/>
                <w:lang w:eastAsia="fr-FR"/>
              </w:rPr>
            </w:pPr>
            <w:r w:rsidRPr="006203E8">
              <w:rPr>
                <w:color w:val="000000"/>
                <w:sz w:val="16"/>
                <w:szCs w:val="20"/>
              </w:rPr>
              <w:t>18,135</w:t>
            </w:r>
          </w:p>
        </w:tc>
        <w:tc>
          <w:tcPr>
            <w:tcW w:w="859" w:type="dxa"/>
            <w:tcBorders>
              <w:top w:val="nil"/>
              <w:left w:val="nil"/>
              <w:bottom w:val="nil"/>
              <w:right w:val="nil"/>
            </w:tcBorders>
            <w:shd w:val="clear" w:color="auto" w:fill="auto"/>
            <w:noWrap/>
            <w:vAlign w:val="center"/>
            <w:hideMark/>
          </w:tcPr>
          <w:p w14:paraId="4AF82512" w14:textId="3254EEED" w:rsidR="00E9457E" w:rsidRPr="006203E8" w:rsidRDefault="00E9457E">
            <w:pPr>
              <w:keepNext/>
              <w:jc w:val="right"/>
              <w:rPr>
                <w:rFonts w:eastAsia="Times New Roman"/>
                <w:color w:val="000000"/>
                <w:sz w:val="16"/>
                <w:lang w:eastAsia="fr-FR"/>
              </w:rPr>
            </w:pPr>
            <w:r w:rsidRPr="006203E8">
              <w:rPr>
                <w:color w:val="000000"/>
                <w:sz w:val="16"/>
                <w:szCs w:val="20"/>
              </w:rPr>
              <w:t>6,315</w:t>
            </w:r>
          </w:p>
        </w:tc>
        <w:tc>
          <w:tcPr>
            <w:tcW w:w="693" w:type="dxa"/>
            <w:tcBorders>
              <w:top w:val="nil"/>
              <w:left w:val="nil"/>
              <w:bottom w:val="nil"/>
              <w:right w:val="nil"/>
            </w:tcBorders>
            <w:shd w:val="clear" w:color="auto" w:fill="auto"/>
            <w:noWrap/>
            <w:vAlign w:val="center"/>
            <w:hideMark/>
          </w:tcPr>
          <w:p w14:paraId="2CB307DF" w14:textId="7512030E" w:rsidR="00E9457E" w:rsidRPr="006203E8" w:rsidRDefault="00E9457E">
            <w:pPr>
              <w:keepNext/>
              <w:jc w:val="right"/>
              <w:rPr>
                <w:rFonts w:eastAsia="Times New Roman"/>
                <w:color w:val="000000"/>
                <w:sz w:val="16"/>
                <w:lang w:eastAsia="fr-FR"/>
              </w:rPr>
            </w:pPr>
            <w:r w:rsidRPr="006203E8">
              <w:rPr>
                <w:color w:val="000000"/>
                <w:sz w:val="16"/>
                <w:szCs w:val="20"/>
              </w:rPr>
              <w:t>24,450</w:t>
            </w:r>
          </w:p>
        </w:tc>
      </w:tr>
      <w:tr w:rsidR="006203E8" w:rsidRPr="00595CB3" w14:paraId="55846452" w14:textId="77777777" w:rsidTr="008B6862">
        <w:trPr>
          <w:trHeight w:val="283"/>
        </w:trPr>
        <w:tc>
          <w:tcPr>
            <w:tcW w:w="496" w:type="dxa"/>
            <w:tcBorders>
              <w:top w:val="nil"/>
              <w:left w:val="nil"/>
              <w:bottom w:val="nil"/>
              <w:right w:val="nil"/>
            </w:tcBorders>
            <w:shd w:val="clear" w:color="000000" w:fill="BDD7EE"/>
            <w:noWrap/>
            <w:vAlign w:val="center"/>
            <w:hideMark/>
          </w:tcPr>
          <w:p w14:paraId="524F03BA" w14:textId="43FAB0F9" w:rsidR="00E9457E" w:rsidRPr="00595CB3" w:rsidRDefault="00E9457E" w:rsidP="008B6862">
            <w:pPr>
              <w:keepNext/>
              <w:rPr>
                <w:rFonts w:eastAsia="Times New Roman"/>
                <w:b/>
                <w:bCs/>
                <w:color w:val="000000"/>
                <w:sz w:val="16"/>
                <w:lang w:eastAsia="fr-FR"/>
              </w:rPr>
            </w:pPr>
            <w:r w:rsidRPr="00595CB3">
              <w:rPr>
                <w:rFonts w:eastAsia="Times New Roman"/>
                <w:b/>
                <w:bCs/>
                <w:color w:val="000000"/>
                <w:sz w:val="16"/>
                <w:lang w:eastAsia="fr-FR"/>
              </w:rPr>
              <w:t>201</w:t>
            </w:r>
            <w:r>
              <w:rPr>
                <w:rFonts w:eastAsia="Times New Roman"/>
                <w:b/>
                <w:bCs/>
                <w:color w:val="000000"/>
                <w:sz w:val="16"/>
                <w:lang w:eastAsia="fr-FR"/>
              </w:rPr>
              <w:t>5</w:t>
            </w:r>
          </w:p>
        </w:tc>
        <w:tc>
          <w:tcPr>
            <w:tcW w:w="2294" w:type="dxa"/>
            <w:tcBorders>
              <w:top w:val="nil"/>
              <w:left w:val="nil"/>
              <w:bottom w:val="nil"/>
              <w:right w:val="nil"/>
            </w:tcBorders>
            <w:shd w:val="clear" w:color="000000" w:fill="BDD7EE"/>
            <w:noWrap/>
            <w:vAlign w:val="center"/>
            <w:hideMark/>
          </w:tcPr>
          <w:p w14:paraId="3C4ED2F5" w14:textId="1DF0C34F" w:rsidR="00E9457E" w:rsidRPr="006203E8" w:rsidRDefault="00E9457E" w:rsidP="00964863">
            <w:pPr>
              <w:keepNext/>
              <w:jc w:val="right"/>
              <w:rPr>
                <w:rFonts w:eastAsia="Times New Roman"/>
                <w:color w:val="000000"/>
                <w:sz w:val="16"/>
                <w:lang w:eastAsia="fr-FR"/>
              </w:rPr>
            </w:pPr>
            <w:r w:rsidRPr="006203E8">
              <w:rPr>
                <w:color w:val="000000"/>
                <w:sz w:val="16"/>
                <w:szCs w:val="20"/>
              </w:rPr>
              <w:t>5.384</w:t>
            </w:r>
          </w:p>
        </w:tc>
        <w:tc>
          <w:tcPr>
            <w:tcW w:w="810" w:type="dxa"/>
            <w:tcBorders>
              <w:top w:val="nil"/>
              <w:left w:val="nil"/>
              <w:bottom w:val="nil"/>
              <w:right w:val="nil"/>
            </w:tcBorders>
            <w:shd w:val="clear" w:color="000000" w:fill="BDD7EE"/>
            <w:noWrap/>
            <w:vAlign w:val="center"/>
            <w:hideMark/>
          </w:tcPr>
          <w:p w14:paraId="36FFD96C" w14:textId="5A090406" w:rsidR="00E9457E" w:rsidRPr="006203E8" w:rsidRDefault="00E9457E" w:rsidP="00964863">
            <w:pPr>
              <w:keepNext/>
              <w:jc w:val="right"/>
              <w:rPr>
                <w:rFonts w:eastAsia="Times New Roman"/>
                <w:color w:val="000000"/>
                <w:sz w:val="16"/>
                <w:lang w:eastAsia="fr-FR"/>
              </w:rPr>
            </w:pPr>
            <w:r w:rsidRPr="006203E8">
              <w:rPr>
                <w:color w:val="000000"/>
                <w:sz w:val="16"/>
                <w:szCs w:val="20"/>
              </w:rPr>
              <w:t>49.544</w:t>
            </w:r>
          </w:p>
        </w:tc>
        <w:tc>
          <w:tcPr>
            <w:tcW w:w="900" w:type="dxa"/>
            <w:tcBorders>
              <w:top w:val="nil"/>
              <w:left w:val="nil"/>
              <w:bottom w:val="nil"/>
              <w:right w:val="nil"/>
            </w:tcBorders>
            <w:shd w:val="clear" w:color="000000" w:fill="BDD7EE"/>
            <w:noWrap/>
            <w:vAlign w:val="center"/>
            <w:hideMark/>
          </w:tcPr>
          <w:p w14:paraId="1044C49A" w14:textId="4E3599C1" w:rsidR="00E9457E" w:rsidRPr="006203E8" w:rsidRDefault="00E9457E">
            <w:pPr>
              <w:keepNext/>
              <w:jc w:val="right"/>
              <w:rPr>
                <w:rFonts w:eastAsia="Times New Roman"/>
                <w:color w:val="000000"/>
                <w:sz w:val="16"/>
                <w:lang w:eastAsia="fr-FR"/>
              </w:rPr>
            </w:pPr>
            <w:r w:rsidRPr="006203E8">
              <w:rPr>
                <w:color w:val="000000"/>
                <w:sz w:val="16"/>
                <w:szCs w:val="20"/>
              </w:rPr>
              <w:t>38.847</w:t>
            </w:r>
          </w:p>
        </w:tc>
        <w:tc>
          <w:tcPr>
            <w:tcW w:w="810" w:type="dxa"/>
            <w:tcBorders>
              <w:top w:val="nil"/>
              <w:left w:val="nil"/>
              <w:bottom w:val="nil"/>
              <w:right w:val="nil"/>
            </w:tcBorders>
            <w:shd w:val="clear" w:color="000000" w:fill="BDD7EE"/>
            <w:noWrap/>
            <w:vAlign w:val="center"/>
            <w:hideMark/>
          </w:tcPr>
          <w:p w14:paraId="3936FC8C" w14:textId="50B6D101" w:rsidR="00E9457E" w:rsidRPr="006203E8" w:rsidRDefault="00E9457E">
            <w:pPr>
              <w:keepNext/>
              <w:jc w:val="right"/>
              <w:rPr>
                <w:rFonts w:eastAsia="Times New Roman"/>
                <w:color w:val="000000"/>
                <w:sz w:val="16"/>
                <w:lang w:eastAsia="fr-FR"/>
              </w:rPr>
            </w:pPr>
            <w:r w:rsidRPr="006203E8">
              <w:rPr>
                <w:color w:val="000000"/>
                <w:sz w:val="16"/>
                <w:szCs w:val="20"/>
              </w:rPr>
              <w:t>88.391</w:t>
            </w:r>
          </w:p>
        </w:tc>
        <w:tc>
          <w:tcPr>
            <w:tcW w:w="481" w:type="dxa"/>
            <w:tcBorders>
              <w:top w:val="nil"/>
              <w:left w:val="nil"/>
              <w:bottom w:val="nil"/>
              <w:right w:val="nil"/>
            </w:tcBorders>
            <w:shd w:val="clear" w:color="auto" w:fill="auto"/>
            <w:noWrap/>
            <w:vAlign w:val="bottom"/>
            <w:hideMark/>
          </w:tcPr>
          <w:p w14:paraId="0D834DF8" w14:textId="77777777" w:rsidR="00E9457E" w:rsidRPr="006203E8" w:rsidRDefault="00E9457E" w:rsidP="00E9457E">
            <w:pPr>
              <w:keepNext/>
              <w:jc w:val="right"/>
              <w:rPr>
                <w:rFonts w:eastAsia="Times New Roman"/>
                <w:color w:val="000000"/>
                <w:sz w:val="16"/>
                <w:lang w:eastAsia="fr-FR"/>
              </w:rPr>
            </w:pPr>
          </w:p>
        </w:tc>
        <w:tc>
          <w:tcPr>
            <w:tcW w:w="487" w:type="dxa"/>
            <w:tcBorders>
              <w:top w:val="nil"/>
              <w:left w:val="nil"/>
              <w:bottom w:val="nil"/>
              <w:right w:val="nil"/>
            </w:tcBorders>
            <w:shd w:val="clear" w:color="000000" w:fill="BDD7EE"/>
            <w:noWrap/>
            <w:vAlign w:val="center"/>
            <w:hideMark/>
          </w:tcPr>
          <w:p w14:paraId="0152E509" w14:textId="27760998" w:rsidR="00E9457E" w:rsidRPr="006203E8" w:rsidRDefault="00E9457E" w:rsidP="00964863">
            <w:pPr>
              <w:keepNext/>
              <w:jc w:val="right"/>
              <w:rPr>
                <w:rFonts w:eastAsia="Times New Roman"/>
                <w:color w:val="000000"/>
                <w:sz w:val="16"/>
                <w:lang w:eastAsia="fr-FR"/>
              </w:rPr>
            </w:pPr>
            <w:r w:rsidRPr="006203E8">
              <w:rPr>
                <w:color w:val="000000"/>
                <w:sz w:val="16"/>
                <w:szCs w:val="20"/>
              </w:rPr>
              <w:t>245</w:t>
            </w:r>
          </w:p>
        </w:tc>
        <w:tc>
          <w:tcPr>
            <w:tcW w:w="630" w:type="dxa"/>
            <w:tcBorders>
              <w:top w:val="nil"/>
              <w:left w:val="nil"/>
              <w:bottom w:val="nil"/>
              <w:right w:val="nil"/>
            </w:tcBorders>
            <w:shd w:val="clear" w:color="000000" w:fill="BDD7EE"/>
            <w:noWrap/>
            <w:vAlign w:val="center"/>
            <w:hideMark/>
          </w:tcPr>
          <w:p w14:paraId="642937C0" w14:textId="1525028F" w:rsidR="00E9457E" w:rsidRPr="006203E8" w:rsidRDefault="00E9457E">
            <w:pPr>
              <w:keepNext/>
              <w:jc w:val="right"/>
              <w:rPr>
                <w:rFonts w:eastAsia="Times New Roman"/>
                <w:color w:val="000000"/>
                <w:sz w:val="16"/>
                <w:lang w:eastAsia="fr-FR"/>
              </w:rPr>
            </w:pPr>
            <w:r w:rsidRPr="006203E8">
              <w:rPr>
                <w:color w:val="000000"/>
                <w:sz w:val="16"/>
                <w:szCs w:val="20"/>
              </w:rPr>
              <w:t>12,985</w:t>
            </w:r>
          </w:p>
        </w:tc>
        <w:tc>
          <w:tcPr>
            <w:tcW w:w="859" w:type="dxa"/>
            <w:tcBorders>
              <w:top w:val="nil"/>
              <w:left w:val="nil"/>
              <w:bottom w:val="nil"/>
              <w:right w:val="nil"/>
            </w:tcBorders>
            <w:shd w:val="clear" w:color="000000" w:fill="BDD7EE"/>
            <w:noWrap/>
            <w:vAlign w:val="center"/>
            <w:hideMark/>
          </w:tcPr>
          <w:p w14:paraId="1C4CA469" w14:textId="745E9A55" w:rsidR="00E9457E" w:rsidRPr="006203E8" w:rsidRDefault="00E9457E">
            <w:pPr>
              <w:keepNext/>
              <w:jc w:val="right"/>
              <w:rPr>
                <w:rFonts w:eastAsia="Times New Roman"/>
                <w:color w:val="000000"/>
                <w:sz w:val="16"/>
                <w:lang w:eastAsia="fr-FR"/>
              </w:rPr>
            </w:pPr>
            <w:r w:rsidRPr="006203E8">
              <w:rPr>
                <w:color w:val="000000"/>
                <w:sz w:val="16"/>
                <w:szCs w:val="20"/>
              </w:rPr>
              <w:t>7,035</w:t>
            </w:r>
          </w:p>
        </w:tc>
        <w:tc>
          <w:tcPr>
            <w:tcW w:w="693" w:type="dxa"/>
            <w:tcBorders>
              <w:top w:val="nil"/>
              <w:left w:val="nil"/>
              <w:bottom w:val="nil"/>
              <w:right w:val="nil"/>
            </w:tcBorders>
            <w:shd w:val="clear" w:color="000000" w:fill="BDD7EE"/>
            <w:noWrap/>
            <w:vAlign w:val="center"/>
            <w:hideMark/>
          </w:tcPr>
          <w:p w14:paraId="434BFF0D" w14:textId="6034589A" w:rsidR="00E9457E" w:rsidRPr="006203E8" w:rsidRDefault="00E9457E">
            <w:pPr>
              <w:keepNext/>
              <w:jc w:val="right"/>
              <w:rPr>
                <w:rFonts w:eastAsia="Times New Roman"/>
                <w:color w:val="000000"/>
                <w:sz w:val="16"/>
                <w:lang w:eastAsia="fr-FR"/>
              </w:rPr>
            </w:pPr>
            <w:r w:rsidRPr="006203E8">
              <w:rPr>
                <w:color w:val="000000"/>
                <w:sz w:val="16"/>
                <w:szCs w:val="20"/>
              </w:rPr>
              <w:t>20,020</w:t>
            </w:r>
          </w:p>
        </w:tc>
      </w:tr>
      <w:tr w:rsidR="006203E8" w:rsidRPr="00595CB3" w14:paraId="713A7D92" w14:textId="77777777" w:rsidTr="008B6862">
        <w:trPr>
          <w:trHeight w:val="283"/>
        </w:trPr>
        <w:tc>
          <w:tcPr>
            <w:tcW w:w="496" w:type="dxa"/>
            <w:tcBorders>
              <w:top w:val="nil"/>
              <w:left w:val="nil"/>
              <w:bottom w:val="nil"/>
              <w:right w:val="nil"/>
            </w:tcBorders>
            <w:shd w:val="clear" w:color="auto" w:fill="auto"/>
            <w:noWrap/>
            <w:vAlign w:val="center"/>
            <w:hideMark/>
          </w:tcPr>
          <w:p w14:paraId="53098C62" w14:textId="3268A63F" w:rsidR="00E9457E" w:rsidRPr="00595CB3" w:rsidRDefault="00E9457E" w:rsidP="008B6862">
            <w:pPr>
              <w:keepNext/>
              <w:rPr>
                <w:rFonts w:eastAsia="Times New Roman"/>
                <w:b/>
                <w:bCs/>
                <w:color w:val="000000"/>
                <w:sz w:val="16"/>
                <w:lang w:eastAsia="fr-FR"/>
              </w:rPr>
            </w:pPr>
            <w:r w:rsidRPr="00595CB3">
              <w:rPr>
                <w:rFonts w:eastAsia="Times New Roman"/>
                <w:b/>
                <w:bCs/>
                <w:color w:val="000000"/>
                <w:sz w:val="16"/>
                <w:lang w:eastAsia="fr-FR"/>
              </w:rPr>
              <w:t>201</w:t>
            </w:r>
            <w:r>
              <w:rPr>
                <w:rFonts w:eastAsia="Times New Roman"/>
                <w:b/>
                <w:bCs/>
                <w:color w:val="000000"/>
                <w:sz w:val="16"/>
                <w:lang w:eastAsia="fr-FR"/>
              </w:rPr>
              <w:t>6</w:t>
            </w:r>
          </w:p>
        </w:tc>
        <w:tc>
          <w:tcPr>
            <w:tcW w:w="2294" w:type="dxa"/>
            <w:tcBorders>
              <w:top w:val="nil"/>
              <w:left w:val="nil"/>
              <w:bottom w:val="nil"/>
              <w:right w:val="nil"/>
            </w:tcBorders>
            <w:shd w:val="clear" w:color="auto" w:fill="auto"/>
            <w:noWrap/>
            <w:vAlign w:val="center"/>
            <w:hideMark/>
          </w:tcPr>
          <w:p w14:paraId="305B6957" w14:textId="2265E278" w:rsidR="00E9457E" w:rsidRPr="006203E8" w:rsidRDefault="00E9457E" w:rsidP="00964863">
            <w:pPr>
              <w:keepNext/>
              <w:jc w:val="right"/>
              <w:rPr>
                <w:rFonts w:eastAsia="Times New Roman"/>
                <w:color w:val="000000"/>
                <w:sz w:val="16"/>
                <w:lang w:eastAsia="fr-FR"/>
              </w:rPr>
            </w:pPr>
            <w:r w:rsidRPr="006203E8">
              <w:rPr>
                <w:color w:val="000000"/>
                <w:sz w:val="16"/>
                <w:szCs w:val="20"/>
              </w:rPr>
              <w:t>2.633</w:t>
            </w:r>
          </w:p>
        </w:tc>
        <w:tc>
          <w:tcPr>
            <w:tcW w:w="810" w:type="dxa"/>
            <w:tcBorders>
              <w:top w:val="nil"/>
              <w:left w:val="nil"/>
              <w:bottom w:val="nil"/>
              <w:right w:val="nil"/>
            </w:tcBorders>
            <w:shd w:val="clear" w:color="auto" w:fill="auto"/>
            <w:noWrap/>
            <w:vAlign w:val="center"/>
            <w:hideMark/>
          </w:tcPr>
          <w:p w14:paraId="3DE4EB00" w14:textId="5EAADF4F" w:rsidR="00E9457E" w:rsidRPr="006203E8" w:rsidRDefault="00E9457E" w:rsidP="00964863">
            <w:pPr>
              <w:keepNext/>
              <w:jc w:val="right"/>
              <w:rPr>
                <w:rFonts w:eastAsia="Times New Roman"/>
                <w:color w:val="000000"/>
                <w:sz w:val="16"/>
                <w:lang w:eastAsia="fr-FR"/>
              </w:rPr>
            </w:pPr>
            <w:r w:rsidRPr="006203E8">
              <w:rPr>
                <w:color w:val="000000"/>
                <w:sz w:val="16"/>
                <w:szCs w:val="20"/>
              </w:rPr>
              <w:t>51.952</w:t>
            </w:r>
          </w:p>
        </w:tc>
        <w:tc>
          <w:tcPr>
            <w:tcW w:w="900" w:type="dxa"/>
            <w:tcBorders>
              <w:top w:val="nil"/>
              <w:left w:val="nil"/>
              <w:bottom w:val="nil"/>
              <w:right w:val="nil"/>
            </w:tcBorders>
            <w:shd w:val="clear" w:color="auto" w:fill="auto"/>
            <w:noWrap/>
            <w:vAlign w:val="center"/>
            <w:hideMark/>
          </w:tcPr>
          <w:p w14:paraId="121821EA" w14:textId="7A13BAA5" w:rsidR="00E9457E" w:rsidRPr="006203E8" w:rsidRDefault="00E9457E">
            <w:pPr>
              <w:keepNext/>
              <w:jc w:val="right"/>
              <w:rPr>
                <w:rFonts w:eastAsia="Times New Roman"/>
                <w:color w:val="000000"/>
                <w:sz w:val="16"/>
                <w:lang w:eastAsia="fr-FR"/>
              </w:rPr>
            </w:pPr>
            <w:r w:rsidRPr="006203E8">
              <w:rPr>
                <w:color w:val="000000"/>
                <w:sz w:val="16"/>
                <w:szCs w:val="20"/>
              </w:rPr>
              <w:t>39.880</w:t>
            </w:r>
          </w:p>
        </w:tc>
        <w:tc>
          <w:tcPr>
            <w:tcW w:w="810" w:type="dxa"/>
            <w:tcBorders>
              <w:top w:val="nil"/>
              <w:left w:val="nil"/>
              <w:bottom w:val="nil"/>
              <w:right w:val="nil"/>
            </w:tcBorders>
            <w:shd w:val="clear" w:color="auto" w:fill="auto"/>
            <w:noWrap/>
            <w:vAlign w:val="center"/>
            <w:hideMark/>
          </w:tcPr>
          <w:p w14:paraId="42D9C95A" w14:textId="4091006E" w:rsidR="00E9457E" w:rsidRPr="006203E8" w:rsidRDefault="00E9457E">
            <w:pPr>
              <w:keepNext/>
              <w:jc w:val="right"/>
              <w:rPr>
                <w:rFonts w:eastAsia="Times New Roman"/>
                <w:color w:val="000000"/>
                <w:sz w:val="16"/>
                <w:lang w:eastAsia="fr-FR"/>
              </w:rPr>
            </w:pPr>
            <w:r w:rsidRPr="006203E8">
              <w:rPr>
                <w:color w:val="000000"/>
                <w:sz w:val="16"/>
                <w:szCs w:val="20"/>
              </w:rPr>
              <w:t>91.832</w:t>
            </w:r>
          </w:p>
        </w:tc>
        <w:tc>
          <w:tcPr>
            <w:tcW w:w="481" w:type="dxa"/>
            <w:tcBorders>
              <w:top w:val="nil"/>
              <w:left w:val="nil"/>
              <w:bottom w:val="nil"/>
              <w:right w:val="nil"/>
            </w:tcBorders>
            <w:shd w:val="clear" w:color="auto" w:fill="auto"/>
            <w:noWrap/>
            <w:vAlign w:val="bottom"/>
            <w:hideMark/>
          </w:tcPr>
          <w:p w14:paraId="380E5624" w14:textId="77777777" w:rsidR="00E9457E" w:rsidRPr="006203E8" w:rsidRDefault="00E9457E" w:rsidP="00E9457E">
            <w:pPr>
              <w:keepNext/>
              <w:jc w:val="right"/>
              <w:rPr>
                <w:rFonts w:eastAsia="Times New Roman"/>
                <w:color w:val="000000"/>
                <w:sz w:val="16"/>
                <w:lang w:eastAsia="fr-FR"/>
              </w:rPr>
            </w:pPr>
          </w:p>
        </w:tc>
        <w:tc>
          <w:tcPr>
            <w:tcW w:w="487" w:type="dxa"/>
            <w:tcBorders>
              <w:top w:val="nil"/>
              <w:left w:val="nil"/>
              <w:bottom w:val="nil"/>
              <w:right w:val="nil"/>
            </w:tcBorders>
            <w:shd w:val="clear" w:color="auto" w:fill="auto"/>
            <w:noWrap/>
            <w:vAlign w:val="center"/>
            <w:hideMark/>
          </w:tcPr>
          <w:p w14:paraId="190B71C1" w14:textId="0F5B7EDD" w:rsidR="00E9457E" w:rsidRPr="006203E8" w:rsidRDefault="00E9457E" w:rsidP="00964863">
            <w:pPr>
              <w:keepNext/>
              <w:jc w:val="right"/>
              <w:rPr>
                <w:rFonts w:eastAsia="Times New Roman"/>
                <w:color w:val="000000"/>
                <w:sz w:val="16"/>
                <w:lang w:eastAsia="fr-FR"/>
              </w:rPr>
            </w:pPr>
            <w:r w:rsidRPr="006203E8">
              <w:rPr>
                <w:color w:val="000000"/>
                <w:sz w:val="16"/>
                <w:szCs w:val="20"/>
              </w:rPr>
              <w:t>120</w:t>
            </w:r>
          </w:p>
        </w:tc>
        <w:tc>
          <w:tcPr>
            <w:tcW w:w="630" w:type="dxa"/>
            <w:tcBorders>
              <w:top w:val="nil"/>
              <w:left w:val="nil"/>
              <w:bottom w:val="nil"/>
              <w:right w:val="nil"/>
            </w:tcBorders>
            <w:shd w:val="clear" w:color="auto" w:fill="auto"/>
            <w:noWrap/>
            <w:vAlign w:val="center"/>
            <w:hideMark/>
          </w:tcPr>
          <w:p w14:paraId="6717C84F" w14:textId="6371D3DD" w:rsidR="00E9457E" w:rsidRPr="006203E8" w:rsidRDefault="00E9457E">
            <w:pPr>
              <w:keepNext/>
              <w:jc w:val="right"/>
              <w:rPr>
                <w:rFonts w:eastAsia="Times New Roman"/>
                <w:color w:val="000000"/>
                <w:sz w:val="16"/>
                <w:lang w:eastAsia="fr-FR"/>
              </w:rPr>
            </w:pPr>
            <w:r w:rsidRPr="006203E8">
              <w:rPr>
                <w:color w:val="000000"/>
                <w:sz w:val="16"/>
                <w:szCs w:val="20"/>
              </w:rPr>
              <w:t>12,385</w:t>
            </w:r>
          </w:p>
        </w:tc>
        <w:tc>
          <w:tcPr>
            <w:tcW w:w="859" w:type="dxa"/>
            <w:tcBorders>
              <w:top w:val="nil"/>
              <w:left w:val="nil"/>
              <w:bottom w:val="nil"/>
              <w:right w:val="nil"/>
            </w:tcBorders>
            <w:shd w:val="clear" w:color="auto" w:fill="auto"/>
            <w:noWrap/>
            <w:vAlign w:val="center"/>
            <w:hideMark/>
          </w:tcPr>
          <w:p w14:paraId="166C7EAE" w14:textId="5CF8C3E6" w:rsidR="00E9457E" w:rsidRPr="006203E8" w:rsidRDefault="00E9457E">
            <w:pPr>
              <w:keepNext/>
              <w:jc w:val="right"/>
              <w:rPr>
                <w:rFonts w:eastAsia="Times New Roman"/>
                <w:color w:val="000000"/>
                <w:sz w:val="16"/>
                <w:lang w:eastAsia="fr-FR"/>
              </w:rPr>
            </w:pPr>
            <w:r w:rsidRPr="006203E8">
              <w:rPr>
                <w:color w:val="000000"/>
                <w:sz w:val="16"/>
                <w:szCs w:val="20"/>
              </w:rPr>
              <w:t>5,315</w:t>
            </w:r>
          </w:p>
        </w:tc>
        <w:tc>
          <w:tcPr>
            <w:tcW w:w="693" w:type="dxa"/>
            <w:tcBorders>
              <w:top w:val="nil"/>
              <w:left w:val="nil"/>
              <w:bottom w:val="nil"/>
              <w:right w:val="nil"/>
            </w:tcBorders>
            <w:shd w:val="clear" w:color="auto" w:fill="auto"/>
            <w:noWrap/>
            <w:vAlign w:val="center"/>
            <w:hideMark/>
          </w:tcPr>
          <w:p w14:paraId="5B4495FA" w14:textId="2A54A5EB" w:rsidR="00E9457E" w:rsidRPr="006203E8" w:rsidRDefault="00E9457E">
            <w:pPr>
              <w:keepNext/>
              <w:jc w:val="right"/>
              <w:rPr>
                <w:rFonts w:eastAsia="Times New Roman"/>
                <w:color w:val="000000"/>
                <w:sz w:val="16"/>
                <w:lang w:eastAsia="fr-FR"/>
              </w:rPr>
            </w:pPr>
            <w:r w:rsidRPr="006203E8">
              <w:rPr>
                <w:color w:val="000000"/>
                <w:sz w:val="16"/>
                <w:szCs w:val="20"/>
              </w:rPr>
              <w:t>17,700</w:t>
            </w:r>
          </w:p>
        </w:tc>
      </w:tr>
      <w:tr w:rsidR="006203E8" w:rsidRPr="00595CB3" w14:paraId="118C22DA" w14:textId="77777777" w:rsidTr="008B6862">
        <w:trPr>
          <w:trHeight w:val="283"/>
        </w:trPr>
        <w:tc>
          <w:tcPr>
            <w:tcW w:w="496" w:type="dxa"/>
            <w:tcBorders>
              <w:top w:val="nil"/>
              <w:left w:val="nil"/>
              <w:bottom w:val="nil"/>
              <w:right w:val="nil"/>
            </w:tcBorders>
            <w:shd w:val="clear" w:color="000000" w:fill="BDD7EE"/>
            <w:noWrap/>
            <w:vAlign w:val="center"/>
            <w:hideMark/>
          </w:tcPr>
          <w:p w14:paraId="6BF03D80" w14:textId="72B3A0B4" w:rsidR="00E9457E" w:rsidRPr="00595CB3" w:rsidRDefault="00E9457E" w:rsidP="008B6862">
            <w:pPr>
              <w:keepNext/>
              <w:rPr>
                <w:rFonts w:eastAsia="Times New Roman"/>
                <w:b/>
                <w:bCs/>
                <w:color w:val="000000"/>
                <w:sz w:val="16"/>
                <w:lang w:eastAsia="fr-FR"/>
              </w:rPr>
            </w:pPr>
            <w:r w:rsidRPr="00595CB3">
              <w:rPr>
                <w:rFonts w:eastAsia="Times New Roman"/>
                <w:b/>
                <w:bCs/>
                <w:color w:val="000000"/>
                <w:sz w:val="16"/>
                <w:lang w:eastAsia="fr-FR"/>
              </w:rPr>
              <w:t>201</w:t>
            </w:r>
            <w:r>
              <w:rPr>
                <w:rFonts w:eastAsia="Times New Roman"/>
                <w:b/>
                <w:bCs/>
                <w:color w:val="000000"/>
                <w:sz w:val="16"/>
                <w:lang w:eastAsia="fr-FR"/>
              </w:rPr>
              <w:t>7</w:t>
            </w:r>
          </w:p>
        </w:tc>
        <w:tc>
          <w:tcPr>
            <w:tcW w:w="2294" w:type="dxa"/>
            <w:tcBorders>
              <w:top w:val="nil"/>
              <w:left w:val="nil"/>
              <w:bottom w:val="nil"/>
              <w:right w:val="nil"/>
            </w:tcBorders>
            <w:shd w:val="clear" w:color="000000" w:fill="BDD7EE"/>
            <w:noWrap/>
            <w:vAlign w:val="center"/>
            <w:hideMark/>
          </w:tcPr>
          <w:p w14:paraId="7A745441" w14:textId="71FBD2EF" w:rsidR="00E9457E" w:rsidRPr="006203E8" w:rsidRDefault="00E9457E" w:rsidP="00964863">
            <w:pPr>
              <w:keepNext/>
              <w:jc w:val="right"/>
              <w:rPr>
                <w:rFonts w:eastAsia="Times New Roman"/>
                <w:color w:val="000000"/>
                <w:sz w:val="16"/>
                <w:lang w:eastAsia="fr-FR"/>
              </w:rPr>
            </w:pPr>
            <w:r w:rsidRPr="006203E8">
              <w:rPr>
                <w:color w:val="000000"/>
                <w:sz w:val="16"/>
                <w:szCs w:val="20"/>
              </w:rPr>
              <w:t>1.934</w:t>
            </w:r>
          </w:p>
        </w:tc>
        <w:tc>
          <w:tcPr>
            <w:tcW w:w="810" w:type="dxa"/>
            <w:tcBorders>
              <w:top w:val="nil"/>
              <w:left w:val="nil"/>
              <w:bottom w:val="nil"/>
              <w:right w:val="nil"/>
            </w:tcBorders>
            <w:shd w:val="clear" w:color="000000" w:fill="BDD7EE"/>
            <w:noWrap/>
            <w:vAlign w:val="center"/>
            <w:hideMark/>
          </w:tcPr>
          <w:p w14:paraId="5BD12C16" w14:textId="517D8E1F" w:rsidR="00E9457E" w:rsidRPr="006203E8" w:rsidRDefault="00E9457E" w:rsidP="00964863">
            <w:pPr>
              <w:keepNext/>
              <w:jc w:val="right"/>
              <w:rPr>
                <w:rFonts w:eastAsia="Times New Roman"/>
                <w:color w:val="000000"/>
                <w:sz w:val="16"/>
                <w:lang w:eastAsia="fr-FR"/>
              </w:rPr>
            </w:pPr>
            <w:r w:rsidRPr="006203E8">
              <w:rPr>
                <w:color w:val="000000"/>
                <w:sz w:val="16"/>
                <w:szCs w:val="20"/>
              </w:rPr>
              <w:t>50.944</w:t>
            </w:r>
          </w:p>
        </w:tc>
        <w:tc>
          <w:tcPr>
            <w:tcW w:w="900" w:type="dxa"/>
            <w:tcBorders>
              <w:top w:val="nil"/>
              <w:left w:val="nil"/>
              <w:bottom w:val="nil"/>
              <w:right w:val="nil"/>
            </w:tcBorders>
            <w:shd w:val="clear" w:color="000000" w:fill="BDD7EE"/>
            <w:noWrap/>
            <w:vAlign w:val="center"/>
            <w:hideMark/>
          </w:tcPr>
          <w:p w14:paraId="0295262E" w14:textId="27320952" w:rsidR="00E9457E" w:rsidRPr="006203E8" w:rsidRDefault="00E9457E">
            <w:pPr>
              <w:keepNext/>
              <w:jc w:val="right"/>
              <w:rPr>
                <w:rFonts w:eastAsia="Times New Roman"/>
                <w:color w:val="000000"/>
                <w:sz w:val="16"/>
                <w:lang w:eastAsia="fr-FR"/>
              </w:rPr>
            </w:pPr>
            <w:r w:rsidRPr="006203E8">
              <w:rPr>
                <w:color w:val="000000"/>
                <w:sz w:val="16"/>
                <w:szCs w:val="20"/>
              </w:rPr>
              <w:t>40.019</w:t>
            </w:r>
          </w:p>
        </w:tc>
        <w:tc>
          <w:tcPr>
            <w:tcW w:w="810" w:type="dxa"/>
            <w:tcBorders>
              <w:top w:val="nil"/>
              <w:left w:val="nil"/>
              <w:bottom w:val="nil"/>
              <w:right w:val="nil"/>
            </w:tcBorders>
            <w:shd w:val="clear" w:color="000000" w:fill="BDD7EE"/>
            <w:noWrap/>
            <w:vAlign w:val="center"/>
            <w:hideMark/>
          </w:tcPr>
          <w:p w14:paraId="2EE6728D" w14:textId="183C4A25" w:rsidR="00E9457E" w:rsidRPr="006203E8" w:rsidRDefault="00E9457E">
            <w:pPr>
              <w:keepNext/>
              <w:jc w:val="right"/>
              <w:rPr>
                <w:rFonts w:eastAsia="Times New Roman"/>
                <w:color w:val="000000"/>
                <w:sz w:val="16"/>
                <w:lang w:eastAsia="fr-FR"/>
              </w:rPr>
            </w:pPr>
            <w:r w:rsidRPr="006203E8">
              <w:rPr>
                <w:color w:val="000000"/>
                <w:sz w:val="16"/>
                <w:szCs w:val="20"/>
              </w:rPr>
              <w:t>90.963</w:t>
            </w:r>
          </w:p>
        </w:tc>
        <w:tc>
          <w:tcPr>
            <w:tcW w:w="481" w:type="dxa"/>
            <w:tcBorders>
              <w:top w:val="nil"/>
              <w:left w:val="nil"/>
              <w:bottom w:val="nil"/>
              <w:right w:val="nil"/>
            </w:tcBorders>
            <w:shd w:val="clear" w:color="auto" w:fill="auto"/>
            <w:noWrap/>
            <w:vAlign w:val="bottom"/>
            <w:hideMark/>
          </w:tcPr>
          <w:p w14:paraId="59C55BC6" w14:textId="77777777" w:rsidR="00E9457E" w:rsidRPr="006203E8" w:rsidRDefault="00E9457E" w:rsidP="00E9457E">
            <w:pPr>
              <w:keepNext/>
              <w:jc w:val="right"/>
              <w:rPr>
                <w:rFonts w:eastAsia="Times New Roman"/>
                <w:color w:val="000000"/>
                <w:sz w:val="16"/>
                <w:lang w:eastAsia="fr-FR"/>
              </w:rPr>
            </w:pPr>
          </w:p>
        </w:tc>
        <w:tc>
          <w:tcPr>
            <w:tcW w:w="487" w:type="dxa"/>
            <w:tcBorders>
              <w:top w:val="nil"/>
              <w:left w:val="nil"/>
              <w:bottom w:val="nil"/>
              <w:right w:val="nil"/>
            </w:tcBorders>
            <w:shd w:val="clear" w:color="000000" w:fill="BDD7EE"/>
            <w:noWrap/>
            <w:vAlign w:val="center"/>
            <w:hideMark/>
          </w:tcPr>
          <w:p w14:paraId="035E8F87" w14:textId="6513D384" w:rsidR="00E9457E" w:rsidRPr="006203E8" w:rsidRDefault="00E9457E" w:rsidP="00964863">
            <w:pPr>
              <w:keepNext/>
              <w:jc w:val="right"/>
              <w:rPr>
                <w:rFonts w:eastAsia="Times New Roman"/>
                <w:color w:val="000000"/>
                <w:sz w:val="16"/>
                <w:lang w:eastAsia="fr-FR"/>
              </w:rPr>
            </w:pPr>
            <w:r w:rsidRPr="006203E8">
              <w:rPr>
                <w:color w:val="000000"/>
                <w:sz w:val="16"/>
                <w:szCs w:val="20"/>
              </w:rPr>
              <w:t>195</w:t>
            </w:r>
          </w:p>
        </w:tc>
        <w:tc>
          <w:tcPr>
            <w:tcW w:w="630" w:type="dxa"/>
            <w:tcBorders>
              <w:top w:val="nil"/>
              <w:left w:val="nil"/>
              <w:bottom w:val="nil"/>
              <w:right w:val="nil"/>
            </w:tcBorders>
            <w:shd w:val="clear" w:color="000000" w:fill="BDD7EE"/>
            <w:noWrap/>
            <w:vAlign w:val="center"/>
            <w:hideMark/>
          </w:tcPr>
          <w:p w14:paraId="5DB4E44A" w14:textId="3E3A17C4" w:rsidR="00E9457E" w:rsidRPr="006203E8" w:rsidRDefault="00E9457E">
            <w:pPr>
              <w:keepNext/>
              <w:jc w:val="right"/>
              <w:rPr>
                <w:rFonts w:eastAsia="Times New Roman"/>
                <w:color w:val="000000"/>
                <w:sz w:val="16"/>
                <w:lang w:eastAsia="fr-FR"/>
              </w:rPr>
            </w:pPr>
            <w:r w:rsidRPr="006203E8">
              <w:rPr>
                <w:color w:val="000000"/>
                <w:sz w:val="16"/>
                <w:szCs w:val="20"/>
              </w:rPr>
              <w:t>15,545</w:t>
            </w:r>
          </w:p>
        </w:tc>
        <w:tc>
          <w:tcPr>
            <w:tcW w:w="859" w:type="dxa"/>
            <w:tcBorders>
              <w:top w:val="nil"/>
              <w:left w:val="nil"/>
              <w:bottom w:val="nil"/>
              <w:right w:val="nil"/>
            </w:tcBorders>
            <w:shd w:val="clear" w:color="000000" w:fill="BDD7EE"/>
            <w:noWrap/>
            <w:vAlign w:val="center"/>
            <w:hideMark/>
          </w:tcPr>
          <w:p w14:paraId="7FA6D833" w14:textId="25D6D725" w:rsidR="00E9457E" w:rsidRPr="006203E8" w:rsidRDefault="00E9457E">
            <w:pPr>
              <w:keepNext/>
              <w:jc w:val="right"/>
              <w:rPr>
                <w:rFonts w:eastAsia="Times New Roman"/>
                <w:color w:val="000000"/>
                <w:sz w:val="16"/>
                <w:lang w:eastAsia="fr-FR"/>
              </w:rPr>
            </w:pPr>
            <w:r w:rsidRPr="006203E8">
              <w:rPr>
                <w:color w:val="000000"/>
                <w:sz w:val="16"/>
                <w:szCs w:val="20"/>
              </w:rPr>
              <w:t>6,260</w:t>
            </w:r>
          </w:p>
        </w:tc>
        <w:tc>
          <w:tcPr>
            <w:tcW w:w="693" w:type="dxa"/>
            <w:tcBorders>
              <w:top w:val="nil"/>
              <w:left w:val="nil"/>
              <w:bottom w:val="nil"/>
              <w:right w:val="nil"/>
            </w:tcBorders>
            <w:shd w:val="clear" w:color="000000" w:fill="BDD7EE"/>
            <w:noWrap/>
            <w:vAlign w:val="center"/>
            <w:hideMark/>
          </w:tcPr>
          <w:p w14:paraId="3EC11D41" w14:textId="62BEAEE9" w:rsidR="00E9457E" w:rsidRPr="006203E8" w:rsidRDefault="00E9457E">
            <w:pPr>
              <w:keepNext/>
              <w:jc w:val="right"/>
              <w:rPr>
                <w:rFonts w:eastAsia="Times New Roman"/>
                <w:color w:val="000000"/>
                <w:sz w:val="16"/>
                <w:lang w:eastAsia="fr-FR"/>
              </w:rPr>
            </w:pPr>
            <w:r w:rsidRPr="006203E8">
              <w:rPr>
                <w:color w:val="000000"/>
                <w:sz w:val="16"/>
                <w:szCs w:val="20"/>
              </w:rPr>
              <w:t>21,805</w:t>
            </w:r>
          </w:p>
        </w:tc>
      </w:tr>
      <w:tr w:rsidR="006203E8" w:rsidRPr="00595CB3" w14:paraId="11770A59" w14:textId="77777777" w:rsidTr="006C397F">
        <w:trPr>
          <w:trHeight w:val="102"/>
        </w:trPr>
        <w:tc>
          <w:tcPr>
            <w:tcW w:w="496" w:type="dxa"/>
            <w:tcBorders>
              <w:top w:val="nil"/>
              <w:left w:val="nil"/>
              <w:bottom w:val="nil"/>
              <w:right w:val="nil"/>
            </w:tcBorders>
            <w:shd w:val="clear" w:color="auto" w:fill="auto"/>
            <w:noWrap/>
            <w:vAlign w:val="center"/>
            <w:hideMark/>
          </w:tcPr>
          <w:p w14:paraId="4821CFAD" w14:textId="77777777" w:rsidR="004217C4" w:rsidRPr="00595CB3" w:rsidRDefault="004217C4" w:rsidP="00641701">
            <w:pPr>
              <w:keepNext/>
              <w:jc w:val="right"/>
              <w:rPr>
                <w:rFonts w:eastAsia="Times New Roman"/>
                <w:color w:val="000000"/>
                <w:sz w:val="16"/>
                <w:lang w:eastAsia="fr-FR"/>
              </w:rPr>
            </w:pPr>
          </w:p>
        </w:tc>
        <w:tc>
          <w:tcPr>
            <w:tcW w:w="2294" w:type="dxa"/>
            <w:tcBorders>
              <w:top w:val="nil"/>
              <w:left w:val="nil"/>
              <w:bottom w:val="nil"/>
              <w:right w:val="nil"/>
            </w:tcBorders>
            <w:shd w:val="clear" w:color="auto" w:fill="auto"/>
            <w:noWrap/>
            <w:vAlign w:val="center"/>
            <w:hideMark/>
          </w:tcPr>
          <w:p w14:paraId="5428E874"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810" w:type="dxa"/>
            <w:tcBorders>
              <w:top w:val="nil"/>
              <w:left w:val="nil"/>
              <w:bottom w:val="nil"/>
              <w:right w:val="nil"/>
            </w:tcBorders>
            <w:shd w:val="clear" w:color="auto" w:fill="auto"/>
            <w:noWrap/>
            <w:vAlign w:val="center"/>
            <w:hideMark/>
          </w:tcPr>
          <w:p w14:paraId="406A845B"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900" w:type="dxa"/>
            <w:tcBorders>
              <w:top w:val="nil"/>
              <w:left w:val="nil"/>
              <w:bottom w:val="nil"/>
              <w:right w:val="nil"/>
            </w:tcBorders>
            <w:shd w:val="clear" w:color="auto" w:fill="auto"/>
            <w:noWrap/>
            <w:vAlign w:val="center"/>
            <w:hideMark/>
          </w:tcPr>
          <w:p w14:paraId="51646535"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810" w:type="dxa"/>
            <w:tcBorders>
              <w:top w:val="nil"/>
              <w:left w:val="nil"/>
              <w:bottom w:val="nil"/>
              <w:right w:val="nil"/>
            </w:tcBorders>
            <w:shd w:val="clear" w:color="auto" w:fill="auto"/>
            <w:noWrap/>
            <w:vAlign w:val="center"/>
            <w:hideMark/>
          </w:tcPr>
          <w:p w14:paraId="138B8D68"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481" w:type="dxa"/>
            <w:tcBorders>
              <w:top w:val="nil"/>
              <w:left w:val="nil"/>
              <w:bottom w:val="nil"/>
              <w:right w:val="nil"/>
            </w:tcBorders>
            <w:shd w:val="clear" w:color="auto" w:fill="auto"/>
            <w:noWrap/>
            <w:vAlign w:val="center"/>
            <w:hideMark/>
          </w:tcPr>
          <w:p w14:paraId="6BBC7884"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487" w:type="dxa"/>
            <w:tcBorders>
              <w:top w:val="nil"/>
              <w:left w:val="nil"/>
              <w:bottom w:val="nil"/>
              <w:right w:val="nil"/>
            </w:tcBorders>
            <w:shd w:val="clear" w:color="auto" w:fill="auto"/>
            <w:vAlign w:val="center"/>
            <w:hideMark/>
          </w:tcPr>
          <w:p w14:paraId="38684076" w14:textId="77777777" w:rsidR="004217C4" w:rsidRPr="00595CB3" w:rsidRDefault="004217C4" w:rsidP="00641701">
            <w:pPr>
              <w:keepNext/>
              <w:rPr>
                <w:rFonts w:ascii="Times New Roman" w:eastAsia="Times New Roman" w:hAnsi="Times New Roman" w:cs="Times New Roman"/>
                <w:sz w:val="20"/>
                <w:szCs w:val="20"/>
                <w:lang w:eastAsia="fr-FR"/>
              </w:rPr>
            </w:pPr>
          </w:p>
        </w:tc>
        <w:tc>
          <w:tcPr>
            <w:tcW w:w="630" w:type="dxa"/>
            <w:tcBorders>
              <w:top w:val="nil"/>
              <w:left w:val="nil"/>
              <w:bottom w:val="nil"/>
              <w:right w:val="nil"/>
            </w:tcBorders>
            <w:shd w:val="clear" w:color="auto" w:fill="auto"/>
            <w:vAlign w:val="center"/>
            <w:hideMark/>
          </w:tcPr>
          <w:p w14:paraId="127DC6E9" w14:textId="77777777" w:rsidR="004217C4" w:rsidRPr="00595CB3" w:rsidRDefault="004217C4" w:rsidP="00641701">
            <w:pPr>
              <w:keepNext/>
              <w:jc w:val="right"/>
              <w:rPr>
                <w:rFonts w:ascii="Times New Roman" w:eastAsia="Times New Roman" w:hAnsi="Times New Roman" w:cs="Times New Roman"/>
                <w:sz w:val="20"/>
                <w:szCs w:val="20"/>
                <w:lang w:eastAsia="fr-FR"/>
              </w:rPr>
            </w:pPr>
          </w:p>
        </w:tc>
        <w:tc>
          <w:tcPr>
            <w:tcW w:w="859" w:type="dxa"/>
            <w:tcBorders>
              <w:top w:val="nil"/>
              <w:left w:val="nil"/>
              <w:bottom w:val="nil"/>
              <w:right w:val="nil"/>
            </w:tcBorders>
            <w:shd w:val="clear" w:color="auto" w:fill="auto"/>
            <w:vAlign w:val="center"/>
            <w:hideMark/>
          </w:tcPr>
          <w:p w14:paraId="7E449C87" w14:textId="77777777" w:rsidR="004217C4" w:rsidRPr="00595CB3" w:rsidRDefault="004217C4" w:rsidP="00641701">
            <w:pPr>
              <w:keepNext/>
              <w:jc w:val="right"/>
              <w:rPr>
                <w:rFonts w:ascii="Times New Roman" w:eastAsia="Times New Roman" w:hAnsi="Times New Roman" w:cs="Times New Roman"/>
                <w:sz w:val="20"/>
                <w:szCs w:val="20"/>
                <w:lang w:eastAsia="fr-FR"/>
              </w:rPr>
            </w:pPr>
          </w:p>
        </w:tc>
        <w:tc>
          <w:tcPr>
            <w:tcW w:w="693" w:type="dxa"/>
            <w:tcBorders>
              <w:top w:val="nil"/>
              <w:left w:val="nil"/>
              <w:bottom w:val="nil"/>
              <w:right w:val="nil"/>
            </w:tcBorders>
            <w:shd w:val="clear" w:color="auto" w:fill="auto"/>
            <w:vAlign w:val="center"/>
            <w:hideMark/>
          </w:tcPr>
          <w:p w14:paraId="2935D69D" w14:textId="77777777" w:rsidR="004217C4" w:rsidRPr="00595CB3" w:rsidRDefault="004217C4" w:rsidP="00641701">
            <w:pPr>
              <w:keepNext/>
              <w:jc w:val="right"/>
              <w:rPr>
                <w:rFonts w:ascii="Times New Roman" w:eastAsia="Times New Roman" w:hAnsi="Times New Roman" w:cs="Times New Roman"/>
                <w:sz w:val="20"/>
                <w:szCs w:val="20"/>
                <w:lang w:eastAsia="fr-FR"/>
              </w:rPr>
            </w:pPr>
          </w:p>
        </w:tc>
      </w:tr>
      <w:tr w:rsidR="004217C4" w:rsidRPr="00595CB3" w14:paraId="5FE9D4B5" w14:textId="77777777" w:rsidTr="006C397F">
        <w:trPr>
          <w:trHeight w:val="283"/>
        </w:trPr>
        <w:tc>
          <w:tcPr>
            <w:tcW w:w="8460" w:type="dxa"/>
            <w:gridSpan w:val="10"/>
            <w:tcBorders>
              <w:top w:val="nil"/>
              <w:left w:val="nil"/>
              <w:bottom w:val="nil"/>
              <w:right w:val="nil"/>
            </w:tcBorders>
            <w:shd w:val="clear" w:color="auto" w:fill="auto"/>
            <w:noWrap/>
            <w:vAlign w:val="center"/>
            <w:hideMark/>
          </w:tcPr>
          <w:p w14:paraId="1ED4AC7C" w14:textId="733234B0" w:rsidR="004217C4" w:rsidRPr="00595CB3" w:rsidRDefault="004217C4" w:rsidP="00641701">
            <w:pPr>
              <w:spacing w:after="180" w:line="276" w:lineRule="auto"/>
              <w:rPr>
                <w:rFonts w:eastAsia="Times New Roman"/>
                <w:color w:val="000000"/>
                <w:sz w:val="16"/>
                <w:lang w:eastAsia="fr-FR"/>
              </w:rPr>
            </w:pPr>
            <w:r w:rsidRPr="00595CB3">
              <w:rPr>
                <w:rFonts w:eastAsia="Times New Roman"/>
                <w:iCs/>
                <w:color w:val="000000"/>
                <w:sz w:val="16"/>
                <w:lang w:eastAsia="fr-FR"/>
              </w:rPr>
              <w:t>Source</w:t>
            </w:r>
            <w:r w:rsidRPr="00595CB3">
              <w:rPr>
                <w:rFonts w:eastAsia="Times New Roman"/>
                <w:color w:val="000000"/>
                <w:sz w:val="16"/>
                <w:lang w:eastAsia="fr-FR"/>
              </w:rPr>
              <w:t>: Digest of UK Energy Statistics 201</w:t>
            </w:r>
            <w:r>
              <w:rPr>
                <w:rFonts w:eastAsia="Times New Roman"/>
                <w:color w:val="000000"/>
                <w:sz w:val="16"/>
                <w:lang w:eastAsia="fr-FR"/>
              </w:rPr>
              <w:t>8</w:t>
            </w:r>
            <w:r w:rsidRPr="00595CB3">
              <w:rPr>
                <w:rFonts w:eastAsia="Times New Roman"/>
                <w:color w:val="000000"/>
                <w:sz w:val="16"/>
                <w:lang w:eastAsia="fr-FR"/>
              </w:rPr>
              <w:t>.</w:t>
            </w:r>
          </w:p>
        </w:tc>
      </w:tr>
    </w:tbl>
    <w:p w14:paraId="78F13CED" w14:textId="77777777" w:rsidR="00547FE4" w:rsidRDefault="00547FE4">
      <w:pPr>
        <w:spacing w:after="200" w:line="276" w:lineRule="auto"/>
        <w:rPr>
          <w:rFonts w:eastAsia="Calibri"/>
          <w:szCs w:val="24"/>
        </w:rPr>
      </w:pPr>
      <w:r>
        <w:br w:type="page"/>
      </w:r>
    </w:p>
    <w:p w14:paraId="057891DE" w14:textId="06A817E3" w:rsidR="00641701" w:rsidRPr="00D34DB8" w:rsidRDefault="00641701" w:rsidP="00641701">
      <w:pPr>
        <w:pStyle w:val="Default"/>
        <w:spacing w:after="180" w:line="276" w:lineRule="auto"/>
        <w:rPr>
          <w:rFonts w:ascii="Arial" w:hAnsi="Arial" w:cs="Arial"/>
          <w:color w:val="auto"/>
        </w:rPr>
      </w:pPr>
      <w:r w:rsidRPr="00D34DB8">
        <w:rPr>
          <w:rFonts w:ascii="Arial" w:hAnsi="Arial" w:cs="Arial"/>
          <w:color w:val="auto"/>
        </w:rPr>
        <w:t xml:space="preserve">Figure </w:t>
      </w:r>
      <w:r w:rsidR="00475692">
        <w:rPr>
          <w:rFonts w:ascii="Arial" w:hAnsi="Arial" w:cs="Arial"/>
          <w:color w:val="auto"/>
        </w:rPr>
        <w:t>4</w:t>
      </w:r>
      <w:r w:rsidRPr="00D34DB8">
        <w:rPr>
          <w:rFonts w:ascii="Arial" w:hAnsi="Arial" w:cs="Arial"/>
          <w:color w:val="auto"/>
        </w:rPr>
        <w:t xml:space="preserve"> illustrates the long-term decline and more recent growth in UK oil production since 2000.</w:t>
      </w:r>
    </w:p>
    <w:p w14:paraId="7D809ED4" w14:textId="79A925E5" w:rsidR="00641701" w:rsidRPr="00595CB3" w:rsidRDefault="00641701" w:rsidP="00641701">
      <w:pPr>
        <w:pStyle w:val="Caption"/>
        <w:keepNext/>
        <w:spacing w:line="276" w:lineRule="auto"/>
        <w:outlineLvl w:val="0"/>
        <w:rPr>
          <w:rFonts w:ascii="Arial" w:hAnsi="Arial" w:cs="Arial"/>
          <w:sz w:val="22"/>
          <w:szCs w:val="22"/>
        </w:rPr>
      </w:pPr>
      <w:bookmarkStart w:id="5" w:name="_Toc512547347"/>
      <w:r w:rsidRPr="00595CB3">
        <w:rPr>
          <w:rFonts w:ascii="Arial" w:hAnsi="Arial" w:cs="Arial"/>
          <w:sz w:val="22"/>
          <w:szCs w:val="22"/>
        </w:rPr>
        <w:t>Figure</w:t>
      </w:r>
      <w:r w:rsidR="00893086">
        <w:rPr>
          <w:rFonts w:ascii="Arial" w:hAnsi="Arial" w:cs="Arial"/>
          <w:sz w:val="22"/>
          <w:szCs w:val="22"/>
        </w:rPr>
        <w:t xml:space="preserve"> </w:t>
      </w:r>
      <w:r w:rsidR="00475692">
        <w:rPr>
          <w:rFonts w:ascii="Arial" w:hAnsi="Arial" w:cs="Arial"/>
          <w:sz w:val="22"/>
          <w:szCs w:val="22"/>
        </w:rPr>
        <w:t>4</w:t>
      </w:r>
      <w:r w:rsidRPr="00595CB3">
        <w:rPr>
          <w:rFonts w:ascii="Arial" w:hAnsi="Arial" w:cs="Arial"/>
          <w:bCs/>
          <w:sz w:val="22"/>
          <w:szCs w:val="22"/>
        </w:rPr>
        <w:t xml:space="preserve">. UK </w:t>
      </w:r>
      <w:r>
        <w:rPr>
          <w:rFonts w:ascii="Arial" w:hAnsi="Arial" w:cs="Arial"/>
          <w:bCs/>
          <w:sz w:val="22"/>
          <w:szCs w:val="22"/>
        </w:rPr>
        <w:t xml:space="preserve">crude </w:t>
      </w:r>
      <w:r w:rsidRPr="00595CB3">
        <w:rPr>
          <w:rFonts w:ascii="Arial" w:hAnsi="Arial" w:cs="Arial"/>
          <w:bCs/>
          <w:sz w:val="22"/>
          <w:szCs w:val="22"/>
        </w:rPr>
        <w:t>oil production by start-up year of field</w:t>
      </w:r>
      <w:r w:rsidRPr="00595CB3">
        <w:rPr>
          <w:rStyle w:val="FootnoteReference"/>
          <w:rFonts w:ascii="Arial" w:hAnsi="Arial" w:cs="Arial"/>
          <w:bCs/>
          <w:sz w:val="22"/>
          <w:szCs w:val="22"/>
        </w:rPr>
        <w:footnoteReference w:id="11"/>
      </w:r>
      <w:bookmarkEnd w:id="5"/>
    </w:p>
    <w:p w14:paraId="4A5A1929" w14:textId="45084442" w:rsidR="00641701" w:rsidRPr="00595CB3" w:rsidRDefault="00786181" w:rsidP="00641701">
      <w:pPr>
        <w:pStyle w:val="Default"/>
        <w:keepNext/>
        <w:spacing w:after="24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1215668C" wp14:editId="2597F61C">
            <wp:extent cx="5724525" cy="3370761"/>
            <wp:effectExtent l="0" t="0" r="0" b="1270"/>
            <wp:docPr id="2" name="Picture 2" descr="Figure 4 shows the UK crude oil production by start-up year of field in million tonnes for 20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169" cy="3377028"/>
                    </a:xfrm>
                    <a:prstGeom prst="rect">
                      <a:avLst/>
                    </a:prstGeom>
                    <a:noFill/>
                  </pic:spPr>
                </pic:pic>
              </a:graphicData>
            </a:graphic>
          </wp:inline>
        </w:drawing>
      </w:r>
    </w:p>
    <w:p w14:paraId="7D841454" w14:textId="77777777" w:rsidR="00641701" w:rsidRPr="00595CB3" w:rsidRDefault="00641701" w:rsidP="00641701">
      <w:pPr>
        <w:pStyle w:val="Default"/>
        <w:spacing w:after="180" w:line="276" w:lineRule="auto"/>
        <w:rPr>
          <w:rFonts w:ascii="Arial" w:hAnsi="Arial" w:cs="Arial"/>
          <w:color w:val="auto"/>
          <w:sz w:val="18"/>
          <w:szCs w:val="16"/>
        </w:rPr>
      </w:pPr>
      <w:r w:rsidRPr="00595CB3">
        <w:rPr>
          <w:rFonts w:ascii="Arial" w:hAnsi="Arial" w:cs="Arial"/>
          <w:color w:val="auto"/>
          <w:sz w:val="18"/>
          <w:szCs w:val="16"/>
        </w:rPr>
        <w:t>Source: OGA</w:t>
      </w:r>
      <w:r w:rsidRPr="007F5248">
        <w:t xml:space="preserve"> </w:t>
      </w:r>
      <w:r w:rsidRPr="007F5248">
        <w:rPr>
          <w:rFonts w:ascii="Arial" w:hAnsi="Arial" w:cs="Arial"/>
          <w:color w:val="auto"/>
          <w:sz w:val="18"/>
          <w:szCs w:val="16"/>
        </w:rPr>
        <w:t>Petroleum Production Reporting System</w:t>
      </w:r>
      <w:r>
        <w:rPr>
          <w:rFonts w:ascii="Arial" w:hAnsi="Arial" w:cs="Arial"/>
          <w:color w:val="auto"/>
          <w:sz w:val="18"/>
          <w:szCs w:val="16"/>
        </w:rPr>
        <w:t>.</w:t>
      </w:r>
    </w:p>
    <w:p w14:paraId="10288E4C" w14:textId="4B5D611E" w:rsidR="00BA7321" w:rsidRPr="00D34DB8" w:rsidRDefault="00BA7321" w:rsidP="00A505EE">
      <w:pPr>
        <w:pStyle w:val="Default"/>
        <w:spacing w:after="180" w:line="276" w:lineRule="auto"/>
        <w:rPr>
          <w:rFonts w:ascii="Arial" w:hAnsi="Arial" w:cs="Arial"/>
          <w:color w:val="auto"/>
        </w:rPr>
      </w:pPr>
      <w:r w:rsidRPr="00D34DB8">
        <w:rPr>
          <w:rFonts w:ascii="Arial" w:hAnsi="Arial" w:cs="Arial"/>
          <w:color w:val="auto"/>
        </w:rPr>
        <w:t>The UK is still a significant oil and gas p</w:t>
      </w:r>
      <w:r w:rsidR="00C85A3D" w:rsidRPr="00D34DB8">
        <w:rPr>
          <w:rFonts w:ascii="Arial" w:hAnsi="Arial" w:cs="Arial"/>
          <w:color w:val="auto"/>
        </w:rPr>
        <w:t>roducer, being responsible for 1.1% of global output of oil and gas in 201</w:t>
      </w:r>
      <w:r w:rsidR="007A7195">
        <w:rPr>
          <w:rFonts w:ascii="Arial" w:hAnsi="Arial" w:cs="Arial"/>
          <w:color w:val="auto"/>
        </w:rPr>
        <w:t>7</w:t>
      </w:r>
      <w:r w:rsidR="00C85A3D" w:rsidRPr="00D34DB8">
        <w:rPr>
          <w:rFonts w:ascii="Arial" w:hAnsi="Arial" w:cs="Arial"/>
          <w:color w:val="auto"/>
        </w:rPr>
        <w:t>.</w:t>
      </w:r>
      <w:r w:rsidR="00C85A3D" w:rsidRPr="00D34DB8">
        <w:rPr>
          <w:rStyle w:val="FootnoteReference"/>
          <w:rFonts w:ascii="Arial" w:hAnsi="Arial" w:cs="Arial"/>
          <w:color w:val="auto"/>
        </w:rPr>
        <w:footnoteReference w:id="12"/>
      </w:r>
    </w:p>
    <w:p w14:paraId="7EE7C595" w14:textId="77777777" w:rsidR="00EE1CFA" w:rsidRPr="00E0694A" w:rsidRDefault="00EE1CFA" w:rsidP="00E0694A">
      <w:pPr>
        <w:pStyle w:val="Heading2"/>
        <w:keepLines w:val="0"/>
        <w:numPr>
          <w:ilvl w:val="1"/>
          <w:numId w:val="43"/>
        </w:numPr>
        <w:shd w:val="clear" w:color="auto" w:fill="BFBFBF"/>
        <w:tabs>
          <w:tab w:val="clear" w:pos="567"/>
        </w:tabs>
        <w:spacing w:after="180" w:line="276" w:lineRule="auto"/>
        <w:ind w:left="567" w:hanging="567"/>
        <w:rPr>
          <w:rFonts w:cs="Arial"/>
          <w:b w:val="0"/>
        </w:rPr>
      </w:pPr>
      <w:r w:rsidRPr="00E0694A">
        <w:rPr>
          <w:rFonts w:cs="Arial"/>
          <w:szCs w:val="24"/>
        </w:rPr>
        <w:t>Cost Environment</w:t>
      </w:r>
    </w:p>
    <w:p w14:paraId="1C93EC61" w14:textId="4122FF23" w:rsidR="009C6940" w:rsidRPr="00D34DB8" w:rsidRDefault="00243255" w:rsidP="00E0694A">
      <w:pPr>
        <w:pStyle w:val="Default"/>
        <w:widowControl w:val="0"/>
        <w:spacing w:after="180" w:line="276" w:lineRule="auto"/>
        <w:rPr>
          <w:rFonts w:ascii="Arial" w:hAnsi="Arial" w:cs="Arial"/>
          <w:color w:val="auto"/>
        </w:rPr>
      </w:pPr>
      <w:r w:rsidRPr="00D34DB8">
        <w:rPr>
          <w:rFonts w:ascii="Arial" w:hAnsi="Arial" w:cs="Arial"/>
          <w:color w:val="auto"/>
        </w:rPr>
        <w:t>Total upstream expenditure peaked in 2014 at £27.</w:t>
      </w:r>
      <w:r w:rsidR="00FF7AE5">
        <w:rPr>
          <w:rFonts w:ascii="Arial" w:hAnsi="Arial" w:cs="Arial"/>
          <w:color w:val="auto"/>
        </w:rPr>
        <w:t>5</w:t>
      </w:r>
      <w:r w:rsidRPr="00D34DB8">
        <w:rPr>
          <w:rFonts w:ascii="Arial" w:hAnsi="Arial" w:cs="Arial"/>
          <w:color w:val="auto"/>
        </w:rPr>
        <w:t xml:space="preserve"> billion and </w:t>
      </w:r>
      <w:r w:rsidR="00D50F28" w:rsidRPr="00D34DB8">
        <w:rPr>
          <w:rFonts w:ascii="Arial" w:hAnsi="Arial" w:cs="Arial"/>
          <w:color w:val="auto"/>
        </w:rPr>
        <w:t>fell</w:t>
      </w:r>
      <w:r w:rsidRPr="00D34DB8">
        <w:rPr>
          <w:rFonts w:ascii="Arial" w:hAnsi="Arial" w:cs="Arial"/>
          <w:color w:val="auto"/>
        </w:rPr>
        <w:t xml:space="preserve"> to £</w:t>
      </w:r>
      <w:r w:rsidR="0016540D" w:rsidRPr="00D34DB8">
        <w:rPr>
          <w:rFonts w:ascii="Arial" w:hAnsi="Arial" w:cs="Arial"/>
          <w:color w:val="auto"/>
        </w:rPr>
        <w:t>1</w:t>
      </w:r>
      <w:r w:rsidR="00BE3360">
        <w:rPr>
          <w:rFonts w:ascii="Arial" w:hAnsi="Arial" w:cs="Arial"/>
          <w:color w:val="auto"/>
        </w:rPr>
        <w:t>4</w:t>
      </w:r>
      <w:r w:rsidR="003C39C0" w:rsidRPr="00D34DB8">
        <w:rPr>
          <w:rFonts w:ascii="Arial" w:hAnsi="Arial" w:cs="Arial"/>
          <w:color w:val="auto"/>
        </w:rPr>
        <w:t>.</w:t>
      </w:r>
      <w:r w:rsidR="00BE3360">
        <w:rPr>
          <w:rFonts w:ascii="Arial" w:hAnsi="Arial" w:cs="Arial"/>
          <w:color w:val="auto"/>
        </w:rPr>
        <w:t>4</w:t>
      </w:r>
      <w:r w:rsidR="0016540D" w:rsidRPr="00D34DB8">
        <w:rPr>
          <w:rFonts w:ascii="Arial" w:hAnsi="Arial" w:cs="Arial"/>
          <w:color w:val="auto"/>
        </w:rPr>
        <w:t xml:space="preserve"> </w:t>
      </w:r>
      <w:r w:rsidRPr="00D34DB8">
        <w:rPr>
          <w:rFonts w:ascii="Arial" w:hAnsi="Arial" w:cs="Arial"/>
          <w:color w:val="auto"/>
        </w:rPr>
        <w:t>billion in 201</w:t>
      </w:r>
      <w:r w:rsidR="00BE3360">
        <w:rPr>
          <w:rFonts w:ascii="Arial" w:hAnsi="Arial" w:cs="Arial"/>
          <w:color w:val="auto"/>
        </w:rPr>
        <w:t>7</w:t>
      </w:r>
      <w:r w:rsidRPr="00D34DB8">
        <w:rPr>
          <w:rFonts w:ascii="Arial" w:hAnsi="Arial" w:cs="Arial"/>
          <w:color w:val="auto"/>
        </w:rPr>
        <w:t xml:space="preserve">. </w:t>
      </w:r>
      <w:r w:rsidR="00A220DA" w:rsidRPr="00D34DB8">
        <w:rPr>
          <w:rFonts w:ascii="Arial" w:hAnsi="Arial" w:cs="Arial"/>
          <w:color w:val="auto"/>
        </w:rPr>
        <w:t>The impact of the fall in oil and gas prices put industry under immense pressure to reduce expenditure, both through readjusting budgets and rationalising expenditure.</w:t>
      </w:r>
    </w:p>
    <w:p w14:paraId="74210D0B" w14:textId="43FE1748" w:rsidR="00FE5EFB" w:rsidRPr="00595CB3" w:rsidRDefault="00FE5EFB" w:rsidP="00FE5EFB">
      <w:pPr>
        <w:pStyle w:val="Caption"/>
        <w:keepNext/>
        <w:spacing w:before="0" w:line="276" w:lineRule="auto"/>
        <w:outlineLvl w:val="0"/>
        <w:rPr>
          <w:rFonts w:ascii="Arial" w:hAnsi="Arial" w:cs="Arial"/>
          <w:sz w:val="22"/>
          <w:szCs w:val="22"/>
        </w:rPr>
      </w:pPr>
      <w:bookmarkStart w:id="6" w:name="_Toc512547348"/>
      <w:r w:rsidRPr="00595CB3">
        <w:rPr>
          <w:rFonts w:ascii="Arial" w:hAnsi="Arial" w:cs="Arial"/>
          <w:sz w:val="22"/>
          <w:szCs w:val="22"/>
        </w:rPr>
        <w:t>Figure</w:t>
      </w:r>
      <w:r>
        <w:rPr>
          <w:rFonts w:ascii="Arial" w:hAnsi="Arial" w:cs="Arial"/>
          <w:sz w:val="22"/>
          <w:szCs w:val="22"/>
        </w:rPr>
        <w:t xml:space="preserve"> </w:t>
      </w:r>
      <w:r w:rsidR="00475692">
        <w:rPr>
          <w:rFonts w:ascii="Arial" w:hAnsi="Arial" w:cs="Arial"/>
          <w:sz w:val="22"/>
          <w:szCs w:val="22"/>
        </w:rPr>
        <w:t>5</w:t>
      </w:r>
      <w:r w:rsidRPr="00595CB3">
        <w:rPr>
          <w:rFonts w:ascii="Arial" w:hAnsi="Arial" w:cs="Arial"/>
          <w:bCs/>
          <w:sz w:val="22"/>
          <w:szCs w:val="22"/>
        </w:rPr>
        <w:t>. Upstream oil and gas expenditure, 2000–201</w:t>
      </w:r>
      <w:r>
        <w:rPr>
          <w:rFonts w:ascii="Arial" w:hAnsi="Arial" w:cs="Arial"/>
          <w:bCs/>
          <w:sz w:val="22"/>
          <w:szCs w:val="22"/>
        </w:rPr>
        <w:t>7</w:t>
      </w:r>
      <w:r w:rsidRPr="00595CB3">
        <w:rPr>
          <w:rFonts w:ascii="Arial" w:hAnsi="Arial" w:cs="Arial"/>
          <w:sz w:val="22"/>
          <w:szCs w:val="22"/>
          <w:vertAlign w:val="superscript"/>
        </w:rPr>
        <w:footnoteReference w:id="13"/>
      </w:r>
      <w:bookmarkEnd w:id="6"/>
    </w:p>
    <w:p w14:paraId="32FE4952" w14:textId="680E0250" w:rsidR="00FE5EFB" w:rsidRPr="00595CB3" w:rsidRDefault="00FE5EFB" w:rsidP="00FE5EFB">
      <w:pPr>
        <w:pStyle w:val="Default"/>
        <w:keepNext/>
        <w:spacing w:after="18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63EE06FF" wp14:editId="4ED1B424">
            <wp:extent cx="5723947" cy="3429000"/>
            <wp:effectExtent l="0" t="0" r="0" b="0"/>
            <wp:docPr id="3" name="Picture 3" descr="Figure 5 shows upstream oil and gas expenditure in £ billion for 20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404" cy="3433467"/>
                    </a:xfrm>
                    <a:prstGeom prst="rect">
                      <a:avLst/>
                    </a:prstGeom>
                    <a:noFill/>
                  </pic:spPr>
                </pic:pic>
              </a:graphicData>
            </a:graphic>
          </wp:inline>
        </w:drawing>
      </w:r>
    </w:p>
    <w:p w14:paraId="604F9F09" w14:textId="4B3195A4" w:rsidR="00FE5EFB" w:rsidRDefault="00FE5EFB" w:rsidP="00FE5EFB">
      <w:pPr>
        <w:pStyle w:val="Default"/>
        <w:spacing w:after="180" w:line="276" w:lineRule="auto"/>
        <w:rPr>
          <w:rFonts w:ascii="Arial" w:hAnsi="Arial" w:cs="Arial"/>
          <w:color w:val="auto"/>
          <w:sz w:val="18"/>
          <w:szCs w:val="22"/>
        </w:rPr>
      </w:pPr>
      <w:r w:rsidRPr="00595CB3">
        <w:rPr>
          <w:rFonts w:ascii="Arial" w:hAnsi="Arial" w:cs="Arial"/>
          <w:color w:val="auto"/>
          <w:sz w:val="18"/>
          <w:szCs w:val="22"/>
        </w:rPr>
        <w:t>Source: OGA</w:t>
      </w:r>
      <w:r>
        <w:rPr>
          <w:rFonts w:ascii="Arial" w:hAnsi="Arial" w:cs="Arial"/>
          <w:color w:val="auto"/>
          <w:sz w:val="18"/>
          <w:szCs w:val="22"/>
        </w:rPr>
        <w:t>.</w:t>
      </w:r>
    </w:p>
    <w:p w14:paraId="62F4FD57" w14:textId="31A76939" w:rsidR="0032791A" w:rsidRPr="00E0694A" w:rsidRDefault="0032791A" w:rsidP="0032791A">
      <w:pPr>
        <w:pStyle w:val="Heading2"/>
        <w:keepLines w:val="0"/>
        <w:numPr>
          <w:ilvl w:val="1"/>
          <w:numId w:val="43"/>
        </w:numPr>
        <w:shd w:val="clear" w:color="auto" w:fill="BFBFBF"/>
        <w:tabs>
          <w:tab w:val="clear" w:pos="567"/>
        </w:tabs>
        <w:spacing w:after="180" w:line="276" w:lineRule="auto"/>
        <w:ind w:left="567" w:hanging="567"/>
        <w:rPr>
          <w:rFonts w:cs="Arial"/>
          <w:b w:val="0"/>
        </w:rPr>
      </w:pPr>
      <w:r>
        <w:rPr>
          <w:rFonts w:cs="Arial"/>
          <w:szCs w:val="24"/>
        </w:rPr>
        <w:t>Government Revenues</w:t>
      </w:r>
    </w:p>
    <w:p w14:paraId="2233550B" w14:textId="28D4A23C" w:rsidR="00C963C5" w:rsidRDefault="00C963C5" w:rsidP="00C963C5">
      <w:pPr>
        <w:spacing w:after="180" w:line="276" w:lineRule="auto"/>
        <w:rPr>
          <w:szCs w:val="24"/>
        </w:rPr>
      </w:pPr>
      <w:r w:rsidRPr="008B6862">
        <w:rPr>
          <w:szCs w:val="24"/>
        </w:rPr>
        <w:t xml:space="preserve">Table </w:t>
      </w:r>
      <w:r w:rsidR="00E33BED">
        <w:rPr>
          <w:szCs w:val="24"/>
        </w:rPr>
        <w:t>2</w:t>
      </w:r>
      <w:r>
        <w:rPr>
          <w:szCs w:val="24"/>
        </w:rPr>
        <w:t xml:space="preserve"> includes estimates of the amounts of ring fence corporation tax (RFCT) plus supplementary charge (SC) paid annually in respect of UK upstream oil and gas production activities, i.e. the exploration and productions stage (described for simplicity as “offshore” CT), and of petroleum revenue tax (PRT). UK Government accounts are compiled on a financial year basis and the figures reported are consistent with annual totals reported in them on a cash basis.</w:t>
      </w:r>
    </w:p>
    <w:p w14:paraId="265248EF" w14:textId="0060AC3F" w:rsidR="00C963C5" w:rsidRDefault="00C963C5" w:rsidP="00C963C5">
      <w:pPr>
        <w:spacing w:before="180" w:after="180" w:line="276" w:lineRule="auto"/>
        <w:rPr>
          <w:szCs w:val="24"/>
        </w:rPr>
      </w:pPr>
      <w:r>
        <w:rPr>
          <w:szCs w:val="24"/>
        </w:rPr>
        <w:t>In addition to the cash receipts series published by HMRC that is tabulated below, tax receipts are also reported by the ONS on an accruals basis.</w:t>
      </w:r>
      <w:r>
        <w:rPr>
          <w:rStyle w:val="FootnoteReference"/>
          <w:szCs w:val="24"/>
        </w:rPr>
        <w:footnoteReference w:id="14"/>
      </w:r>
      <w:r>
        <w:rPr>
          <w:szCs w:val="24"/>
        </w:rPr>
        <w:t xml:space="preserve"> The accruals basis shows when the tax liability arises, i.e. it matches the taxes arising to taxable income as it is earned. There is usually a timing difference between when the tax liability arises and when it is paid. Tax is usually paid after the liability arises so the tax cash payments in one time period may not match the tax liability for the same period. For example, a tax liability of £120 million may arise in one tax year (£120 million recorded on an accruals basis); this may be paid in three equal instalments, two in the same tax year (£80 million recorded that year on a cash basis) with one final instalment the next tax year (£40 million recorded in the next tax year on a cash basis). Over a longer timeframe, the same amounts are captured by these two different mechanisms of recording payments, but in the short term there will be a mismatch in amounts. This results in different series being published for corporation tax receipts/repayments</w:t>
      </w:r>
      <w:r w:rsidRPr="00E33BED">
        <w:rPr>
          <w:szCs w:val="24"/>
        </w:rPr>
        <w:t xml:space="preserve">. </w:t>
      </w:r>
      <w:r w:rsidRPr="008B6862">
        <w:rPr>
          <w:szCs w:val="24"/>
        </w:rPr>
        <w:t xml:space="preserve">Table </w:t>
      </w:r>
      <w:r w:rsidR="00E33BED" w:rsidRPr="00E33BED">
        <w:rPr>
          <w:szCs w:val="24"/>
        </w:rPr>
        <w:t>2</w:t>
      </w:r>
      <w:r>
        <w:rPr>
          <w:szCs w:val="24"/>
        </w:rPr>
        <w:t xml:space="preserve"> below therefore also includes receipts on an accruals basis.</w:t>
      </w:r>
    </w:p>
    <w:p w14:paraId="3DC4CCAB" w14:textId="17BC9533" w:rsidR="00C963C5" w:rsidRDefault="00C963C5" w:rsidP="00C963C5">
      <w:pPr>
        <w:pStyle w:val="Caption"/>
        <w:keepNext/>
        <w:outlineLvl w:val="0"/>
        <w:rPr>
          <w:rFonts w:ascii="Arial" w:hAnsi="Arial" w:cs="Arial"/>
          <w:sz w:val="22"/>
          <w:szCs w:val="22"/>
        </w:rPr>
      </w:pPr>
      <w:bookmarkStart w:id="7" w:name="_Toc512547327"/>
      <w:r>
        <w:rPr>
          <w:rFonts w:ascii="Arial" w:hAnsi="Arial" w:cs="Arial"/>
          <w:sz w:val="22"/>
          <w:szCs w:val="22"/>
        </w:rPr>
        <w:t xml:space="preserve">Table </w:t>
      </w:r>
      <w:r w:rsidR="00E33BED">
        <w:rPr>
          <w:rFonts w:ascii="Arial" w:hAnsi="Arial" w:cs="Arial"/>
          <w:sz w:val="22"/>
          <w:szCs w:val="22"/>
        </w:rPr>
        <w:t>2</w:t>
      </w:r>
      <w:r>
        <w:rPr>
          <w:rFonts w:ascii="Arial" w:hAnsi="Arial" w:cs="Arial"/>
          <w:sz w:val="22"/>
          <w:szCs w:val="22"/>
        </w:rPr>
        <w:t xml:space="preserve">. </w:t>
      </w:r>
      <w:r>
        <w:rPr>
          <w:rFonts w:ascii="Arial" w:hAnsi="Arial" w:cs="Arial"/>
          <w:bCs/>
          <w:sz w:val="22"/>
          <w:szCs w:val="22"/>
        </w:rPr>
        <w:t>UK Government Revenues from Upstream Oil and Gas</w:t>
      </w:r>
      <w:r>
        <w:rPr>
          <w:rStyle w:val="FootnoteReference"/>
          <w:rFonts w:ascii="Arial" w:hAnsi="Arial" w:cs="Arial"/>
          <w:b w:val="0"/>
          <w:bCs/>
          <w:sz w:val="22"/>
          <w:szCs w:val="22"/>
        </w:rPr>
        <w:footnoteReference w:id="15"/>
      </w:r>
      <w:bookmarkEnd w:id="7"/>
    </w:p>
    <w:tbl>
      <w:tblPr>
        <w:tblW w:w="3880" w:type="pct"/>
        <w:tblCellMar>
          <w:left w:w="70" w:type="dxa"/>
          <w:right w:w="70" w:type="dxa"/>
        </w:tblCellMar>
        <w:tblLook w:val="04A0" w:firstRow="1" w:lastRow="0" w:firstColumn="1" w:lastColumn="0" w:noHBand="0" w:noVBand="1"/>
        <w:tblCaption w:val="Table 2. UK Government revenues from upsteam oil and gas"/>
        <w:tblDescription w:val="Table 2 shows UK goverment revenues from upsteam oil and gas in £ millions for corporation tax, petroleum revenue tax and total HMRC receipts for 2013-2017."/>
      </w:tblPr>
      <w:tblGrid>
        <w:gridCol w:w="975"/>
        <w:gridCol w:w="1056"/>
        <w:gridCol w:w="780"/>
        <w:gridCol w:w="923"/>
        <w:gridCol w:w="979"/>
        <w:gridCol w:w="1297"/>
        <w:gridCol w:w="995"/>
      </w:tblGrid>
      <w:tr w:rsidR="00C963C5" w14:paraId="4231E181" w14:textId="77777777" w:rsidTr="00C963C5">
        <w:trPr>
          <w:trHeight w:val="225"/>
        </w:trPr>
        <w:tc>
          <w:tcPr>
            <w:tcW w:w="1449" w:type="pct"/>
            <w:gridSpan w:val="2"/>
            <w:noWrap/>
            <w:vAlign w:val="center"/>
            <w:hideMark/>
          </w:tcPr>
          <w:p w14:paraId="41EC9FC7"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Cash (HMRC)</w:t>
            </w:r>
          </w:p>
        </w:tc>
        <w:tc>
          <w:tcPr>
            <w:tcW w:w="557" w:type="pct"/>
            <w:noWrap/>
            <w:vAlign w:val="center"/>
          </w:tcPr>
          <w:p w14:paraId="2DBA5F19" w14:textId="77777777" w:rsidR="00C963C5" w:rsidRDefault="00C963C5">
            <w:pPr>
              <w:keepNext/>
              <w:spacing w:line="276" w:lineRule="auto"/>
              <w:rPr>
                <w:rFonts w:eastAsia="Times New Roman"/>
                <w:b/>
                <w:bCs/>
                <w:color w:val="000000"/>
                <w:sz w:val="16"/>
                <w:lang w:eastAsia="fr-FR"/>
              </w:rPr>
            </w:pPr>
          </w:p>
        </w:tc>
        <w:tc>
          <w:tcPr>
            <w:tcW w:w="659" w:type="pct"/>
            <w:noWrap/>
            <w:vAlign w:val="center"/>
          </w:tcPr>
          <w:p w14:paraId="61DF18B3" w14:textId="77777777" w:rsidR="00C963C5" w:rsidRDefault="00C963C5">
            <w:pPr>
              <w:keepNext/>
              <w:spacing w:line="276" w:lineRule="auto"/>
              <w:rPr>
                <w:rFonts w:ascii="Times New Roman" w:eastAsia="Times New Roman" w:hAnsi="Times New Roman" w:cs="Times New Roman"/>
                <w:sz w:val="20"/>
                <w:szCs w:val="20"/>
                <w:lang w:eastAsia="fr-FR"/>
              </w:rPr>
            </w:pPr>
          </w:p>
        </w:tc>
        <w:tc>
          <w:tcPr>
            <w:tcW w:w="699" w:type="pct"/>
            <w:noWrap/>
            <w:vAlign w:val="center"/>
          </w:tcPr>
          <w:p w14:paraId="46C363F8" w14:textId="77777777" w:rsidR="00C963C5" w:rsidRDefault="00C963C5">
            <w:pPr>
              <w:keepNext/>
              <w:spacing w:line="276" w:lineRule="auto"/>
              <w:rPr>
                <w:rFonts w:ascii="Times New Roman" w:eastAsia="Times New Roman" w:hAnsi="Times New Roman" w:cs="Times New Roman"/>
                <w:sz w:val="20"/>
                <w:szCs w:val="20"/>
                <w:lang w:eastAsia="fr-FR"/>
              </w:rPr>
            </w:pPr>
          </w:p>
        </w:tc>
        <w:tc>
          <w:tcPr>
            <w:tcW w:w="926" w:type="pct"/>
            <w:noWrap/>
            <w:vAlign w:val="center"/>
          </w:tcPr>
          <w:p w14:paraId="50DEEBDF" w14:textId="77777777" w:rsidR="00C963C5" w:rsidRDefault="00C963C5">
            <w:pPr>
              <w:keepNext/>
              <w:spacing w:line="276" w:lineRule="auto"/>
              <w:rPr>
                <w:rFonts w:ascii="Times New Roman" w:eastAsia="Times New Roman" w:hAnsi="Times New Roman" w:cs="Times New Roman"/>
                <w:sz w:val="20"/>
                <w:szCs w:val="20"/>
                <w:lang w:eastAsia="fr-FR"/>
              </w:rPr>
            </w:pPr>
          </w:p>
        </w:tc>
        <w:tc>
          <w:tcPr>
            <w:tcW w:w="710" w:type="pct"/>
            <w:noWrap/>
            <w:vAlign w:val="center"/>
          </w:tcPr>
          <w:p w14:paraId="130BAE7E" w14:textId="77777777" w:rsidR="00C963C5" w:rsidRDefault="00C963C5">
            <w:pPr>
              <w:keepNext/>
              <w:spacing w:line="276" w:lineRule="auto"/>
              <w:rPr>
                <w:rFonts w:ascii="Times New Roman" w:eastAsia="Times New Roman" w:hAnsi="Times New Roman" w:cs="Times New Roman"/>
                <w:sz w:val="20"/>
                <w:szCs w:val="20"/>
                <w:lang w:eastAsia="fr-FR"/>
              </w:rPr>
            </w:pPr>
          </w:p>
        </w:tc>
      </w:tr>
      <w:tr w:rsidR="00C963C5" w14:paraId="2E269BAC" w14:textId="77777777" w:rsidTr="00C963C5">
        <w:trPr>
          <w:trHeight w:val="915"/>
        </w:trPr>
        <w:tc>
          <w:tcPr>
            <w:tcW w:w="695" w:type="pct"/>
            <w:tcBorders>
              <w:top w:val="nil"/>
              <w:left w:val="nil"/>
              <w:bottom w:val="single" w:sz="12" w:space="0" w:color="5B9BD5"/>
              <w:right w:val="nil"/>
            </w:tcBorders>
            <w:shd w:val="clear" w:color="auto" w:fill="244062"/>
            <w:vAlign w:val="center"/>
            <w:hideMark/>
          </w:tcPr>
          <w:p w14:paraId="0EA4E184" w14:textId="77777777" w:rsidR="00C963C5" w:rsidRDefault="00C963C5">
            <w:pPr>
              <w:keepNext/>
              <w:spacing w:line="276" w:lineRule="auto"/>
              <w:rPr>
                <w:rFonts w:eastAsia="Times New Roman"/>
                <w:b/>
                <w:bCs/>
                <w:color w:val="FFFFFF"/>
                <w:sz w:val="16"/>
                <w:lang w:eastAsia="fr-FR"/>
              </w:rPr>
            </w:pPr>
            <w:r>
              <w:rPr>
                <w:rFonts w:eastAsia="Times New Roman"/>
                <w:b/>
                <w:bCs/>
                <w:color w:val="FFFFFF"/>
                <w:sz w:val="16"/>
                <w:lang w:eastAsia="fr-FR"/>
              </w:rPr>
              <w:t>£ million</w:t>
            </w:r>
          </w:p>
        </w:tc>
        <w:tc>
          <w:tcPr>
            <w:tcW w:w="754" w:type="pct"/>
            <w:tcBorders>
              <w:top w:val="nil"/>
              <w:left w:val="nil"/>
              <w:bottom w:val="single" w:sz="12" w:space="0" w:color="5B9BD5"/>
              <w:right w:val="nil"/>
            </w:tcBorders>
            <w:shd w:val="clear" w:color="auto" w:fill="244062"/>
            <w:vAlign w:val="center"/>
            <w:hideMark/>
          </w:tcPr>
          <w:p w14:paraId="666C3BA6"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Total Corporation Tax</w:t>
            </w:r>
          </w:p>
        </w:tc>
        <w:tc>
          <w:tcPr>
            <w:tcW w:w="557" w:type="pct"/>
            <w:tcBorders>
              <w:top w:val="nil"/>
              <w:left w:val="nil"/>
              <w:bottom w:val="single" w:sz="12" w:space="0" w:color="5B9BD5"/>
              <w:right w:val="nil"/>
            </w:tcBorders>
            <w:shd w:val="clear" w:color="auto" w:fill="244062"/>
            <w:vAlign w:val="center"/>
            <w:hideMark/>
          </w:tcPr>
          <w:p w14:paraId="61394012"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Of which offshore</w:t>
            </w:r>
          </w:p>
        </w:tc>
        <w:tc>
          <w:tcPr>
            <w:tcW w:w="659" w:type="pct"/>
            <w:tcBorders>
              <w:top w:val="nil"/>
              <w:left w:val="nil"/>
              <w:bottom w:val="single" w:sz="12" w:space="0" w:color="5B9BD5"/>
              <w:right w:val="nil"/>
            </w:tcBorders>
            <w:shd w:val="clear" w:color="auto" w:fill="244062"/>
            <w:vAlign w:val="center"/>
            <w:hideMark/>
          </w:tcPr>
          <w:p w14:paraId="6C5BDA8A"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Petroleum Revenue Tax</w:t>
            </w:r>
          </w:p>
        </w:tc>
        <w:tc>
          <w:tcPr>
            <w:tcW w:w="699" w:type="pct"/>
            <w:tcBorders>
              <w:top w:val="nil"/>
              <w:left w:val="nil"/>
              <w:bottom w:val="single" w:sz="12" w:space="0" w:color="5B9BD5"/>
              <w:right w:val="nil"/>
            </w:tcBorders>
            <w:shd w:val="clear" w:color="auto" w:fill="244062"/>
            <w:vAlign w:val="center"/>
            <w:hideMark/>
          </w:tcPr>
          <w:p w14:paraId="1ADBBE78"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Total Upstream Oil and Gas</w:t>
            </w:r>
          </w:p>
        </w:tc>
        <w:tc>
          <w:tcPr>
            <w:tcW w:w="926" w:type="pct"/>
            <w:tcBorders>
              <w:top w:val="nil"/>
              <w:left w:val="nil"/>
              <w:bottom w:val="single" w:sz="12" w:space="0" w:color="5B9BD5"/>
              <w:right w:val="nil"/>
            </w:tcBorders>
            <w:shd w:val="clear" w:color="auto" w:fill="244062"/>
            <w:vAlign w:val="center"/>
            <w:hideMark/>
          </w:tcPr>
          <w:p w14:paraId="7B26CF71"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 xml:space="preserve">Total HMRC receipts </w:t>
            </w:r>
          </w:p>
        </w:tc>
        <w:tc>
          <w:tcPr>
            <w:tcW w:w="710" w:type="pct"/>
            <w:tcBorders>
              <w:top w:val="nil"/>
              <w:left w:val="nil"/>
              <w:bottom w:val="single" w:sz="12" w:space="0" w:color="5B9BD5"/>
              <w:right w:val="nil"/>
            </w:tcBorders>
            <w:shd w:val="clear" w:color="auto" w:fill="244062"/>
            <w:vAlign w:val="center"/>
            <w:hideMark/>
          </w:tcPr>
          <w:p w14:paraId="1AF117B1"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Upstream Oil and Gas Share of Total (%)</w:t>
            </w:r>
          </w:p>
        </w:tc>
      </w:tr>
      <w:tr w:rsidR="00C963C5" w14:paraId="12BD5610" w14:textId="77777777" w:rsidTr="00C963C5">
        <w:trPr>
          <w:trHeight w:val="283"/>
        </w:trPr>
        <w:tc>
          <w:tcPr>
            <w:tcW w:w="5000" w:type="pct"/>
            <w:gridSpan w:val="7"/>
            <w:tcBorders>
              <w:top w:val="single" w:sz="12" w:space="0" w:color="5B9BD5"/>
              <w:left w:val="nil"/>
              <w:bottom w:val="nil"/>
              <w:right w:val="nil"/>
            </w:tcBorders>
            <w:shd w:val="clear" w:color="auto" w:fill="BFBFBF"/>
            <w:vAlign w:val="center"/>
            <w:hideMark/>
          </w:tcPr>
          <w:p w14:paraId="1A2EDC12"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Calendar Year</w:t>
            </w:r>
          </w:p>
        </w:tc>
      </w:tr>
      <w:tr w:rsidR="00C963C5" w14:paraId="174B3207" w14:textId="77777777" w:rsidTr="00C963C5">
        <w:trPr>
          <w:trHeight w:val="283"/>
        </w:trPr>
        <w:tc>
          <w:tcPr>
            <w:tcW w:w="695" w:type="pct"/>
            <w:shd w:val="clear" w:color="auto" w:fill="BDD7EE"/>
            <w:noWrap/>
            <w:vAlign w:val="center"/>
            <w:hideMark/>
          </w:tcPr>
          <w:p w14:paraId="049B6E25"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2013</w:t>
            </w:r>
          </w:p>
        </w:tc>
        <w:tc>
          <w:tcPr>
            <w:tcW w:w="754" w:type="pct"/>
            <w:shd w:val="clear" w:color="auto" w:fill="BDD7EE"/>
            <w:noWrap/>
            <w:vAlign w:val="center"/>
            <w:hideMark/>
          </w:tcPr>
          <w:p w14:paraId="59DD3C1C" w14:textId="77777777" w:rsidR="00C963C5" w:rsidRDefault="00C963C5">
            <w:pPr>
              <w:keepNext/>
              <w:spacing w:line="276" w:lineRule="auto"/>
              <w:jc w:val="right"/>
              <w:rPr>
                <w:rFonts w:eastAsia="Times New Roman"/>
                <w:color w:val="000000"/>
                <w:sz w:val="16"/>
                <w:lang w:eastAsia="fr-FR"/>
              </w:rPr>
            </w:pPr>
            <w:r>
              <w:rPr>
                <w:color w:val="000000"/>
                <w:sz w:val="16"/>
              </w:rPr>
              <w:t>40,417</w:t>
            </w:r>
          </w:p>
        </w:tc>
        <w:tc>
          <w:tcPr>
            <w:tcW w:w="557" w:type="pct"/>
            <w:shd w:val="clear" w:color="auto" w:fill="BDD7EE"/>
            <w:noWrap/>
            <w:vAlign w:val="center"/>
            <w:hideMark/>
          </w:tcPr>
          <w:p w14:paraId="1757E0A1" w14:textId="77777777" w:rsidR="00C963C5" w:rsidRDefault="00C963C5">
            <w:pPr>
              <w:keepNext/>
              <w:spacing w:line="276" w:lineRule="auto"/>
              <w:jc w:val="right"/>
              <w:rPr>
                <w:rFonts w:eastAsia="Times New Roman"/>
                <w:color w:val="000000"/>
                <w:sz w:val="16"/>
                <w:lang w:eastAsia="fr-FR"/>
              </w:rPr>
            </w:pPr>
            <w:r>
              <w:rPr>
                <w:color w:val="000000"/>
                <w:sz w:val="16"/>
              </w:rPr>
              <w:t>3,881</w:t>
            </w:r>
          </w:p>
        </w:tc>
        <w:tc>
          <w:tcPr>
            <w:tcW w:w="659" w:type="pct"/>
            <w:shd w:val="clear" w:color="auto" w:fill="BDD7EE"/>
            <w:noWrap/>
            <w:vAlign w:val="center"/>
            <w:hideMark/>
          </w:tcPr>
          <w:p w14:paraId="21514DE4" w14:textId="77777777" w:rsidR="00C963C5" w:rsidRDefault="00C963C5">
            <w:pPr>
              <w:keepNext/>
              <w:spacing w:line="276" w:lineRule="auto"/>
              <w:jc w:val="right"/>
              <w:rPr>
                <w:rFonts w:eastAsia="Times New Roman"/>
                <w:color w:val="000000"/>
                <w:sz w:val="16"/>
                <w:lang w:eastAsia="fr-FR"/>
              </w:rPr>
            </w:pPr>
            <w:r>
              <w:rPr>
                <w:color w:val="000000"/>
                <w:sz w:val="16"/>
              </w:rPr>
              <w:t>1,296</w:t>
            </w:r>
          </w:p>
        </w:tc>
        <w:tc>
          <w:tcPr>
            <w:tcW w:w="699" w:type="pct"/>
            <w:shd w:val="clear" w:color="auto" w:fill="BDD7EE"/>
            <w:noWrap/>
            <w:vAlign w:val="center"/>
            <w:hideMark/>
          </w:tcPr>
          <w:p w14:paraId="4725EFA8" w14:textId="77777777" w:rsidR="00C963C5" w:rsidRDefault="00C963C5">
            <w:pPr>
              <w:keepNext/>
              <w:spacing w:line="276" w:lineRule="auto"/>
              <w:jc w:val="right"/>
              <w:rPr>
                <w:rFonts w:eastAsia="Times New Roman"/>
                <w:color w:val="000000"/>
                <w:sz w:val="16"/>
                <w:lang w:eastAsia="fr-FR"/>
              </w:rPr>
            </w:pPr>
            <w:r>
              <w:rPr>
                <w:color w:val="000000"/>
                <w:sz w:val="16"/>
              </w:rPr>
              <w:t>5,177</w:t>
            </w:r>
          </w:p>
        </w:tc>
        <w:tc>
          <w:tcPr>
            <w:tcW w:w="926" w:type="pct"/>
            <w:shd w:val="clear" w:color="auto" w:fill="BDD7EE"/>
            <w:noWrap/>
            <w:vAlign w:val="center"/>
            <w:hideMark/>
          </w:tcPr>
          <w:p w14:paraId="1567D2FB" w14:textId="77777777" w:rsidR="00C963C5" w:rsidRDefault="00C963C5">
            <w:pPr>
              <w:keepNext/>
              <w:spacing w:line="276" w:lineRule="auto"/>
              <w:jc w:val="right"/>
              <w:rPr>
                <w:rFonts w:eastAsia="Times New Roman"/>
                <w:color w:val="000000"/>
                <w:sz w:val="16"/>
                <w:lang w:eastAsia="fr-FR"/>
              </w:rPr>
            </w:pPr>
            <w:r>
              <w:rPr>
                <w:color w:val="000000"/>
                <w:sz w:val="16"/>
              </w:rPr>
              <w:t>489,697</w:t>
            </w:r>
          </w:p>
        </w:tc>
        <w:tc>
          <w:tcPr>
            <w:tcW w:w="710" w:type="pct"/>
            <w:shd w:val="clear" w:color="auto" w:fill="BDD7EE"/>
            <w:noWrap/>
            <w:vAlign w:val="center"/>
            <w:hideMark/>
          </w:tcPr>
          <w:p w14:paraId="4B159D95" w14:textId="77777777" w:rsidR="00C963C5" w:rsidRDefault="00C963C5">
            <w:pPr>
              <w:keepNext/>
              <w:spacing w:line="276" w:lineRule="auto"/>
              <w:jc w:val="right"/>
              <w:rPr>
                <w:rFonts w:eastAsia="Times New Roman"/>
                <w:color w:val="000000"/>
                <w:sz w:val="16"/>
                <w:lang w:eastAsia="fr-FR"/>
              </w:rPr>
            </w:pPr>
            <w:r>
              <w:rPr>
                <w:color w:val="000000"/>
                <w:sz w:val="16"/>
              </w:rPr>
              <w:t>1.1%</w:t>
            </w:r>
          </w:p>
        </w:tc>
      </w:tr>
      <w:tr w:rsidR="00C963C5" w14:paraId="66FE57BD" w14:textId="77777777" w:rsidTr="00C963C5">
        <w:trPr>
          <w:trHeight w:val="283"/>
        </w:trPr>
        <w:tc>
          <w:tcPr>
            <w:tcW w:w="695" w:type="pct"/>
            <w:noWrap/>
            <w:vAlign w:val="center"/>
            <w:hideMark/>
          </w:tcPr>
          <w:p w14:paraId="3ACAE24D"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2014</w:t>
            </w:r>
          </w:p>
        </w:tc>
        <w:tc>
          <w:tcPr>
            <w:tcW w:w="754" w:type="pct"/>
            <w:noWrap/>
            <w:vAlign w:val="center"/>
            <w:hideMark/>
          </w:tcPr>
          <w:p w14:paraId="145880D0" w14:textId="77777777" w:rsidR="00C963C5" w:rsidRDefault="00C963C5">
            <w:pPr>
              <w:keepNext/>
              <w:spacing w:line="276" w:lineRule="auto"/>
              <w:jc w:val="right"/>
              <w:rPr>
                <w:rFonts w:eastAsia="Times New Roman"/>
                <w:color w:val="000000"/>
                <w:sz w:val="16"/>
                <w:lang w:eastAsia="fr-FR"/>
              </w:rPr>
            </w:pPr>
            <w:r>
              <w:rPr>
                <w:color w:val="000000"/>
                <w:sz w:val="16"/>
              </w:rPr>
              <w:t>41,578</w:t>
            </w:r>
          </w:p>
        </w:tc>
        <w:tc>
          <w:tcPr>
            <w:tcW w:w="557" w:type="pct"/>
            <w:noWrap/>
            <w:vAlign w:val="center"/>
            <w:hideMark/>
          </w:tcPr>
          <w:p w14:paraId="22526110" w14:textId="77777777" w:rsidR="00C963C5" w:rsidRDefault="00C963C5">
            <w:pPr>
              <w:keepNext/>
              <w:spacing w:line="276" w:lineRule="auto"/>
              <w:jc w:val="right"/>
              <w:rPr>
                <w:rFonts w:eastAsia="Times New Roman"/>
                <w:color w:val="000000"/>
                <w:sz w:val="16"/>
                <w:lang w:eastAsia="fr-FR"/>
              </w:rPr>
            </w:pPr>
            <w:r>
              <w:rPr>
                <w:color w:val="000000"/>
                <w:sz w:val="16"/>
              </w:rPr>
              <w:t>2,503</w:t>
            </w:r>
          </w:p>
        </w:tc>
        <w:tc>
          <w:tcPr>
            <w:tcW w:w="659" w:type="pct"/>
            <w:noWrap/>
            <w:vAlign w:val="center"/>
            <w:hideMark/>
          </w:tcPr>
          <w:p w14:paraId="4D6270D0" w14:textId="77777777" w:rsidR="00C963C5" w:rsidRDefault="00C963C5">
            <w:pPr>
              <w:keepNext/>
              <w:spacing w:line="276" w:lineRule="auto"/>
              <w:jc w:val="right"/>
              <w:rPr>
                <w:rFonts w:eastAsia="Times New Roman"/>
                <w:color w:val="000000"/>
                <w:sz w:val="16"/>
                <w:lang w:eastAsia="fr-FR"/>
              </w:rPr>
            </w:pPr>
            <w:r>
              <w:rPr>
                <w:color w:val="000000"/>
                <w:sz w:val="16"/>
              </w:rPr>
              <w:t>569</w:t>
            </w:r>
          </w:p>
        </w:tc>
        <w:tc>
          <w:tcPr>
            <w:tcW w:w="699" w:type="pct"/>
            <w:noWrap/>
            <w:vAlign w:val="center"/>
            <w:hideMark/>
          </w:tcPr>
          <w:p w14:paraId="548EB8C6" w14:textId="77777777" w:rsidR="00C963C5" w:rsidRDefault="00C963C5">
            <w:pPr>
              <w:keepNext/>
              <w:spacing w:line="276" w:lineRule="auto"/>
              <w:jc w:val="right"/>
              <w:rPr>
                <w:rFonts w:eastAsia="Times New Roman"/>
                <w:color w:val="000000"/>
                <w:sz w:val="16"/>
                <w:lang w:eastAsia="fr-FR"/>
              </w:rPr>
            </w:pPr>
            <w:r>
              <w:rPr>
                <w:color w:val="000000"/>
                <w:sz w:val="16"/>
              </w:rPr>
              <w:t>3,072</w:t>
            </w:r>
          </w:p>
        </w:tc>
        <w:tc>
          <w:tcPr>
            <w:tcW w:w="926" w:type="pct"/>
            <w:noWrap/>
            <w:vAlign w:val="center"/>
            <w:hideMark/>
          </w:tcPr>
          <w:p w14:paraId="02535C46" w14:textId="77777777" w:rsidR="00C963C5" w:rsidRDefault="00C963C5">
            <w:pPr>
              <w:keepNext/>
              <w:spacing w:line="276" w:lineRule="auto"/>
              <w:jc w:val="right"/>
              <w:rPr>
                <w:rFonts w:eastAsia="Times New Roman"/>
                <w:color w:val="000000"/>
                <w:sz w:val="16"/>
                <w:lang w:eastAsia="fr-FR"/>
              </w:rPr>
            </w:pPr>
            <w:r>
              <w:rPr>
                <w:color w:val="000000"/>
                <w:sz w:val="16"/>
              </w:rPr>
              <w:t>507,190</w:t>
            </w:r>
          </w:p>
        </w:tc>
        <w:tc>
          <w:tcPr>
            <w:tcW w:w="710" w:type="pct"/>
            <w:noWrap/>
            <w:vAlign w:val="center"/>
            <w:hideMark/>
          </w:tcPr>
          <w:p w14:paraId="5307A2D3" w14:textId="77777777" w:rsidR="00C963C5" w:rsidRDefault="00C963C5">
            <w:pPr>
              <w:keepNext/>
              <w:spacing w:line="276" w:lineRule="auto"/>
              <w:jc w:val="right"/>
              <w:rPr>
                <w:rFonts w:eastAsia="Times New Roman"/>
                <w:color w:val="000000"/>
                <w:sz w:val="16"/>
                <w:lang w:eastAsia="fr-FR"/>
              </w:rPr>
            </w:pPr>
            <w:r>
              <w:rPr>
                <w:color w:val="000000"/>
                <w:sz w:val="16"/>
              </w:rPr>
              <w:t>0.6%</w:t>
            </w:r>
          </w:p>
        </w:tc>
      </w:tr>
      <w:tr w:rsidR="00C963C5" w14:paraId="66982AE8" w14:textId="77777777" w:rsidTr="00C963C5">
        <w:trPr>
          <w:trHeight w:val="283"/>
        </w:trPr>
        <w:tc>
          <w:tcPr>
            <w:tcW w:w="695" w:type="pct"/>
            <w:shd w:val="clear" w:color="auto" w:fill="BDD7EE"/>
            <w:noWrap/>
            <w:vAlign w:val="center"/>
            <w:hideMark/>
          </w:tcPr>
          <w:p w14:paraId="4678CB65"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2015</w:t>
            </w:r>
          </w:p>
        </w:tc>
        <w:tc>
          <w:tcPr>
            <w:tcW w:w="754" w:type="pct"/>
            <w:shd w:val="clear" w:color="auto" w:fill="BDD7EE"/>
            <w:noWrap/>
            <w:vAlign w:val="center"/>
            <w:hideMark/>
          </w:tcPr>
          <w:p w14:paraId="231FC473" w14:textId="77777777" w:rsidR="00C963C5" w:rsidRDefault="00C963C5">
            <w:pPr>
              <w:keepNext/>
              <w:spacing w:line="276" w:lineRule="auto"/>
              <w:jc w:val="right"/>
              <w:rPr>
                <w:rFonts w:eastAsia="Times New Roman"/>
                <w:color w:val="000000"/>
                <w:sz w:val="16"/>
                <w:lang w:eastAsia="fr-FR"/>
              </w:rPr>
            </w:pPr>
            <w:r>
              <w:rPr>
                <w:color w:val="000000"/>
                <w:sz w:val="16"/>
              </w:rPr>
              <w:t>44,926</w:t>
            </w:r>
          </w:p>
        </w:tc>
        <w:tc>
          <w:tcPr>
            <w:tcW w:w="557" w:type="pct"/>
            <w:shd w:val="clear" w:color="auto" w:fill="BDD7EE"/>
            <w:noWrap/>
            <w:vAlign w:val="center"/>
            <w:hideMark/>
          </w:tcPr>
          <w:p w14:paraId="14C032B1" w14:textId="77777777" w:rsidR="00C963C5" w:rsidRDefault="00C963C5">
            <w:pPr>
              <w:keepNext/>
              <w:spacing w:line="276" w:lineRule="auto"/>
              <w:jc w:val="right"/>
              <w:rPr>
                <w:rFonts w:eastAsia="Times New Roman"/>
                <w:color w:val="000000"/>
                <w:sz w:val="16"/>
                <w:lang w:eastAsia="fr-FR"/>
              </w:rPr>
            </w:pPr>
            <w:r>
              <w:rPr>
                <w:color w:val="000000"/>
                <w:sz w:val="16"/>
              </w:rPr>
              <w:t>937</w:t>
            </w:r>
          </w:p>
        </w:tc>
        <w:tc>
          <w:tcPr>
            <w:tcW w:w="659" w:type="pct"/>
            <w:shd w:val="clear" w:color="auto" w:fill="BDD7EE"/>
            <w:noWrap/>
            <w:vAlign w:val="center"/>
            <w:hideMark/>
          </w:tcPr>
          <w:p w14:paraId="2C656BA5" w14:textId="77777777" w:rsidR="00C963C5" w:rsidRDefault="00C963C5">
            <w:pPr>
              <w:keepNext/>
              <w:spacing w:line="276" w:lineRule="auto"/>
              <w:jc w:val="right"/>
              <w:rPr>
                <w:rFonts w:eastAsia="Times New Roman"/>
                <w:color w:val="000000"/>
                <w:sz w:val="16"/>
                <w:lang w:eastAsia="fr-FR"/>
              </w:rPr>
            </w:pPr>
            <w:r>
              <w:rPr>
                <w:color w:val="FF0000"/>
                <w:sz w:val="16"/>
              </w:rPr>
              <w:t>-553</w:t>
            </w:r>
          </w:p>
        </w:tc>
        <w:tc>
          <w:tcPr>
            <w:tcW w:w="699" w:type="pct"/>
            <w:shd w:val="clear" w:color="auto" w:fill="BDD7EE"/>
            <w:noWrap/>
            <w:vAlign w:val="center"/>
            <w:hideMark/>
          </w:tcPr>
          <w:p w14:paraId="49DF6D63" w14:textId="77777777" w:rsidR="00C963C5" w:rsidRDefault="00C963C5">
            <w:pPr>
              <w:keepNext/>
              <w:spacing w:line="276" w:lineRule="auto"/>
              <w:jc w:val="right"/>
              <w:rPr>
                <w:rFonts w:eastAsia="Times New Roman"/>
                <w:color w:val="000000"/>
                <w:sz w:val="16"/>
                <w:lang w:eastAsia="fr-FR"/>
              </w:rPr>
            </w:pPr>
            <w:r>
              <w:rPr>
                <w:color w:val="000000"/>
                <w:sz w:val="16"/>
              </w:rPr>
              <w:t>384</w:t>
            </w:r>
          </w:p>
        </w:tc>
        <w:tc>
          <w:tcPr>
            <w:tcW w:w="926" w:type="pct"/>
            <w:shd w:val="clear" w:color="auto" w:fill="BDD7EE"/>
            <w:noWrap/>
            <w:vAlign w:val="center"/>
            <w:hideMark/>
          </w:tcPr>
          <w:p w14:paraId="1B743DA4" w14:textId="77777777" w:rsidR="00C963C5" w:rsidRDefault="00C963C5">
            <w:pPr>
              <w:keepNext/>
              <w:spacing w:line="276" w:lineRule="auto"/>
              <w:jc w:val="right"/>
              <w:rPr>
                <w:rFonts w:eastAsia="Times New Roman"/>
                <w:color w:val="000000"/>
                <w:sz w:val="16"/>
                <w:lang w:eastAsia="fr-FR"/>
              </w:rPr>
            </w:pPr>
            <w:r>
              <w:rPr>
                <w:color w:val="000000"/>
                <w:sz w:val="16"/>
              </w:rPr>
              <w:t>528,905</w:t>
            </w:r>
          </w:p>
        </w:tc>
        <w:tc>
          <w:tcPr>
            <w:tcW w:w="710" w:type="pct"/>
            <w:shd w:val="clear" w:color="auto" w:fill="BDD7EE"/>
            <w:noWrap/>
            <w:vAlign w:val="center"/>
            <w:hideMark/>
          </w:tcPr>
          <w:p w14:paraId="556D8BC7" w14:textId="77777777" w:rsidR="00C963C5" w:rsidRDefault="00C963C5">
            <w:pPr>
              <w:keepNext/>
              <w:spacing w:line="276" w:lineRule="auto"/>
              <w:jc w:val="right"/>
              <w:rPr>
                <w:rFonts w:eastAsia="Times New Roman"/>
                <w:color w:val="000000"/>
                <w:sz w:val="16"/>
                <w:lang w:eastAsia="fr-FR"/>
              </w:rPr>
            </w:pPr>
            <w:r>
              <w:rPr>
                <w:color w:val="000000"/>
                <w:sz w:val="16"/>
              </w:rPr>
              <w:t>0.1%</w:t>
            </w:r>
          </w:p>
        </w:tc>
      </w:tr>
      <w:tr w:rsidR="00C963C5" w14:paraId="3CAA693A" w14:textId="77777777" w:rsidTr="00C963C5">
        <w:trPr>
          <w:trHeight w:val="283"/>
        </w:trPr>
        <w:tc>
          <w:tcPr>
            <w:tcW w:w="695" w:type="pct"/>
            <w:noWrap/>
            <w:vAlign w:val="center"/>
            <w:hideMark/>
          </w:tcPr>
          <w:p w14:paraId="76B2E969"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2016</w:t>
            </w:r>
          </w:p>
        </w:tc>
        <w:tc>
          <w:tcPr>
            <w:tcW w:w="754" w:type="pct"/>
            <w:noWrap/>
            <w:vAlign w:val="center"/>
            <w:hideMark/>
          </w:tcPr>
          <w:p w14:paraId="48B146E6" w14:textId="77777777" w:rsidR="00C963C5" w:rsidRDefault="00C963C5">
            <w:pPr>
              <w:keepNext/>
              <w:spacing w:line="276" w:lineRule="auto"/>
              <w:jc w:val="right"/>
              <w:rPr>
                <w:rFonts w:eastAsia="Times New Roman"/>
                <w:color w:val="000000"/>
                <w:sz w:val="16"/>
                <w:lang w:eastAsia="fr-FR"/>
              </w:rPr>
            </w:pPr>
            <w:r>
              <w:rPr>
                <w:color w:val="000000"/>
                <w:sz w:val="16"/>
              </w:rPr>
              <w:t>46,825</w:t>
            </w:r>
          </w:p>
        </w:tc>
        <w:tc>
          <w:tcPr>
            <w:tcW w:w="557" w:type="pct"/>
            <w:noWrap/>
            <w:vAlign w:val="center"/>
            <w:hideMark/>
          </w:tcPr>
          <w:p w14:paraId="53F9B2CE" w14:textId="77777777" w:rsidR="00C963C5" w:rsidRDefault="00C963C5">
            <w:pPr>
              <w:keepNext/>
              <w:spacing w:line="276" w:lineRule="auto"/>
              <w:jc w:val="right"/>
              <w:rPr>
                <w:rFonts w:eastAsia="Times New Roman"/>
                <w:color w:val="000000"/>
                <w:sz w:val="16"/>
                <w:lang w:eastAsia="fr-FR"/>
              </w:rPr>
            </w:pPr>
            <w:r>
              <w:rPr>
                <w:color w:val="000000"/>
                <w:sz w:val="16"/>
              </w:rPr>
              <w:t>360</w:t>
            </w:r>
          </w:p>
        </w:tc>
        <w:tc>
          <w:tcPr>
            <w:tcW w:w="659" w:type="pct"/>
            <w:noWrap/>
            <w:vAlign w:val="center"/>
            <w:hideMark/>
          </w:tcPr>
          <w:p w14:paraId="2D4D6D17" w14:textId="77777777" w:rsidR="00C963C5" w:rsidRDefault="00C963C5">
            <w:pPr>
              <w:keepNext/>
              <w:spacing w:line="276" w:lineRule="auto"/>
              <w:jc w:val="right"/>
              <w:rPr>
                <w:rFonts w:eastAsia="Times New Roman"/>
                <w:color w:val="000000"/>
                <w:sz w:val="16"/>
                <w:lang w:eastAsia="fr-FR"/>
              </w:rPr>
            </w:pPr>
            <w:r>
              <w:rPr>
                <w:color w:val="FF0000"/>
                <w:sz w:val="16"/>
              </w:rPr>
              <w:t>-769</w:t>
            </w:r>
          </w:p>
        </w:tc>
        <w:tc>
          <w:tcPr>
            <w:tcW w:w="699" w:type="pct"/>
            <w:noWrap/>
            <w:vAlign w:val="center"/>
            <w:hideMark/>
          </w:tcPr>
          <w:p w14:paraId="0E5EE68C" w14:textId="77777777" w:rsidR="00C963C5" w:rsidRDefault="00C963C5">
            <w:pPr>
              <w:keepNext/>
              <w:spacing w:line="276" w:lineRule="auto"/>
              <w:jc w:val="right"/>
              <w:rPr>
                <w:rFonts w:eastAsia="Times New Roman"/>
                <w:color w:val="000000"/>
                <w:sz w:val="16"/>
                <w:lang w:eastAsia="fr-FR"/>
              </w:rPr>
            </w:pPr>
            <w:r>
              <w:rPr>
                <w:color w:val="FF0000"/>
                <w:sz w:val="16"/>
              </w:rPr>
              <w:t>-408</w:t>
            </w:r>
          </w:p>
        </w:tc>
        <w:tc>
          <w:tcPr>
            <w:tcW w:w="926" w:type="pct"/>
            <w:noWrap/>
            <w:vAlign w:val="center"/>
            <w:hideMark/>
          </w:tcPr>
          <w:p w14:paraId="69BF3E81" w14:textId="77777777" w:rsidR="00C963C5" w:rsidRDefault="00C963C5">
            <w:pPr>
              <w:keepNext/>
              <w:spacing w:line="276" w:lineRule="auto"/>
              <w:jc w:val="right"/>
              <w:rPr>
                <w:rFonts w:eastAsia="Times New Roman"/>
                <w:color w:val="000000"/>
                <w:sz w:val="16"/>
                <w:lang w:eastAsia="fr-FR"/>
              </w:rPr>
            </w:pPr>
            <w:r>
              <w:rPr>
                <w:color w:val="000000"/>
                <w:sz w:val="16"/>
              </w:rPr>
              <w:t>554,951</w:t>
            </w:r>
          </w:p>
        </w:tc>
        <w:tc>
          <w:tcPr>
            <w:tcW w:w="710" w:type="pct"/>
            <w:noWrap/>
            <w:vAlign w:val="center"/>
            <w:hideMark/>
          </w:tcPr>
          <w:p w14:paraId="68CDDD29" w14:textId="77777777" w:rsidR="00C963C5" w:rsidRDefault="00C963C5">
            <w:pPr>
              <w:keepNext/>
              <w:spacing w:line="276" w:lineRule="auto"/>
              <w:jc w:val="right"/>
              <w:rPr>
                <w:rFonts w:eastAsia="Times New Roman"/>
                <w:color w:val="000000"/>
                <w:sz w:val="16"/>
                <w:lang w:eastAsia="fr-FR"/>
              </w:rPr>
            </w:pPr>
            <w:r>
              <w:rPr>
                <w:color w:val="000000"/>
                <w:sz w:val="16"/>
              </w:rPr>
              <w:t>-0.1%</w:t>
            </w:r>
          </w:p>
        </w:tc>
      </w:tr>
      <w:tr w:rsidR="00C963C5" w14:paraId="06DD7888" w14:textId="77777777" w:rsidTr="00C963C5">
        <w:trPr>
          <w:trHeight w:val="283"/>
        </w:trPr>
        <w:tc>
          <w:tcPr>
            <w:tcW w:w="695" w:type="pct"/>
            <w:shd w:val="clear" w:color="auto" w:fill="BDD7EE"/>
            <w:noWrap/>
            <w:vAlign w:val="center"/>
            <w:hideMark/>
          </w:tcPr>
          <w:p w14:paraId="7093AF28"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2017</w:t>
            </w:r>
          </w:p>
        </w:tc>
        <w:tc>
          <w:tcPr>
            <w:tcW w:w="754" w:type="pct"/>
            <w:shd w:val="clear" w:color="auto" w:fill="BDD7EE"/>
            <w:noWrap/>
            <w:vAlign w:val="center"/>
            <w:hideMark/>
          </w:tcPr>
          <w:p w14:paraId="6CB3909B" w14:textId="77777777" w:rsidR="00C963C5" w:rsidRDefault="00C963C5">
            <w:pPr>
              <w:keepNext/>
              <w:spacing w:line="276" w:lineRule="auto"/>
              <w:jc w:val="right"/>
              <w:rPr>
                <w:rFonts w:eastAsia="Times New Roman"/>
                <w:color w:val="000000"/>
                <w:sz w:val="16"/>
                <w:lang w:eastAsia="fr-FR"/>
              </w:rPr>
            </w:pPr>
            <w:r>
              <w:rPr>
                <w:color w:val="000000"/>
                <w:sz w:val="16"/>
              </w:rPr>
              <w:t>53,844</w:t>
            </w:r>
          </w:p>
        </w:tc>
        <w:tc>
          <w:tcPr>
            <w:tcW w:w="557" w:type="pct"/>
            <w:shd w:val="clear" w:color="auto" w:fill="BDD7EE"/>
            <w:noWrap/>
            <w:vAlign w:val="center"/>
            <w:hideMark/>
          </w:tcPr>
          <w:p w14:paraId="3FBF8CE9" w14:textId="77777777" w:rsidR="00C963C5" w:rsidRDefault="00C963C5">
            <w:pPr>
              <w:keepNext/>
              <w:spacing w:line="276" w:lineRule="auto"/>
              <w:jc w:val="right"/>
              <w:rPr>
                <w:rFonts w:eastAsia="Times New Roman"/>
                <w:color w:val="000000"/>
                <w:sz w:val="16"/>
                <w:lang w:eastAsia="fr-FR"/>
              </w:rPr>
            </w:pPr>
            <w:r>
              <w:rPr>
                <w:color w:val="000000"/>
                <w:sz w:val="16"/>
              </w:rPr>
              <w:t>1,297</w:t>
            </w:r>
          </w:p>
        </w:tc>
        <w:tc>
          <w:tcPr>
            <w:tcW w:w="659" w:type="pct"/>
            <w:shd w:val="clear" w:color="auto" w:fill="BDD7EE"/>
            <w:noWrap/>
            <w:vAlign w:val="center"/>
            <w:hideMark/>
          </w:tcPr>
          <w:p w14:paraId="328D9133" w14:textId="77777777" w:rsidR="00C963C5" w:rsidRDefault="00C963C5">
            <w:pPr>
              <w:keepNext/>
              <w:spacing w:line="276" w:lineRule="auto"/>
              <w:jc w:val="right"/>
              <w:rPr>
                <w:rFonts w:eastAsia="Times New Roman"/>
                <w:color w:val="000000"/>
                <w:sz w:val="16"/>
                <w:lang w:eastAsia="fr-FR"/>
              </w:rPr>
            </w:pPr>
            <w:r>
              <w:rPr>
                <w:color w:val="FF0000"/>
                <w:sz w:val="16"/>
              </w:rPr>
              <w:t>-635</w:t>
            </w:r>
          </w:p>
        </w:tc>
        <w:tc>
          <w:tcPr>
            <w:tcW w:w="699" w:type="pct"/>
            <w:shd w:val="clear" w:color="auto" w:fill="BDD7EE"/>
            <w:noWrap/>
            <w:vAlign w:val="center"/>
            <w:hideMark/>
          </w:tcPr>
          <w:p w14:paraId="7C082119" w14:textId="77777777" w:rsidR="00C963C5" w:rsidRDefault="00C963C5">
            <w:pPr>
              <w:keepNext/>
              <w:spacing w:line="276" w:lineRule="auto"/>
              <w:jc w:val="right"/>
              <w:rPr>
                <w:rFonts w:eastAsia="Times New Roman"/>
                <w:color w:val="000000"/>
                <w:sz w:val="16"/>
                <w:lang w:eastAsia="fr-FR"/>
              </w:rPr>
            </w:pPr>
            <w:r>
              <w:rPr>
                <w:color w:val="000000"/>
                <w:sz w:val="16"/>
              </w:rPr>
              <w:t>662</w:t>
            </w:r>
          </w:p>
        </w:tc>
        <w:tc>
          <w:tcPr>
            <w:tcW w:w="926" w:type="pct"/>
            <w:shd w:val="clear" w:color="auto" w:fill="BDD7EE"/>
            <w:noWrap/>
            <w:vAlign w:val="center"/>
            <w:hideMark/>
          </w:tcPr>
          <w:p w14:paraId="5EEAB889" w14:textId="77777777" w:rsidR="00C963C5" w:rsidRDefault="00C963C5">
            <w:pPr>
              <w:keepNext/>
              <w:spacing w:line="276" w:lineRule="auto"/>
              <w:jc w:val="right"/>
              <w:rPr>
                <w:rFonts w:eastAsia="Times New Roman"/>
                <w:color w:val="000000"/>
                <w:sz w:val="16"/>
                <w:lang w:eastAsia="fr-FR"/>
              </w:rPr>
            </w:pPr>
            <w:r>
              <w:rPr>
                <w:color w:val="000000"/>
                <w:sz w:val="16"/>
              </w:rPr>
              <w:t>591,473</w:t>
            </w:r>
          </w:p>
        </w:tc>
        <w:tc>
          <w:tcPr>
            <w:tcW w:w="710" w:type="pct"/>
            <w:shd w:val="clear" w:color="auto" w:fill="BDD7EE"/>
            <w:noWrap/>
            <w:vAlign w:val="center"/>
            <w:hideMark/>
          </w:tcPr>
          <w:p w14:paraId="6DB654BB" w14:textId="77777777" w:rsidR="00C963C5" w:rsidRDefault="00C963C5">
            <w:pPr>
              <w:keepNext/>
              <w:spacing w:line="276" w:lineRule="auto"/>
              <w:jc w:val="right"/>
              <w:rPr>
                <w:rFonts w:eastAsia="Times New Roman"/>
                <w:color w:val="000000"/>
                <w:sz w:val="16"/>
                <w:lang w:eastAsia="fr-FR"/>
              </w:rPr>
            </w:pPr>
            <w:r>
              <w:rPr>
                <w:color w:val="000000"/>
                <w:sz w:val="16"/>
              </w:rPr>
              <w:t>0.1%</w:t>
            </w:r>
          </w:p>
        </w:tc>
      </w:tr>
      <w:tr w:rsidR="00C963C5" w14:paraId="4D3BA50C" w14:textId="77777777" w:rsidTr="00C963C5">
        <w:trPr>
          <w:trHeight w:val="283"/>
        </w:trPr>
        <w:tc>
          <w:tcPr>
            <w:tcW w:w="5000" w:type="pct"/>
            <w:gridSpan w:val="7"/>
            <w:shd w:val="clear" w:color="auto" w:fill="BFBFBF"/>
            <w:vAlign w:val="center"/>
            <w:hideMark/>
          </w:tcPr>
          <w:p w14:paraId="7965B0C6"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Financial Year (April–March)</w:t>
            </w:r>
          </w:p>
        </w:tc>
      </w:tr>
      <w:tr w:rsidR="00C963C5" w14:paraId="1B64D199" w14:textId="77777777" w:rsidTr="00C963C5">
        <w:trPr>
          <w:trHeight w:val="283"/>
        </w:trPr>
        <w:tc>
          <w:tcPr>
            <w:tcW w:w="695" w:type="pct"/>
            <w:shd w:val="clear" w:color="auto" w:fill="BDD7EE"/>
            <w:noWrap/>
            <w:vAlign w:val="center"/>
            <w:hideMark/>
          </w:tcPr>
          <w:p w14:paraId="0437A6CA"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2013-14</w:t>
            </w:r>
          </w:p>
        </w:tc>
        <w:tc>
          <w:tcPr>
            <w:tcW w:w="754" w:type="pct"/>
            <w:shd w:val="clear" w:color="auto" w:fill="BDD7EE"/>
            <w:noWrap/>
            <w:vAlign w:val="center"/>
            <w:hideMark/>
          </w:tcPr>
          <w:p w14:paraId="6606364C" w14:textId="77777777" w:rsidR="00C963C5" w:rsidRDefault="00C963C5">
            <w:pPr>
              <w:keepNext/>
              <w:spacing w:line="276" w:lineRule="auto"/>
              <w:jc w:val="right"/>
              <w:rPr>
                <w:rFonts w:eastAsia="Times New Roman"/>
                <w:color w:val="000000"/>
                <w:sz w:val="16"/>
                <w:lang w:eastAsia="fr-FR"/>
              </w:rPr>
            </w:pPr>
            <w:r>
              <w:rPr>
                <w:color w:val="000000"/>
                <w:sz w:val="16"/>
              </w:rPr>
              <w:t>40,327</w:t>
            </w:r>
          </w:p>
        </w:tc>
        <w:tc>
          <w:tcPr>
            <w:tcW w:w="557" w:type="pct"/>
            <w:shd w:val="clear" w:color="auto" w:fill="BDD7EE"/>
            <w:noWrap/>
            <w:vAlign w:val="center"/>
            <w:hideMark/>
          </w:tcPr>
          <w:p w14:paraId="175DF42D" w14:textId="77777777" w:rsidR="00C963C5" w:rsidRDefault="00C963C5">
            <w:pPr>
              <w:keepNext/>
              <w:spacing w:line="276" w:lineRule="auto"/>
              <w:jc w:val="right"/>
              <w:rPr>
                <w:rFonts w:eastAsia="Times New Roman"/>
                <w:color w:val="000000"/>
                <w:sz w:val="16"/>
                <w:lang w:eastAsia="fr-FR"/>
              </w:rPr>
            </w:pPr>
            <w:r>
              <w:rPr>
                <w:color w:val="000000"/>
                <w:sz w:val="16"/>
              </w:rPr>
              <w:t>3,556</w:t>
            </w:r>
          </w:p>
        </w:tc>
        <w:tc>
          <w:tcPr>
            <w:tcW w:w="659" w:type="pct"/>
            <w:shd w:val="clear" w:color="auto" w:fill="BDD7EE"/>
            <w:noWrap/>
            <w:vAlign w:val="center"/>
            <w:hideMark/>
          </w:tcPr>
          <w:p w14:paraId="0A6D31C6" w14:textId="77777777" w:rsidR="00C963C5" w:rsidRDefault="00C963C5">
            <w:pPr>
              <w:keepNext/>
              <w:spacing w:line="276" w:lineRule="auto"/>
              <w:jc w:val="right"/>
              <w:rPr>
                <w:rFonts w:eastAsia="Times New Roman"/>
                <w:color w:val="000000"/>
                <w:sz w:val="16"/>
                <w:lang w:eastAsia="fr-FR"/>
              </w:rPr>
            </w:pPr>
            <w:r>
              <w:rPr>
                <w:color w:val="000000"/>
                <w:sz w:val="16"/>
              </w:rPr>
              <w:t>1,118</w:t>
            </w:r>
          </w:p>
        </w:tc>
        <w:tc>
          <w:tcPr>
            <w:tcW w:w="699" w:type="pct"/>
            <w:shd w:val="clear" w:color="auto" w:fill="BDD7EE"/>
            <w:noWrap/>
            <w:vAlign w:val="center"/>
            <w:hideMark/>
          </w:tcPr>
          <w:p w14:paraId="1A1B4117" w14:textId="77777777" w:rsidR="00C963C5" w:rsidRDefault="00C963C5">
            <w:pPr>
              <w:keepNext/>
              <w:spacing w:line="276" w:lineRule="auto"/>
              <w:jc w:val="right"/>
              <w:rPr>
                <w:rFonts w:eastAsia="Times New Roman"/>
                <w:color w:val="000000"/>
                <w:sz w:val="16"/>
                <w:lang w:eastAsia="fr-FR"/>
              </w:rPr>
            </w:pPr>
            <w:r>
              <w:rPr>
                <w:color w:val="000000"/>
                <w:sz w:val="16"/>
              </w:rPr>
              <w:t>4,674</w:t>
            </w:r>
          </w:p>
        </w:tc>
        <w:tc>
          <w:tcPr>
            <w:tcW w:w="926" w:type="pct"/>
            <w:shd w:val="clear" w:color="auto" w:fill="BDD7EE"/>
            <w:noWrap/>
            <w:vAlign w:val="center"/>
            <w:hideMark/>
          </w:tcPr>
          <w:p w14:paraId="229CBFC3" w14:textId="77777777" w:rsidR="00C963C5" w:rsidRDefault="00C963C5">
            <w:pPr>
              <w:keepNext/>
              <w:spacing w:line="276" w:lineRule="auto"/>
              <w:jc w:val="right"/>
              <w:rPr>
                <w:rFonts w:eastAsia="Times New Roman"/>
                <w:color w:val="000000"/>
                <w:sz w:val="16"/>
                <w:lang w:eastAsia="fr-FR"/>
              </w:rPr>
            </w:pPr>
            <w:r>
              <w:rPr>
                <w:color w:val="000000"/>
                <w:sz w:val="16"/>
              </w:rPr>
              <w:t>494,197</w:t>
            </w:r>
          </w:p>
        </w:tc>
        <w:tc>
          <w:tcPr>
            <w:tcW w:w="710" w:type="pct"/>
            <w:shd w:val="clear" w:color="auto" w:fill="BDD7EE"/>
            <w:noWrap/>
            <w:vAlign w:val="center"/>
            <w:hideMark/>
          </w:tcPr>
          <w:p w14:paraId="72755C5A" w14:textId="77777777" w:rsidR="00C963C5" w:rsidRDefault="00C963C5">
            <w:pPr>
              <w:keepNext/>
              <w:spacing w:line="276" w:lineRule="auto"/>
              <w:jc w:val="right"/>
              <w:rPr>
                <w:rFonts w:eastAsia="Times New Roman"/>
                <w:color w:val="000000"/>
                <w:sz w:val="16"/>
                <w:lang w:eastAsia="fr-FR"/>
              </w:rPr>
            </w:pPr>
            <w:r>
              <w:rPr>
                <w:color w:val="000000"/>
                <w:sz w:val="16"/>
              </w:rPr>
              <w:t>0.9%</w:t>
            </w:r>
          </w:p>
        </w:tc>
      </w:tr>
      <w:tr w:rsidR="00C963C5" w14:paraId="061E21F4" w14:textId="77777777" w:rsidTr="00C963C5">
        <w:trPr>
          <w:trHeight w:val="283"/>
        </w:trPr>
        <w:tc>
          <w:tcPr>
            <w:tcW w:w="695" w:type="pct"/>
            <w:noWrap/>
            <w:vAlign w:val="center"/>
            <w:hideMark/>
          </w:tcPr>
          <w:p w14:paraId="05C99973"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2014-15</w:t>
            </w:r>
          </w:p>
        </w:tc>
        <w:tc>
          <w:tcPr>
            <w:tcW w:w="754" w:type="pct"/>
            <w:noWrap/>
            <w:vAlign w:val="center"/>
            <w:hideMark/>
          </w:tcPr>
          <w:p w14:paraId="22109377" w14:textId="77777777" w:rsidR="00C963C5" w:rsidRDefault="00C963C5">
            <w:pPr>
              <w:keepNext/>
              <w:spacing w:line="276" w:lineRule="auto"/>
              <w:jc w:val="right"/>
              <w:rPr>
                <w:rFonts w:eastAsia="Times New Roman"/>
                <w:color w:val="000000"/>
                <w:sz w:val="16"/>
                <w:lang w:eastAsia="fr-FR"/>
              </w:rPr>
            </w:pPr>
            <w:r>
              <w:rPr>
                <w:color w:val="000000"/>
                <w:sz w:val="16"/>
              </w:rPr>
              <w:t>43,005</w:t>
            </w:r>
          </w:p>
        </w:tc>
        <w:tc>
          <w:tcPr>
            <w:tcW w:w="557" w:type="pct"/>
            <w:noWrap/>
            <w:vAlign w:val="center"/>
            <w:hideMark/>
          </w:tcPr>
          <w:p w14:paraId="70F60908" w14:textId="77777777" w:rsidR="00C963C5" w:rsidRDefault="00C963C5">
            <w:pPr>
              <w:keepNext/>
              <w:spacing w:line="276" w:lineRule="auto"/>
              <w:jc w:val="right"/>
              <w:rPr>
                <w:rFonts w:eastAsia="Times New Roman"/>
                <w:color w:val="000000"/>
                <w:sz w:val="16"/>
                <w:lang w:eastAsia="fr-FR"/>
              </w:rPr>
            </w:pPr>
            <w:r>
              <w:rPr>
                <w:color w:val="000000"/>
                <w:sz w:val="16"/>
              </w:rPr>
              <w:t>2,026</w:t>
            </w:r>
          </w:p>
        </w:tc>
        <w:tc>
          <w:tcPr>
            <w:tcW w:w="659" w:type="pct"/>
            <w:noWrap/>
            <w:vAlign w:val="center"/>
            <w:hideMark/>
          </w:tcPr>
          <w:p w14:paraId="29C558B7" w14:textId="77777777" w:rsidR="00C963C5" w:rsidRDefault="00C963C5">
            <w:pPr>
              <w:keepNext/>
              <w:spacing w:line="276" w:lineRule="auto"/>
              <w:jc w:val="right"/>
              <w:rPr>
                <w:rFonts w:eastAsia="Times New Roman"/>
                <w:color w:val="000000"/>
                <w:sz w:val="16"/>
                <w:lang w:eastAsia="fr-FR"/>
              </w:rPr>
            </w:pPr>
            <w:r>
              <w:rPr>
                <w:color w:val="000000"/>
                <w:sz w:val="16"/>
              </w:rPr>
              <w:t>77</w:t>
            </w:r>
          </w:p>
        </w:tc>
        <w:tc>
          <w:tcPr>
            <w:tcW w:w="699" w:type="pct"/>
            <w:noWrap/>
            <w:vAlign w:val="center"/>
            <w:hideMark/>
          </w:tcPr>
          <w:p w14:paraId="12E93209" w14:textId="77777777" w:rsidR="00C963C5" w:rsidRDefault="00C963C5">
            <w:pPr>
              <w:keepNext/>
              <w:spacing w:line="276" w:lineRule="auto"/>
              <w:jc w:val="right"/>
              <w:rPr>
                <w:rFonts w:eastAsia="Times New Roman"/>
                <w:color w:val="000000"/>
                <w:sz w:val="16"/>
                <w:lang w:eastAsia="fr-FR"/>
              </w:rPr>
            </w:pPr>
            <w:r>
              <w:rPr>
                <w:color w:val="000000"/>
                <w:sz w:val="16"/>
              </w:rPr>
              <w:t>2,102</w:t>
            </w:r>
          </w:p>
        </w:tc>
        <w:tc>
          <w:tcPr>
            <w:tcW w:w="926" w:type="pct"/>
            <w:noWrap/>
            <w:vAlign w:val="center"/>
            <w:hideMark/>
          </w:tcPr>
          <w:p w14:paraId="173136AC" w14:textId="77777777" w:rsidR="00C963C5" w:rsidRDefault="00C963C5">
            <w:pPr>
              <w:keepNext/>
              <w:spacing w:line="276" w:lineRule="auto"/>
              <w:jc w:val="right"/>
              <w:rPr>
                <w:rFonts w:eastAsia="Times New Roman"/>
                <w:color w:val="000000"/>
                <w:sz w:val="16"/>
                <w:lang w:eastAsia="fr-FR"/>
              </w:rPr>
            </w:pPr>
            <w:r>
              <w:rPr>
                <w:color w:val="000000"/>
                <w:sz w:val="16"/>
              </w:rPr>
              <w:t>515,971</w:t>
            </w:r>
          </w:p>
        </w:tc>
        <w:tc>
          <w:tcPr>
            <w:tcW w:w="710" w:type="pct"/>
            <w:noWrap/>
            <w:vAlign w:val="center"/>
            <w:hideMark/>
          </w:tcPr>
          <w:p w14:paraId="560B2F30" w14:textId="77777777" w:rsidR="00C963C5" w:rsidRDefault="00C963C5">
            <w:pPr>
              <w:keepNext/>
              <w:spacing w:line="276" w:lineRule="auto"/>
              <w:jc w:val="right"/>
              <w:rPr>
                <w:rFonts w:eastAsia="Times New Roman"/>
                <w:color w:val="000000"/>
                <w:sz w:val="16"/>
                <w:lang w:eastAsia="fr-FR"/>
              </w:rPr>
            </w:pPr>
            <w:r>
              <w:rPr>
                <w:color w:val="000000"/>
                <w:sz w:val="16"/>
              </w:rPr>
              <w:t>0.4%</w:t>
            </w:r>
          </w:p>
        </w:tc>
      </w:tr>
      <w:tr w:rsidR="00C963C5" w14:paraId="009F8A8B" w14:textId="77777777" w:rsidTr="00C963C5">
        <w:trPr>
          <w:trHeight w:val="283"/>
        </w:trPr>
        <w:tc>
          <w:tcPr>
            <w:tcW w:w="695" w:type="pct"/>
            <w:shd w:val="clear" w:color="auto" w:fill="BDD7EE"/>
            <w:noWrap/>
            <w:vAlign w:val="center"/>
            <w:hideMark/>
          </w:tcPr>
          <w:p w14:paraId="4D093521"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2015-16</w:t>
            </w:r>
          </w:p>
        </w:tc>
        <w:tc>
          <w:tcPr>
            <w:tcW w:w="754" w:type="pct"/>
            <w:shd w:val="clear" w:color="auto" w:fill="BDD7EE"/>
            <w:noWrap/>
            <w:vAlign w:val="center"/>
            <w:hideMark/>
          </w:tcPr>
          <w:p w14:paraId="75480242" w14:textId="77777777" w:rsidR="00C963C5" w:rsidRDefault="00C963C5">
            <w:pPr>
              <w:keepNext/>
              <w:spacing w:line="276" w:lineRule="auto"/>
              <w:jc w:val="right"/>
              <w:rPr>
                <w:rFonts w:eastAsia="Times New Roman"/>
                <w:color w:val="000000"/>
                <w:sz w:val="16"/>
                <w:lang w:eastAsia="fr-FR"/>
              </w:rPr>
            </w:pPr>
            <w:r>
              <w:rPr>
                <w:color w:val="000000"/>
                <w:sz w:val="16"/>
              </w:rPr>
              <w:t>44,410</w:t>
            </w:r>
          </w:p>
        </w:tc>
        <w:tc>
          <w:tcPr>
            <w:tcW w:w="557" w:type="pct"/>
            <w:shd w:val="clear" w:color="auto" w:fill="BDD7EE"/>
            <w:noWrap/>
            <w:vAlign w:val="center"/>
            <w:hideMark/>
          </w:tcPr>
          <w:p w14:paraId="668BA4EC" w14:textId="77777777" w:rsidR="00C963C5" w:rsidRDefault="00C963C5">
            <w:pPr>
              <w:keepNext/>
              <w:spacing w:line="276" w:lineRule="auto"/>
              <w:jc w:val="right"/>
              <w:rPr>
                <w:rFonts w:eastAsia="Times New Roman"/>
                <w:color w:val="000000"/>
                <w:sz w:val="16"/>
                <w:lang w:eastAsia="fr-FR"/>
              </w:rPr>
            </w:pPr>
            <w:r>
              <w:rPr>
                <w:color w:val="000000"/>
                <w:sz w:val="16"/>
              </w:rPr>
              <w:t>560</w:t>
            </w:r>
          </w:p>
        </w:tc>
        <w:tc>
          <w:tcPr>
            <w:tcW w:w="659" w:type="pct"/>
            <w:shd w:val="clear" w:color="auto" w:fill="BDD7EE"/>
            <w:noWrap/>
            <w:vAlign w:val="center"/>
            <w:hideMark/>
          </w:tcPr>
          <w:p w14:paraId="1642D0D2" w14:textId="77777777" w:rsidR="00C963C5" w:rsidRDefault="00C963C5">
            <w:pPr>
              <w:keepNext/>
              <w:spacing w:line="276" w:lineRule="auto"/>
              <w:jc w:val="right"/>
              <w:rPr>
                <w:rFonts w:eastAsia="Times New Roman"/>
                <w:color w:val="000000"/>
                <w:sz w:val="16"/>
                <w:lang w:eastAsia="fr-FR"/>
              </w:rPr>
            </w:pPr>
            <w:r>
              <w:rPr>
                <w:color w:val="FF0000"/>
                <w:sz w:val="16"/>
              </w:rPr>
              <w:t>-562</w:t>
            </w:r>
          </w:p>
        </w:tc>
        <w:tc>
          <w:tcPr>
            <w:tcW w:w="699" w:type="pct"/>
            <w:shd w:val="clear" w:color="auto" w:fill="BDD7EE"/>
            <w:noWrap/>
            <w:vAlign w:val="center"/>
            <w:hideMark/>
          </w:tcPr>
          <w:p w14:paraId="1C51CF06" w14:textId="77777777" w:rsidR="00C963C5" w:rsidRDefault="00C963C5">
            <w:pPr>
              <w:keepNext/>
              <w:spacing w:line="276" w:lineRule="auto"/>
              <w:jc w:val="right"/>
              <w:rPr>
                <w:rFonts w:eastAsia="Times New Roman"/>
                <w:color w:val="000000"/>
                <w:sz w:val="16"/>
                <w:lang w:eastAsia="fr-FR"/>
              </w:rPr>
            </w:pPr>
            <w:r>
              <w:rPr>
                <w:color w:val="FF0000"/>
                <w:sz w:val="16"/>
              </w:rPr>
              <w:t>-2</w:t>
            </w:r>
          </w:p>
        </w:tc>
        <w:tc>
          <w:tcPr>
            <w:tcW w:w="926" w:type="pct"/>
            <w:shd w:val="clear" w:color="auto" w:fill="BDD7EE"/>
            <w:noWrap/>
            <w:vAlign w:val="center"/>
            <w:hideMark/>
          </w:tcPr>
          <w:p w14:paraId="097FDEA4" w14:textId="77777777" w:rsidR="00C963C5" w:rsidRDefault="00C963C5">
            <w:pPr>
              <w:keepNext/>
              <w:spacing w:line="276" w:lineRule="auto"/>
              <w:jc w:val="right"/>
              <w:rPr>
                <w:rFonts w:eastAsia="Times New Roman"/>
                <w:color w:val="000000"/>
                <w:sz w:val="16"/>
                <w:lang w:eastAsia="fr-FR"/>
              </w:rPr>
            </w:pPr>
            <w:r>
              <w:rPr>
                <w:color w:val="000000"/>
                <w:sz w:val="16"/>
              </w:rPr>
              <w:t>534,306</w:t>
            </w:r>
          </w:p>
        </w:tc>
        <w:tc>
          <w:tcPr>
            <w:tcW w:w="710" w:type="pct"/>
            <w:shd w:val="clear" w:color="auto" w:fill="BDD7EE"/>
            <w:noWrap/>
            <w:vAlign w:val="center"/>
            <w:hideMark/>
          </w:tcPr>
          <w:p w14:paraId="098CFBAB" w14:textId="77777777" w:rsidR="00C963C5" w:rsidRDefault="00C963C5">
            <w:pPr>
              <w:keepNext/>
              <w:spacing w:line="276" w:lineRule="auto"/>
              <w:jc w:val="right"/>
              <w:rPr>
                <w:rFonts w:eastAsia="Times New Roman"/>
                <w:color w:val="000000"/>
                <w:sz w:val="16"/>
                <w:lang w:eastAsia="fr-FR"/>
              </w:rPr>
            </w:pPr>
            <w:r>
              <w:rPr>
                <w:color w:val="000000"/>
                <w:sz w:val="16"/>
              </w:rPr>
              <w:t>-0.0%</w:t>
            </w:r>
          </w:p>
        </w:tc>
      </w:tr>
      <w:tr w:rsidR="00C963C5" w14:paraId="70C326BA" w14:textId="77777777" w:rsidTr="00C963C5">
        <w:trPr>
          <w:trHeight w:val="283"/>
        </w:trPr>
        <w:tc>
          <w:tcPr>
            <w:tcW w:w="695" w:type="pct"/>
            <w:noWrap/>
            <w:vAlign w:val="center"/>
            <w:hideMark/>
          </w:tcPr>
          <w:p w14:paraId="0392AB8D"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2016-17</w:t>
            </w:r>
          </w:p>
        </w:tc>
        <w:tc>
          <w:tcPr>
            <w:tcW w:w="754" w:type="pct"/>
            <w:noWrap/>
            <w:vAlign w:val="center"/>
            <w:hideMark/>
          </w:tcPr>
          <w:p w14:paraId="2CCBE46A" w14:textId="77777777" w:rsidR="00C963C5" w:rsidRDefault="00C963C5">
            <w:pPr>
              <w:keepNext/>
              <w:spacing w:line="276" w:lineRule="auto"/>
              <w:jc w:val="right"/>
              <w:rPr>
                <w:rFonts w:eastAsia="Times New Roman"/>
                <w:color w:val="000000"/>
                <w:sz w:val="16"/>
                <w:lang w:eastAsia="fr-FR"/>
              </w:rPr>
            </w:pPr>
            <w:r>
              <w:rPr>
                <w:color w:val="000000"/>
                <w:sz w:val="16"/>
              </w:rPr>
              <w:t>49,534</w:t>
            </w:r>
          </w:p>
        </w:tc>
        <w:tc>
          <w:tcPr>
            <w:tcW w:w="557" w:type="pct"/>
            <w:noWrap/>
            <w:vAlign w:val="center"/>
            <w:hideMark/>
          </w:tcPr>
          <w:p w14:paraId="25069195" w14:textId="77777777" w:rsidR="00C963C5" w:rsidRDefault="00C963C5">
            <w:pPr>
              <w:keepNext/>
              <w:spacing w:line="276" w:lineRule="auto"/>
              <w:jc w:val="right"/>
              <w:rPr>
                <w:rFonts w:eastAsia="Times New Roman"/>
                <w:color w:val="000000"/>
                <w:sz w:val="16"/>
                <w:lang w:eastAsia="fr-FR"/>
              </w:rPr>
            </w:pPr>
            <w:r>
              <w:rPr>
                <w:color w:val="000000"/>
                <w:sz w:val="16"/>
              </w:rPr>
              <w:t>304</w:t>
            </w:r>
          </w:p>
        </w:tc>
        <w:tc>
          <w:tcPr>
            <w:tcW w:w="659" w:type="pct"/>
            <w:noWrap/>
            <w:vAlign w:val="center"/>
            <w:hideMark/>
          </w:tcPr>
          <w:p w14:paraId="080BB7DE" w14:textId="77777777" w:rsidR="00C963C5" w:rsidRDefault="00C963C5">
            <w:pPr>
              <w:keepNext/>
              <w:spacing w:line="276" w:lineRule="auto"/>
              <w:jc w:val="right"/>
              <w:rPr>
                <w:rFonts w:eastAsia="Times New Roman"/>
                <w:color w:val="000000"/>
                <w:sz w:val="16"/>
                <w:lang w:eastAsia="fr-FR"/>
              </w:rPr>
            </w:pPr>
            <w:r>
              <w:rPr>
                <w:color w:val="FF0000"/>
                <w:sz w:val="16"/>
              </w:rPr>
              <w:t>-654</w:t>
            </w:r>
          </w:p>
        </w:tc>
        <w:tc>
          <w:tcPr>
            <w:tcW w:w="699" w:type="pct"/>
            <w:noWrap/>
            <w:vAlign w:val="center"/>
            <w:hideMark/>
          </w:tcPr>
          <w:p w14:paraId="44997A5B" w14:textId="77777777" w:rsidR="00C963C5" w:rsidRDefault="00C963C5">
            <w:pPr>
              <w:keepNext/>
              <w:spacing w:line="276" w:lineRule="auto"/>
              <w:jc w:val="right"/>
              <w:rPr>
                <w:rFonts w:eastAsia="Times New Roman"/>
                <w:color w:val="000000"/>
                <w:sz w:val="16"/>
                <w:lang w:eastAsia="fr-FR"/>
              </w:rPr>
            </w:pPr>
            <w:r>
              <w:rPr>
                <w:color w:val="FF0000"/>
                <w:sz w:val="16"/>
              </w:rPr>
              <w:t>-350</w:t>
            </w:r>
          </w:p>
        </w:tc>
        <w:tc>
          <w:tcPr>
            <w:tcW w:w="926" w:type="pct"/>
            <w:noWrap/>
            <w:vAlign w:val="center"/>
            <w:hideMark/>
          </w:tcPr>
          <w:p w14:paraId="4EF7C7D1" w14:textId="77777777" w:rsidR="00C963C5" w:rsidRDefault="00C963C5">
            <w:pPr>
              <w:keepNext/>
              <w:spacing w:line="276" w:lineRule="auto"/>
              <w:jc w:val="right"/>
              <w:rPr>
                <w:rFonts w:eastAsia="Times New Roman"/>
                <w:color w:val="000000"/>
                <w:sz w:val="16"/>
                <w:lang w:eastAsia="fr-FR"/>
              </w:rPr>
            </w:pPr>
            <w:r>
              <w:rPr>
                <w:color w:val="000000"/>
                <w:sz w:val="16"/>
              </w:rPr>
              <w:t>569,394</w:t>
            </w:r>
          </w:p>
        </w:tc>
        <w:tc>
          <w:tcPr>
            <w:tcW w:w="710" w:type="pct"/>
            <w:noWrap/>
            <w:vAlign w:val="center"/>
            <w:hideMark/>
          </w:tcPr>
          <w:p w14:paraId="12B97B7D" w14:textId="77777777" w:rsidR="00C963C5" w:rsidRDefault="00C963C5">
            <w:pPr>
              <w:keepNext/>
              <w:spacing w:line="276" w:lineRule="auto"/>
              <w:jc w:val="right"/>
              <w:rPr>
                <w:rFonts w:eastAsia="Times New Roman"/>
                <w:color w:val="000000"/>
                <w:sz w:val="16"/>
                <w:lang w:eastAsia="fr-FR"/>
              </w:rPr>
            </w:pPr>
            <w:r>
              <w:rPr>
                <w:color w:val="000000"/>
                <w:sz w:val="16"/>
              </w:rPr>
              <w:t>-0.1%</w:t>
            </w:r>
          </w:p>
        </w:tc>
      </w:tr>
      <w:tr w:rsidR="00C963C5" w14:paraId="22F6B312" w14:textId="77777777" w:rsidTr="00C963C5">
        <w:trPr>
          <w:trHeight w:val="283"/>
        </w:trPr>
        <w:tc>
          <w:tcPr>
            <w:tcW w:w="695" w:type="pct"/>
            <w:shd w:val="clear" w:color="auto" w:fill="BDD7EE"/>
            <w:noWrap/>
            <w:vAlign w:val="center"/>
            <w:hideMark/>
          </w:tcPr>
          <w:p w14:paraId="09B18FE1" w14:textId="77777777" w:rsidR="00C963C5" w:rsidRDefault="00C963C5">
            <w:pPr>
              <w:spacing w:line="276" w:lineRule="auto"/>
              <w:jc w:val="center"/>
              <w:rPr>
                <w:rFonts w:eastAsia="Times New Roman"/>
                <w:color w:val="000000"/>
                <w:sz w:val="16"/>
                <w:lang w:eastAsia="fr-FR"/>
              </w:rPr>
            </w:pPr>
            <w:r>
              <w:rPr>
                <w:rFonts w:eastAsia="Times New Roman"/>
                <w:color w:val="000000"/>
                <w:sz w:val="16"/>
                <w:lang w:eastAsia="fr-FR"/>
              </w:rPr>
              <w:t>2017-18</w:t>
            </w:r>
          </w:p>
        </w:tc>
        <w:tc>
          <w:tcPr>
            <w:tcW w:w="754" w:type="pct"/>
            <w:shd w:val="clear" w:color="auto" w:fill="BDD7EE"/>
            <w:noWrap/>
            <w:vAlign w:val="center"/>
            <w:hideMark/>
          </w:tcPr>
          <w:p w14:paraId="7BE96A33" w14:textId="77777777" w:rsidR="00C963C5" w:rsidRDefault="00C963C5">
            <w:pPr>
              <w:spacing w:line="276" w:lineRule="auto"/>
              <w:jc w:val="right"/>
              <w:rPr>
                <w:rFonts w:eastAsia="Times New Roman"/>
                <w:color w:val="000000"/>
                <w:sz w:val="16"/>
                <w:lang w:eastAsia="fr-FR"/>
              </w:rPr>
            </w:pPr>
            <w:r>
              <w:rPr>
                <w:color w:val="000000"/>
                <w:sz w:val="16"/>
              </w:rPr>
              <w:t>54,394</w:t>
            </w:r>
          </w:p>
        </w:tc>
        <w:tc>
          <w:tcPr>
            <w:tcW w:w="557" w:type="pct"/>
            <w:shd w:val="clear" w:color="auto" w:fill="BDD7EE"/>
            <w:noWrap/>
            <w:vAlign w:val="center"/>
            <w:hideMark/>
          </w:tcPr>
          <w:p w14:paraId="449C20F6" w14:textId="77777777" w:rsidR="00C963C5" w:rsidRDefault="00C963C5">
            <w:pPr>
              <w:spacing w:line="276" w:lineRule="auto"/>
              <w:jc w:val="right"/>
              <w:rPr>
                <w:rFonts w:eastAsia="Times New Roman"/>
                <w:color w:val="000000"/>
                <w:sz w:val="16"/>
                <w:lang w:eastAsia="fr-FR"/>
              </w:rPr>
            </w:pPr>
            <w:r>
              <w:rPr>
                <w:color w:val="000000"/>
                <w:sz w:val="16"/>
              </w:rPr>
              <w:t>1,757</w:t>
            </w:r>
          </w:p>
        </w:tc>
        <w:tc>
          <w:tcPr>
            <w:tcW w:w="659" w:type="pct"/>
            <w:shd w:val="clear" w:color="auto" w:fill="BDD7EE"/>
            <w:noWrap/>
            <w:vAlign w:val="center"/>
            <w:hideMark/>
          </w:tcPr>
          <w:p w14:paraId="34A94FB7" w14:textId="77777777" w:rsidR="00C963C5" w:rsidRDefault="00C963C5">
            <w:pPr>
              <w:spacing w:line="276" w:lineRule="auto"/>
              <w:jc w:val="right"/>
              <w:rPr>
                <w:rFonts w:eastAsia="Times New Roman"/>
                <w:color w:val="000000"/>
                <w:sz w:val="16"/>
                <w:lang w:eastAsia="fr-FR"/>
              </w:rPr>
            </w:pPr>
            <w:r>
              <w:rPr>
                <w:color w:val="FF0000"/>
                <w:sz w:val="16"/>
              </w:rPr>
              <w:t>-569</w:t>
            </w:r>
          </w:p>
        </w:tc>
        <w:tc>
          <w:tcPr>
            <w:tcW w:w="699" w:type="pct"/>
            <w:shd w:val="clear" w:color="auto" w:fill="BDD7EE"/>
            <w:noWrap/>
            <w:vAlign w:val="center"/>
            <w:hideMark/>
          </w:tcPr>
          <w:p w14:paraId="5E63EADB" w14:textId="77777777" w:rsidR="00C963C5" w:rsidRDefault="00C963C5">
            <w:pPr>
              <w:spacing w:line="276" w:lineRule="auto"/>
              <w:jc w:val="right"/>
              <w:rPr>
                <w:rFonts w:eastAsia="Times New Roman"/>
                <w:color w:val="000000"/>
                <w:sz w:val="16"/>
                <w:lang w:eastAsia="fr-FR"/>
              </w:rPr>
            </w:pPr>
            <w:r>
              <w:rPr>
                <w:color w:val="000000"/>
                <w:sz w:val="16"/>
              </w:rPr>
              <w:t>1,188</w:t>
            </w:r>
          </w:p>
        </w:tc>
        <w:tc>
          <w:tcPr>
            <w:tcW w:w="926" w:type="pct"/>
            <w:shd w:val="clear" w:color="auto" w:fill="BDD7EE"/>
            <w:noWrap/>
            <w:vAlign w:val="center"/>
            <w:hideMark/>
          </w:tcPr>
          <w:p w14:paraId="3A35C96C" w14:textId="77777777" w:rsidR="00C963C5" w:rsidRDefault="00C963C5">
            <w:pPr>
              <w:spacing w:line="276" w:lineRule="auto"/>
              <w:jc w:val="right"/>
              <w:rPr>
                <w:rFonts w:eastAsia="Times New Roman"/>
                <w:color w:val="000000"/>
                <w:sz w:val="16"/>
                <w:lang w:eastAsia="fr-FR"/>
              </w:rPr>
            </w:pPr>
            <w:r>
              <w:rPr>
                <w:color w:val="000000"/>
                <w:sz w:val="16"/>
              </w:rPr>
              <w:t>593,956</w:t>
            </w:r>
          </w:p>
        </w:tc>
        <w:tc>
          <w:tcPr>
            <w:tcW w:w="710" w:type="pct"/>
            <w:shd w:val="clear" w:color="auto" w:fill="BDD7EE"/>
            <w:noWrap/>
            <w:vAlign w:val="center"/>
            <w:hideMark/>
          </w:tcPr>
          <w:p w14:paraId="3C7D035C" w14:textId="77777777" w:rsidR="00C963C5" w:rsidRDefault="00C963C5">
            <w:pPr>
              <w:spacing w:line="276" w:lineRule="auto"/>
              <w:jc w:val="right"/>
              <w:rPr>
                <w:rFonts w:eastAsia="Times New Roman"/>
                <w:color w:val="000000"/>
                <w:sz w:val="16"/>
                <w:lang w:eastAsia="fr-FR"/>
              </w:rPr>
            </w:pPr>
            <w:r>
              <w:rPr>
                <w:color w:val="000000"/>
                <w:sz w:val="16"/>
              </w:rPr>
              <w:t>0.2%</w:t>
            </w:r>
          </w:p>
        </w:tc>
      </w:tr>
      <w:tr w:rsidR="00C963C5" w14:paraId="1C3986E1" w14:textId="77777777" w:rsidTr="00C963C5">
        <w:trPr>
          <w:trHeight w:val="225"/>
        </w:trPr>
        <w:tc>
          <w:tcPr>
            <w:tcW w:w="695" w:type="pct"/>
            <w:noWrap/>
            <w:vAlign w:val="center"/>
          </w:tcPr>
          <w:p w14:paraId="6D407A6D" w14:textId="77777777" w:rsidR="00C963C5" w:rsidRDefault="00C963C5">
            <w:pPr>
              <w:spacing w:line="276" w:lineRule="auto"/>
              <w:jc w:val="right"/>
              <w:rPr>
                <w:rFonts w:eastAsia="Times New Roman"/>
                <w:color w:val="000000"/>
                <w:sz w:val="16"/>
                <w:lang w:eastAsia="fr-FR"/>
              </w:rPr>
            </w:pPr>
          </w:p>
        </w:tc>
        <w:tc>
          <w:tcPr>
            <w:tcW w:w="754" w:type="pct"/>
            <w:noWrap/>
            <w:vAlign w:val="center"/>
          </w:tcPr>
          <w:p w14:paraId="5DA58CF9" w14:textId="77777777" w:rsidR="00C963C5" w:rsidRDefault="00C963C5">
            <w:pPr>
              <w:spacing w:line="276" w:lineRule="auto"/>
              <w:rPr>
                <w:rFonts w:eastAsia="Times New Roman"/>
                <w:sz w:val="16"/>
                <w:lang w:eastAsia="fr-FR"/>
              </w:rPr>
            </w:pPr>
          </w:p>
        </w:tc>
        <w:tc>
          <w:tcPr>
            <w:tcW w:w="557" w:type="pct"/>
            <w:noWrap/>
            <w:vAlign w:val="center"/>
          </w:tcPr>
          <w:p w14:paraId="331E2385" w14:textId="77777777" w:rsidR="00C963C5" w:rsidRDefault="00C963C5">
            <w:pPr>
              <w:spacing w:line="276" w:lineRule="auto"/>
              <w:rPr>
                <w:rFonts w:eastAsia="Times New Roman"/>
                <w:sz w:val="16"/>
                <w:lang w:eastAsia="fr-FR"/>
              </w:rPr>
            </w:pPr>
          </w:p>
        </w:tc>
        <w:tc>
          <w:tcPr>
            <w:tcW w:w="659" w:type="pct"/>
            <w:noWrap/>
            <w:vAlign w:val="center"/>
          </w:tcPr>
          <w:p w14:paraId="264570D9" w14:textId="77777777" w:rsidR="00C963C5" w:rsidRDefault="00C963C5">
            <w:pPr>
              <w:spacing w:line="276" w:lineRule="auto"/>
              <w:rPr>
                <w:rFonts w:eastAsia="Times New Roman"/>
                <w:sz w:val="16"/>
                <w:lang w:eastAsia="fr-FR"/>
              </w:rPr>
            </w:pPr>
          </w:p>
        </w:tc>
        <w:tc>
          <w:tcPr>
            <w:tcW w:w="699" w:type="pct"/>
            <w:noWrap/>
            <w:vAlign w:val="center"/>
          </w:tcPr>
          <w:p w14:paraId="5106EBE7" w14:textId="77777777" w:rsidR="00C963C5" w:rsidRDefault="00C963C5">
            <w:pPr>
              <w:spacing w:line="276" w:lineRule="auto"/>
              <w:rPr>
                <w:rFonts w:eastAsia="Times New Roman"/>
                <w:sz w:val="16"/>
                <w:lang w:eastAsia="fr-FR"/>
              </w:rPr>
            </w:pPr>
          </w:p>
        </w:tc>
        <w:tc>
          <w:tcPr>
            <w:tcW w:w="926" w:type="pct"/>
            <w:noWrap/>
            <w:vAlign w:val="center"/>
          </w:tcPr>
          <w:p w14:paraId="1194EA2B" w14:textId="77777777" w:rsidR="00C963C5" w:rsidRDefault="00C963C5">
            <w:pPr>
              <w:spacing w:line="276" w:lineRule="auto"/>
              <w:rPr>
                <w:rFonts w:eastAsia="Times New Roman"/>
                <w:sz w:val="16"/>
                <w:lang w:eastAsia="fr-FR"/>
              </w:rPr>
            </w:pPr>
          </w:p>
        </w:tc>
        <w:tc>
          <w:tcPr>
            <w:tcW w:w="710" w:type="pct"/>
            <w:noWrap/>
            <w:vAlign w:val="center"/>
          </w:tcPr>
          <w:p w14:paraId="18E820A8" w14:textId="77777777" w:rsidR="00C963C5" w:rsidRDefault="00C963C5">
            <w:pPr>
              <w:spacing w:line="276" w:lineRule="auto"/>
              <w:rPr>
                <w:rFonts w:eastAsia="Times New Roman"/>
                <w:sz w:val="16"/>
                <w:lang w:eastAsia="fr-FR"/>
              </w:rPr>
            </w:pPr>
          </w:p>
        </w:tc>
      </w:tr>
      <w:tr w:rsidR="00C963C5" w14:paraId="5A1711A1" w14:textId="77777777" w:rsidTr="00C963C5">
        <w:trPr>
          <w:trHeight w:val="225"/>
        </w:trPr>
        <w:tc>
          <w:tcPr>
            <w:tcW w:w="1449" w:type="pct"/>
            <w:gridSpan w:val="2"/>
            <w:noWrap/>
            <w:vAlign w:val="center"/>
            <w:hideMark/>
          </w:tcPr>
          <w:p w14:paraId="65F821E7"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Accruals (ONS)</w:t>
            </w:r>
          </w:p>
        </w:tc>
        <w:tc>
          <w:tcPr>
            <w:tcW w:w="557" w:type="pct"/>
            <w:noWrap/>
            <w:vAlign w:val="center"/>
          </w:tcPr>
          <w:p w14:paraId="7B3995A6" w14:textId="77777777" w:rsidR="00C963C5" w:rsidRDefault="00C963C5">
            <w:pPr>
              <w:keepNext/>
              <w:spacing w:line="276" w:lineRule="auto"/>
              <w:rPr>
                <w:rFonts w:eastAsia="Times New Roman"/>
                <w:b/>
                <w:bCs/>
                <w:color w:val="000000"/>
                <w:sz w:val="16"/>
                <w:lang w:eastAsia="fr-FR"/>
              </w:rPr>
            </w:pPr>
          </w:p>
        </w:tc>
        <w:tc>
          <w:tcPr>
            <w:tcW w:w="659" w:type="pct"/>
            <w:noWrap/>
            <w:vAlign w:val="center"/>
          </w:tcPr>
          <w:p w14:paraId="6B2EEF5F" w14:textId="77777777" w:rsidR="00C963C5" w:rsidRDefault="00C963C5">
            <w:pPr>
              <w:keepNext/>
              <w:spacing w:line="276" w:lineRule="auto"/>
              <w:rPr>
                <w:rFonts w:eastAsia="Times New Roman"/>
                <w:sz w:val="16"/>
                <w:lang w:eastAsia="fr-FR"/>
              </w:rPr>
            </w:pPr>
          </w:p>
        </w:tc>
        <w:tc>
          <w:tcPr>
            <w:tcW w:w="699" w:type="pct"/>
            <w:noWrap/>
            <w:vAlign w:val="center"/>
          </w:tcPr>
          <w:p w14:paraId="02A20946" w14:textId="77777777" w:rsidR="00C963C5" w:rsidRDefault="00C963C5">
            <w:pPr>
              <w:keepNext/>
              <w:spacing w:line="276" w:lineRule="auto"/>
              <w:rPr>
                <w:rFonts w:eastAsia="Times New Roman"/>
                <w:sz w:val="16"/>
                <w:lang w:eastAsia="fr-FR"/>
              </w:rPr>
            </w:pPr>
          </w:p>
        </w:tc>
        <w:tc>
          <w:tcPr>
            <w:tcW w:w="926" w:type="pct"/>
            <w:noWrap/>
            <w:vAlign w:val="center"/>
          </w:tcPr>
          <w:p w14:paraId="1D4A7C5A" w14:textId="77777777" w:rsidR="00C963C5" w:rsidRDefault="00C963C5">
            <w:pPr>
              <w:keepNext/>
              <w:spacing w:line="276" w:lineRule="auto"/>
              <w:rPr>
                <w:rFonts w:eastAsia="Times New Roman"/>
                <w:sz w:val="16"/>
                <w:lang w:eastAsia="fr-FR"/>
              </w:rPr>
            </w:pPr>
          </w:p>
        </w:tc>
        <w:tc>
          <w:tcPr>
            <w:tcW w:w="710" w:type="pct"/>
            <w:noWrap/>
            <w:vAlign w:val="center"/>
          </w:tcPr>
          <w:p w14:paraId="4D914BD5" w14:textId="77777777" w:rsidR="00C963C5" w:rsidRDefault="00C963C5">
            <w:pPr>
              <w:keepNext/>
              <w:spacing w:line="276" w:lineRule="auto"/>
              <w:rPr>
                <w:rFonts w:eastAsia="Times New Roman"/>
                <w:sz w:val="16"/>
                <w:lang w:eastAsia="fr-FR"/>
              </w:rPr>
            </w:pPr>
          </w:p>
        </w:tc>
      </w:tr>
      <w:tr w:rsidR="00C963C5" w14:paraId="3F5F63C0" w14:textId="77777777" w:rsidTr="00C963C5">
        <w:trPr>
          <w:trHeight w:val="915"/>
        </w:trPr>
        <w:tc>
          <w:tcPr>
            <w:tcW w:w="695" w:type="pct"/>
            <w:tcBorders>
              <w:top w:val="nil"/>
              <w:left w:val="nil"/>
              <w:bottom w:val="single" w:sz="12" w:space="0" w:color="5B9BD5"/>
              <w:right w:val="nil"/>
            </w:tcBorders>
            <w:shd w:val="clear" w:color="auto" w:fill="244062"/>
            <w:vAlign w:val="center"/>
            <w:hideMark/>
          </w:tcPr>
          <w:p w14:paraId="420C32DE" w14:textId="77777777" w:rsidR="00C963C5" w:rsidRDefault="00C963C5">
            <w:pPr>
              <w:keepNext/>
              <w:spacing w:line="276" w:lineRule="auto"/>
              <w:rPr>
                <w:rFonts w:eastAsia="Times New Roman"/>
                <w:b/>
                <w:bCs/>
                <w:color w:val="FFFFFF"/>
                <w:sz w:val="16"/>
                <w:lang w:eastAsia="fr-FR"/>
              </w:rPr>
            </w:pPr>
            <w:r>
              <w:rPr>
                <w:rFonts w:eastAsia="Times New Roman"/>
                <w:b/>
                <w:bCs/>
                <w:color w:val="FFFFFF"/>
                <w:sz w:val="16"/>
                <w:lang w:eastAsia="fr-FR"/>
              </w:rPr>
              <w:t>£ million</w:t>
            </w:r>
          </w:p>
        </w:tc>
        <w:tc>
          <w:tcPr>
            <w:tcW w:w="754" w:type="pct"/>
            <w:tcBorders>
              <w:top w:val="nil"/>
              <w:left w:val="nil"/>
              <w:bottom w:val="single" w:sz="12" w:space="0" w:color="5B9BD5"/>
              <w:right w:val="nil"/>
            </w:tcBorders>
            <w:shd w:val="clear" w:color="auto" w:fill="244062"/>
            <w:vAlign w:val="center"/>
            <w:hideMark/>
          </w:tcPr>
          <w:p w14:paraId="69083F45"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Total Corporation Tax</w:t>
            </w:r>
          </w:p>
        </w:tc>
        <w:tc>
          <w:tcPr>
            <w:tcW w:w="557" w:type="pct"/>
            <w:tcBorders>
              <w:top w:val="nil"/>
              <w:left w:val="nil"/>
              <w:bottom w:val="single" w:sz="12" w:space="0" w:color="5B9BD5"/>
              <w:right w:val="nil"/>
            </w:tcBorders>
            <w:shd w:val="clear" w:color="auto" w:fill="244062"/>
            <w:vAlign w:val="center"/>
            <w:hideMark/>
          </w:tcPr>
          <w:p w14:paraId="7C7024FC"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Of which offshore</w:t>
            </w:r>
          </w:p>
        </w:tc>
        <w:tc>
          <w:tcPr>
            <w:tcW w:w="659" w:type="pct"/>
            <w:tcBorders>
              <w:top w:val="nil"/>
              <w:left w:val="nil"/>
              <w:bottom w:val="single" w:sz="12" w:space="0" w:color="5B9BD5"/>
              <w:right w:val="nil"/>
            </w:tcBorders>
            <w:shd w:val="clear" w:color="auto" w:fill="244062"/>
            <w:vAlign w:val="center"/>
            <w:hideMark/>
          </w:tcPr>
          <w:p w14:paraId="7547DF77"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Petroleum Revenue Tax</w:t>
            </w:r>
          </w:p>
        </w:tc>
        <w:tc>
          <w:tcPr>
            <w:tcW w:w="699" w:type="pct"/>
            <w:tcBorders>
              <w:top w:val="nil"/>
              <w:left w:val="nil"/>
              <w:bottom w:val="single" w:sz="12" w:space="0" w:color="5B9BD5"/>
              <w:right w:val="nil"/>
            </w:tcBorders>
            <w:shd w:val="clear" w:color="auto" w:fill="244062"/>
            <w:vAlign w:val="center"/>
            <w:hideMark/>
          </w:tcPr>
          <w:p w14:paraId="6154C540"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Total Upstream Oil and Gas</w:t>
            </w:r>
          </w:p>
        </w:tc>
        <w:tc>
          <w:tcPr>
            <w:tcW w:w="926" w:type="pct"/>
            <w:tcBorders>
              <w:top w:val="nil"/>
              <w:left w:val="nil"/>
              <w:bottom w:val="single" w:sz="12" w:space="0" w:color="5B9BD5"/>
              <w:right w:val="nil"/>
            </w:tcBorders>
            <w:shd w:val="clear" w:color="auto" w:fill="244062"/>
            <w:vAlign w:val="center"/>
            <w:hideMark/>
          </w:tcPr>
          <w:p w14:paraId="0C200D2F"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Total Public</w:t>
            </w:r>
            <w:r>
              <w:rPr>
                <w:rFonts w:eastAsia="Times New Roman"/>
                <w:b/>
                <w:bCs/>
                <w:color w:val="FFFFFF"/>
                <w:sz w:val="16"/>
                <w:lang w:eastAsia="fr-FR"/>
              </w:rPr>
              <w:br/>
              <w:t>Sector</w:t>
            </w:r>
            <w:r>
              <w:rPr>
                <w:rFonts w:eastAsia="Times New Roman"/>
                <w:b/>
                <w:bCs/>
                <w:color w:val="FFFFFF"/>
                <w:sz w:val="16"/>
                <w:lang w:eastAsia="fr-FR"/>
              </w:rPr>
              <w:br/>
              <w:t>Taxes</w:t>
            </w:r>
            <w:r>
              <w:rPr>
                <w:rFonts w:eastAsia="Times New Roman"/>
                <w:b/>
                <w:bCs/>
                <w:color w:val="FFFFFF"/>
                <w:sz w:val="16"/>
                <w:lang w:eastAsia="fr-FR"/>
              </w:rPr>
              <w:br/>
              <w:t>and NICS</w:t>
            </w:r>
          </w:p>
        </w:tc>
        <w:tc>
          <w:tcPr>
            <w:tcW w:w="710" w:type="pct"/>
            <w:tcBorders>
              <w:top w:val="nil"/>
              <w:left w:val="nil"/>
              <w:bottom w:val="single" w:sz="12" w:space="0" w:color="5B9BD5"/>
              <w:right w:val="nil"/>
            </w:tcBorders>
            <w:shd w:val="clear" w:color="auto" w:fill="244062"/>
            <w:vAlign w:val="center"/>
            <w:hideMark/>
          </w:tcPr>
          <w:p w14:paraId="44A66AE3" w14:textId="77777777" w:rsidR="00C963C5" w:rsidRDefault="00C963C5">
            <w:pPr>
              <w:keepNext/>
              <w:spacing w:line="276" w:lineRule="auto"/>
              <w:jc w:val="right"/>
              <w:rPr>
                <w:rFonts w:eastAsia="Times New Roman"/>
                <w:b/>
                <w:bCs/>
                <w:color w:val="FFFFFF"/>
                <w:sz w:val="16"/>
                <w:lang w:eastAsia="fr-FR"/>
              </w:rPr>
            </w:pPr>
            <w:r>
              <w:rPr>
                <w:rFonts w:eastAsia="Times New Roman"/>
                <w:b/>
                <w:bCs/>
                <w:color w:val="FFFFFF"/>
                <w:sz w:val="16"/>
                <w:lang w:eastAsia="fr-FR"/>
              </w:rPr>
              <w:t>Upstream Oil and Gas Share of Total (%)</w:t>
            </w:r>
          </w:p>
        </w:tc>
      </w:tr>
      <w:tr w:rsidR="00C963C5" w14:paraId="32A9C716" w14:textId="77777777" w:rsidTr="00C963C5">
        <w:trPr>
          <w:trHeight w:val="283"/>
        </w:trPr>
        <w:tc>
          <w:tcPr>
            <w:tcW w:w="5000" w:type="pct"/>
            <w:gridSpan w:val="7"/>
            <w:shd w:val="clear" w:color="auto" w:fill="BFBFBF"/>
            <w:vAlign w:val="center"/>
            <w:hideMark/>
          </w:tcPr>
          <w:p w14:paraId="49829C0F"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Calendar Year</w:t>
            </w:r>
          </w:p>
        </w:tc>
      </w:tr>
      <w:tr w:rsidR="00C963C5" w14:paraId="5EB5D31C" w14:textId="77777777" w:rsidTr="00C963C5">
        <w:trPr>
          <w:trHeight w:val="283"/>
        </w:trPr>
        <w:tc>
          <w:tcPr>
            <w:tcW w:w="695" w:type="pct"/>
            <w:shd w:val="clear" w:color="auto" w:fill="BDD7EE"/>
            <w:noWrap/>
            <w:vAlign w:val="center"/>
            <w:hideMark/>
          </w:tcPr>
          <w:p w14:paraId="36477674"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2013</w:t>
            </w:r>
          </w:p>
        </w:tc>
        <w:tc>
          <w:tcPr>
            <w:tcW w:w="754" w:type="pct"/>
            <w:shd w:val="clear" w:color="auto" w:fill="BDD7EE"/>
            <w:noWrap/>
            <w:vAlign w:val="center"/>
            <w:hideMark/>
          </w:tcPr>
          <w:p w14:paraId="6E980359" w14:textId="77777777" w:rsidR="00C963C5" w:rsidRDefault="00C963C5">
            <w:pPr>
              <w:keepNext/>
              <w:spacing w:line="276" w:lineRule="auto"/>
              <w:jc w:val="right"/>
              <w:rPr>
                <w:rFonts w:eastAsia="Times New Roman"/>
                <w:color w:val="000000"/>
                <w:sz w:val="16"/>
                <w:lang w:eastAsia="fr-FR"/>
              </w:rPr>
            </w:pPr>
            <w:r>
              <w:rPr>
                <w:color w:val="000000"/>
                <w:sz w:val="16"/>
              </w:rPr>
              <w:t>45,349</w:t>
            </w:r>
          </w:p>
        </w:tc>
        <w:tc>
          <w:tcPr>
            <w:tcW w:w="557" w:type="pct"/>
            <w:shd w:val="clear" w:color="auto" w:fill="BDD7EE"/>
            <w:noWrap/>
            <w:vAlign w:val="center"/>
            <w:hideMark/>
          </w:tcPr>
          <w:p w14:paraId="58C56AE9" w14:textId="77777777" w:rsidR="00C963C5" w:rsidRDefault="00C963C5">
            <w:pPr>
              <w:keepNext/>
              <w:spacing w:line="276" w:lineRule="auto"/>
              <w:jc w:val="right"/>
              <w:rPr>
                <w:rFonts w:eastAsia="Times New Roman"/>
                <w:color w:val="000000"/>
                <w:sz w:val="16"/>
                <w:lang w:eastAsia="fr-FR"/>
              </w:rPr>
            </w:pPr>
            <w:r>
              <w:rPr>
                <w:color w:val="000000"/>
                <w:sz w:val="16"/>
              </w:rPr>
              <w:t>3,556</w:t>
            </w:r>
          </w:p>
        </w:tc>
        <w:tc>
          <w:tcPr>
            <w:tcW w:w="659" w:type="pct"/>
            <w:shd w:val="clear" w:color="auto" w:fill="BDD7EE"/>
            <w:noWrap/>
            <w:vAlign w:val="center"/>
            <w:hideMark/>
          </w:tcPr>
          <w:p w14:paraId="28A356F8" w14:textId="77777777" w:rsidR="00C963C5" w:rsidRDefault="00C963C5">
            <w:pPr>
              <w:keepNext/>
              <w:spacing w:line="276" w:lineRule="auto"/>
              <w:jc w:val="right"/>
              <w:rPr>
                <w:rFonts w:eastAsia="Times New Roman"/>
                <w:color w:val="000000"/>
                <w:sz w:val="16"/>
                <w:lang w:eastAsia="fr-FR"/>
              </w:rPr>
            </w:pPr>
            <w:r>
              <w:rPr>
                <w:color w:val="000000"/>
                <w:sz w:val="16"/>
              </w:rPr>
              <w:t>1,296</w:t>
            </w:r>
          </w:p>
        </w:tc>
        <w:tc>
          <w:tcPr>
            <w:tcW w:w="699" w:type="pct"/>
            <w:shd w:val="clear" w:color="auto" w:fill="BDD7EE"/>
            <w:noWrap/>
            <w:vAlign w:val="center"/>
            <w:hideMark/>
          </w:tcPr>
          <w:p w14:paraId="1D4C3845" w14:textId="77777777" w:rsidR="00C963C5" w:rsidRDefault="00C963C5">
            <w:pPr>
              <w:keepNext/>
              <w:spacing w:line="276" w:lineRule="auto"/>
              <w:jc w:val="right"/>
              <w:rPr>
                <w:rFonts w:eastAsia="Times New Roman"/>
                <w:color w:val="000000"/>
                <w:sz w:val="16"/>
                <w:lang w:eastAsia="fr-FR"/>
              </w:rPr>
            </w:pPr>
            <w:r>
              <w:rPr>
                <w:color w:val="000000"/>
                <w:sz w:val="16"/>
              </w:rPr>
              <w:t>4,852</w:t>
            </w:r>
          </w:p>
        </w:tc>
        <w:tc>
          <w:tcPr>
            <w:tcW w:w="926" w:type="pct"/>
            <w:shd w:val="clear" w:color="auto" w:fill="BDD7EE"/>
            <w:noWrap/>
            <w:vAlign w:val="center"/>
            <w:hideMark/>
          </w:tcPr>
          <w:p w14:paraId="1017702F" w14:textId="77777777" w:rsidR="00C963C5" w:rsidRDefault="00C963C5">
            <w:pPr>
              <w:keepNext/>
              <w:spacing w:line="276" w:lineRule="auto"/>
              <w:jc w:val="right"/>
              <w:rPr>
                <w:rFonts w:eastAsia="Times New Roman"/>
                <w:color w:val="000000"/>
                <w:sz w:val="16"/>
                <w:lang w:eastAsia="fr-FR"/>
              </w:rPr>
            </w:pPr>
            <w:r>
              <w:rPr>
                <w:color w:val="000000"/>
                <w:sz w:val="16"/>
              </w:rPr>
              <w:t>574,776</w:t>
            </w:r>
          </w:p>
        </w:tc>
        <w:tc>
          <w:tcPr>
            <w:tcW w:w="710" w:type="pct"/>
            <w:shd w:val="clear" w:color="auto" w:fill="BDD7EE"/>
            <w:noWrap/>
            <w:vAlign w:val="center"/>
            <w:hideMark/>
          </w:tcPr>
          <w:p w14:paraId="6E3768A1" w14:textId="77777777" w:rsidR="00C963C5" w:rsidRDefault="00C963C5">
            <w:pPr>
              <w:keepNext/>
              <w:spacing w:line="276" w:lineRule="auto"/>
              <w:jc w:val="right"/>
              <w:rPr>
                <w:rFonts w:eastAsia="Times New Roman"/>
                <w:color w:val="000000"/>
                <w:sz w:val="16"/>
                <w:lang w:eastAsia="fr-FR"/>
              </w:rPr>
            </w:pPr>
            <w:r>
              <w:rPr>
                <w:color w:val="000000"/>
                <w:sz w:val="16"/>
              </w:rPr>
              <w:t>0.8%</w:t>
            </w:r>
          </w:p>
        </w:tc>
      </w:tr>
      <w:tr w:rsidR="00C963C5" w14:paraId="7FA75AD5" w14:textId="77777777" w:rsidTr="00C963C5">
        <w:trPr>
          <w:trHeight w:val="283"/>
        </w:trPr>
        <w:tc>
          <w:tcPr>
            <w:tcW w:w="695" w:type="pct"/>
            <w:noWrap/>
            <w:vAlign w:val="center"/>
            <w:hideMark/>
          </w:tcPr>
          <w:p w14:paraId="0070C54C"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2014</w:t>
            </w:r>
          </w:p>
        </w:tc>
        <w:tc>
          <w:tcPr>
            <w:tcW w:w="754" w:type="pct"/>
            <w:noWrap/>
            <w:vAlign w:val="center"/>
            <w:hideMark/>
          </w:tcPr>
          <w:p w14:paraId="014DAC36" w14:textId="77777777" w:rsidR="00C963C5" w:rsidRDefault="00C963C5">
            <w:pPr>
              <w:keepNext/>
              <w:spacing w:line="276" w:lineRule="auto"/>
              <w:jc w:val="right"/>
              <w:rPr>
                <w:rFonts w:eastAsia="Times New Roman"/>
                <w:color w:val="000000"/>
                <w:sz w:val="16"/>
                <w:lang w:eastAsia="fr-FR"/>
              </w:rPr>
            </w:pPr>
            <w:r>
              <w:rPr>
                <w:color w:val="000000"/>
                <w:sz w:val="16"/>
              </w:rPr>
              <w:t>45,531</w:t>
            </w:r>
          </w:p>
        </w:tc>
        <w:tc>
          <w:tcPr>
            <w:tcW w:w="557" w:type="pct"/>
            <w:noWrap/>
            <w:vAlign w:val="center"/>
            <w:hideMark/>
          </w:tcPr>
          <w:p w14:paraId="1BD43E8E" w14:textId="77777777" w:rsidR="00C963C5" w:rsidRDefault="00C963C5">
            <w:pPr>
              <w:keepNext/>
              <w:spacing w:line="276" w:lineRule="auto"/>
              <w:jc w:val="right"/>
              <w:rPr>
                <w:rFonts w:eastAsia="Times New Roman"/>
                <w:color w:val="000000"/>
                <w:sz w:val="16"/>
                <w:lang w:eastAsia="fr-FR"/>
              </w:rPr>
            </w:pPr>
            <w:r>
              <w:rPr>
                <w:color w:val="000000"/>
                <w:sz w:val="16"/>
              </w:rPr>
              <w:t>2,072</w:t>
            </w:r>
          </w:p>
        </w:tc>
        <w:tc>
          <w:tcPr>
            <w:tcW w:w="659" w:type="pct"/>
            <w:noWrap/>
            <w:vAlign w:val="center"/>
            <w:hideMark/>
          </w:tcPr>
          <w:p w14:paraId="38708FA2" w14:textId="77777777" w:rsidR="00C963C5" w:rsidRDefault="00C963C5">
            <w:pPr>
              <w:keepNext/>
              <w:spacing w:line="276" w:lineRule="auto"/>
              <w:jc w:val="right"/>
              <w:rPr>
                <w:rFonts w:eastAsia="Times New Roman"/>
                <w:color w:val="000000"/>
                <w:sz w:val="16"/>
                <w:lang w:eastAsia="fr-FR"/>
              </w:rPr>
            </w:pPr>
            <w:r>
              <w:rPr>
                <w:color w:val="000000"/>
                <w:sz w:val="16"/>
              </w:rPr>
              <w:t>568</w:t>
            </w:r>
          </w:p>
        </w:tc>
        <w:tc>
          <w:tcPr>
            <w:tcW w:w="699" w:type="pct"/>
            <w:noWrap/>
            <w:vAlign w:val="center"/>
            <w:hideMark/>
          </w:tcPr>
          <w:p w14:paraId="51431454" w14:textId="77777777" w:rsidR="00C963C5" w:rsidRDefault="00C963C5">
            <w:pPr>
              <w:keepNext/>
              <w:spacing w:line="276" w:lineRule="auto"/>
              <w:jc w:val="right"/>
              <w:rPr>
                <w:rFonts w:eastAsia="Times New Roman"/>
                <w:color w:val="000000"/>
                <w:sz w:val="16"/>
                <w:lang w:eastAsia="fr-FR"/>
              </w:rPr>
            </w:pPr>
            <w:r>
              <w:rPr>
                <w:color w:val="000000"/>
                <w:sz w:val="16"/>
              </w:rPr>
              <w:t>2,640</w:t>
            </w:r>
          </w:p>
        </w:tc>
        <w:tc>
          <w:tcPr>
            <w:tcW w:w="926" w:type="pct"/>
            <w:noWrap/>
            <w:vAlign w:val="center"/>
            <w:hideMark/>
          </w:tcPr>
          <w:p w14:paraId="156FADD7" w14:textId="77777777" w:rsidR="00C963C5" w:rsidRDefault="00C963C5">
            <w:pPr>
              <w:keepNext/>
              <w:spacing w:line="276" w:lineRule="auto"/>
              <w:jc w:val="right"/>
              <w:rPr>
                <w:rFonts w:eastAsia="Times New Roman"/>
                <w:color w:val="000000"/>
                <w:sz w:val="16"/>
                <w:lang w:eastAsia="fr-FR"/>
              </w:rPr>
            </w:pPr>
            <w:r>
              <w:rPr>
                <w:color w:val="000000"/>
                <w:sz w:val="16"/>
              </w:rPr>
              <w:t>594,524</w:t>
            </w:r>
          </w:p>
        </w:tc>
        <w:tc>
          <w:tcPr>
            <w:tcW w:w="710" w:type="pct"/>
            <w:noWrap/>
            <w:vAlign w:val="center"/>
            <w:hideMark/>
          </w:tcPr>
          <w:p w14:paraId="786CC3FB" w14:textId="77777777" w:rsidR="00C963C5" w:rsidRDefault="00C963C5">
            <w:pPr>
              <w:keepNext/>
              <w:spacing w:line="276" w:lineRule="auto"/>
              <w:jc w:val="right"/>
              <w:rPr>
                <w:rFonts w:eastAsia="Times New Roman"/>
                <w:color w:val="000000"/>
                <w:sz w:val="16"/>
                <w:lang w:eastAsia="fr-FR"/>
              </w:rPr>
            </w:pPr>
            <w:r>
              <w:rPr>
                <w:color w:val="000000"/>
                <w:sz w:val="16"/>
              </w:rPr>
              <w:t>0.4%</w:t>
            </w:r>
          </w:p>
        </w:tc>
      </w:tr>
      <w:tr w:rsidR="00C963C5" w14:paraId="116F7FA1" w14:textId="77777777" w:rsidTr="00C963C5">
        <w:trPr>
          <w:trHeight w:val="283"/>
        </w:trPr>
        <w:tc>
          <w:tcPr>
            <w:tcW w:w="695" w:type="pct"/>
            <w:shd w:val="clear" w:color="auto" w:fill="BDD7EE"/>
            <w:noWrap/>
            <w:vAlign w:val="center"/>
            <w:hideMark/>
          </w:tcPr>
          <w:p w14:paraId="525497E3"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2015</w:t>
            </w:r>
          </w:p>
        </w:tc>
        <w:tc>
          <w:tcPr>
            <w:tcW w:w="754" w:type="pct"/>
            <w:shd w:val="clear" w:color="auto" w:fill="BDD7EE"/>
            <w:noWrap/>
            <w:vAlign w:val="center"/>
            <w:hideMark/>
          </w:tcPr>
          <w:p w14:paraId="1253B8B5" w14:textId="77777777" w:rsidR="00C963C5" w:rsidRDefault="00C963C5">
            <w:pPr>
              <w:keepNext/>
              <w:spacing w:line="276" w:lineRule="auto"/>
              <w:jc w:val="right"/>
              <w:rPr>
                <w:rFonts w:eastAsia="Times New Roman"/>
                <w:color w:val="000000"/>
                <w:sz w:val="16"/>
                <w:lang w:eastAsia="fr-FR"/>
              </w:rPr>
            </w:pPr>
            <w:r>
              <w:rPr>
                <w:color w:val="000000"/>
                <w:sz w:val="16"/>
              </w:rPr>
              <w:t>45,486</w:t>
            </w:r>
          </w:p>
        </w:tc>
        <w:tc>
          <w:tcPr>
            <w:tcW w:w="557" w:type="pct"/>
            <w:shd w:val="clear" w:color="auto" w:fill="BDD7EE"/>
            <w:noWrap/>
            <w:vAlign w:val="center"/>
            <w:hideMark/>
          </w:tcPr>
          <w:p w14:paraId="30E1B80B" w14:textId="77777777" w:rsidR="00C963C5" w:rsidRDefault="00C963C5">
            <w:pPr>
              <w:keepNext/>
              <w:spacing w:line="276" w:lineRule="auto"/>
              <w:jc w:val="right"/>
              <w:rPr>
                <w:rFonts w:eastAsia="Times New Roman"/>
                <w:color w:val="000000"/>
                <w:sz w:val="16"/>
                <w:lang w:eastAsia="fr-FR"/>
              </w:rPr>
            </w:pPr>
            <w:r>
              <w:rPr>
                <w:color w:val="000000"/>
                <w:sz w:val="16"/>
              </w:rPr>
              <w:t>536</w:t>
            </w:r>
          </w:p>
        </w:tc>
        <w:tc>
          <w:tcPr>
            <w:tcW w:w="659" w:type="pct"/>
            <w:shd w:val="clear" w:color="auto" w:fill="BDD7EE"/>
            <w:noWrap/>
            <w:vAlign w:val="center"/>
            <w:hideMark/>
          </w:tcPr>
          <w:p w14:paraId="5E5E51FD" w14:textId="77777777" w:rsidR="00C963C5" w:rsidRDefault="00C963C5">
            <w:pPr>
              <w:keepNext/>
              <w:spacing w:line="276" w:lineRule="auto"/>
              <w:jc w:val="right"/>
              <w:rPr>
                <w:rFonts w:eastAsia="Times New Roman"/>
                <w:color w:val="000000"/>
                <w:sz w:val="16"/>
                <w:lang w:eastAsia="fr-FR"/>
              </w:rPr>
            </w:pPr>
            <w:r>
              <w:rPr>
                <w:color w:val="FF0000"/>
                <w:sz w:val="16"/>
              </w:rPr>
              <w:t>-552</w:t>
            </w:r>
          </w:p>
        </w:tc>
        <w:tc>
          <w:tcPr>
            <w:tcW w:w="699" w:type="pct"/>
            <w:shd w:val="clear" w:color="auto" w:fill="BDD7EE"/>
            <w:noWrap/>
            <w:vAlign w:val="center"/>
            <w:hideMark/>
          </w:tcPr>
          <w:p w14:paraId="637C4880" w14:textId="77777777" w:rsidR="00C963C5" w:rsidRDefault="00C963C5">
            <w:pPr>
              <w:keepNext/>
              <w:spacing w:line="276" w:lineRule="auto"/>
              <w:jc w:val="right"/>
              <w:rPr>
                <w:rFonts w:eastAsia="Times New Roman"/>
                <w:color w:val="000000"/>
                <w:sz w:val="16"/>
                <w:lang w:eastAsia="fr-FR"/>
              </w:rPr>
            </w:pPr>
            <w:r>
              <w:rPr>
                <w:color w:val="FF0000"/>
                <w:sz w:val="16"/>
              </w:rPr>
              <w:t>-16</w:t>
            </w:r>
          </w:p>
        </w:tc>
        <w:tc>
          <w:tcPr>
            <w:tcW w:w="926" w:type="pct"/>
            <w:shd w:val="clear" w:color="auto" w:fill="BDD7EE"/>
            <w:noWrap/>
            <w:vAlign w:val="center"/>
            <w:hideMark/>
          </w:tcPr>
          <w:p w14:paraId="31F63E6D" w14:textId="77777777" w:rsidR="00C963C5" w:rsidRDefault="00C963C5">
            <w:pPr>
              <w:keepNext/>
              <w:spacing w:line="276" w:lineRule="auto"/>
              <w:jc w:val="right"/>
              <w:rPr>
                <w:rFonts w:eastAsia="Times New Roman"/>
                <w:color w:val="000000"/>
                <w:sz w:val="16"/>
                <w:lang w:eastAsia="fr-FR"/>
              </w:rPr>
            </w:pPr>
            <w:r>
              <w:rPr>
                <w:color w:val="000000"/>
                <w:sz w:val="16"/>
              </w:rPr>
              <w:t>618,001</w:t>
            </w:r>
          </w:p>
        </w:tc>
        <w:tc>
          <w:tcPr>
            <w:tcW w:w="710" w:type="pct"/>
            <w:shd w:val="clear" w:color="auto" w:fill="BDD7EE"/>
            <w:noWrap/>
            <w:vAlign w:val="center"/>
            <w:hideMark/>
          </w:tcPr>
          <w:p w14:paraId="4EC5B2F7" w14:textId="77777777" w:rsidR="00C963C5" w:rsidRDefault="00C963C5">
            <w:pPr>
              <w:keepNext/>
              <w:spacing w:line="276" w:lineRule="auto"/>
              <w:jc w:val="right"/>
              <w:rPr>
                <w:rFonts w:eastAsia="Times New Roman"/>
                <w:color w:val="000000"/>
                <w:sz w:val="16"/>
                <w:lang w:eastAsia="fr-FR"/>
              </w:rPr>
            </w:pPr>
            <w:r>
              <w:rPr>
                <w:color w:val="000000"/>
                <w:sz w:val="16"/>
              </w:rPr>
              <w:t>-0.0%</w:t>
            </w:r>
          </w:p>
        </w:tc>
      </w:tr>
      <w:tr w:rsidR="00C963C5" w14:paraId="01435396" w14:textId="77777777" w:rsidTr="00C963C5">
        <w:trPr>
          <w:trHeight w:val="283"/>
        </w:trPr>
        <w:tc>
          <w:tcPr>
            <w:tcW w:w="695" w:type="pct"/>
            <w:noWrap/>
            <w:vAlign w:val="center"/>
            <w:hideMark/>
          </w:tcPr>
          <w:p w14:paraId="7D800B6A"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2016</w:t>
            </w:r>
          </w:p>
        </w:tc>
        <w:tc>
          <w:tcPr>
            <w:tcW w:w="754" w:type="pct"/>
            <w:noWrap/>
            <w:vAlign w:val="center"/>
            <w:hideMark/>
          </w:tcPr>
          <w:p w14:paraId="3442F019" w14:textId="77777777" w:rsidR="00C963C5" w:rsidRDefault="00C963C5">
            <w:pPr>
              <w:keepNext/>
              <w:spacing w:line="276" w:lineRule="auto"/>
              <w:jc w:val="right"/>
              <w:rPr>
                <w:rFonts w:eastAsia="Times New Roman"/>
                <w:color w:val="000000"/>
                <w:sz w:val="16"/>
                <w:lang w:eastAsia="fr-FR"/>
              </w:rPr>
            </w:pPr>
            <w:r>
              <w:rPr>
                <w:color w:val="000000"/>
                <w:sz w:val="16"/>
              </w:rPr>
              <w:t>52,697</w:t>
            </w:r>
          </w:p>
        </w:tc>
        <w:tc>
          <w:tcPr>
            <w:tcW w:w="557" w:type="pct"/>
            <w:noWrap/>
            <w:vAlign w:val="center"/>
            <w:hideMark/>
          </w:tcPr>
          <w:p w14:paraId="0701BC0A" w14:textId="77777777" w:rsidR="00C963C5" w:rsidRDefault="00C963C5">
            <w:pPr>
              <w:keepNext/>
              <w:spacing w:line="276" w:lineRule="auto"/>
              <w:jc w:val="right"/>
              <w:rPr>
                <w:rFonts w:eastAsia="Times New Roman"/>
                <w:color w:val="000000"/>
                <w:sz w:val="16"/>
                <w:lang w:eastAsia="fr-FR"/>
              </w:rPr>
            </w:pPr>
            <w:r>
              <w:rPr>
                <w:color w:val="000000"/>
                <w:sz w:val="16"/>
              </w:rPr>
              <w:t>340</w:t>
            </w:r>
          </w:p>
        </w:tc>
        <w:tc>
          <w:tcPr>
            <w:tcW w:w="659" w:type="pct"/>
            <w:noWrap/>
            <w:vAlign w:val="center"/>
            <w:hideMark/>
          </w:tcPr>
          <w:p w14:paraId="68976DA6" w14:textId="77777777" w:rsidR="00C963C5" w:rsidRDefault="00C963C5">
            <w:pPr>
              <w:keepNext/>
              <w:spacing w:line="276" w:lineRule="auto"/>
              <w:jc w:val="right"/>
              <w:rPr>
                <w:rFonts w:eastAsia="Times New Roman"/>
                <w:color w:val="000000"/>
                <w:sz w:val="16"/>
                <w:lang w:eastAsia="fr-FR"/>
              </w:rPr>
            </w:pPr>
            <w:r>
              <w:rPr>
                <w:color w:val="FF0000"/>
                <w:sz w:val="16"/>
              </w:rPr>
              <w:t>-768</w:t>
            </w:r>
          </w:p>
        </w:tc>
        <w:tc>
          <w:tcPr>
            <w:tcW w:w="699" w:type="pct"/>
            <w:noWrap/>
            <w:vAlign w:val="center"/>
            <w:hideMark/>
          </w:tcPr>
          <w:p w14:paraId="145664FB" w14:textId="77777777" w:rsidR="00C963C5" w:rsidRDefault="00C963C5">
            <w:pPr>
              <w:keepNext/>
              <w:spacing w:line="276" w:lineRule="auto"/>
              <w:jc w:val="right"/>
              <w:rPr>
                <w:rFonts w:eastAsia="Times New Roman"/>
                <w:color w:val="000000"/>
                <w:sz w:val="16"/>
                <w:lang w:eastAsia="fr-FR"/>
              </w:rPr>
            </w:pPr>
            <w:r>
              <w:rPr>
                <w:color w:val="FF0000"/>
                <w:sz w:val="16"/>
              </w:rPr>
              <w:t>-428</w:t>
            </w:r>
          </w:p>
        </w:tc>
        <w:tc>
          <w:tcPr>
            <w:tcW w:w="926" w:type="pct"/>
            <w:noWrap/>
            <w:vAlign w:val="center"/>
            <w:hideMark/>
          </w:tcPr>
          <w:p w14:paraId="516CA555" w14:textId="77777777" w:rsidR="00C963C5" w:rsidRDefault="00C963C5">
            <w:pPr>
              <w:keepNext/>
              <w:spacing w:line="276" w:lineRule="auto"/>
              <w:jc w:val="right"/>
              <w:rPr>
                <w:rFonts w:eastAsia="Times New Roman"/>
                <w:color w:val="000000"/>
                <w:sz w:val="16"/>
                <w:lang w:eastAsia="fr-FR"/>
              </w:rPr>
            </w:pPr>
            <w:r>
              <w:rPr>
                <w:color w:val="000000"/>
                <w:sz w:val="16"/>
              </w:rPr>
              <w:t>653,411</w:t>
            </w:r>
          </w:p>
        </w:tc>
        <w:tc>
          <w:tcPr>
            <w:tcW w:w="710" w:type="pct"/>
            <w:noWrap/>
            <w:vAlign w:val="center"/>
            <w:hideMark/>
          </w:tcPr>
          <w:p w14:paraId="500F97E7" w14:textId="77777777" w:rsidR="00C963C5" w:rsidRDefault="00C963C5">
            <w:pPr>
              <w:keepNext/>
              <w:spacing w:line="276" w:lineRule="auto"/>
              <w:jc w:val="right"/>
              <w:rPr>
                <w:rFonts w:eastAsia="Times New Roman"/>
                <w:color w:val="000000"/>
                <w:sz w:val="16"/>
                <w:lang w:eastAsia="fr-FR"/>
              </w:rPr>
            </w:pPr>
            <w:r>
              <w:rPr>
                <w:color w:val="000000"/>
                <w:sz w:val="16"/>
              </w:rPr>
              <w:t>-0.1%</w:t>
            </w:r>
          </w:p>
        </w:tc>
      </w:tr>
      <w:tr w:rsidR="00C963C5" w14:paraId="318D53EC" w14:textId="77777777" w:rsidTr="00C963C5">
        <w:trPr>
          <w:trHeight w:val="283"/>
        </w:trPr>
        <w:tc>
          <w:tcPr>
            <w:tcW w:w="695" w:type="pct"/>
            <w:shd w:val="clear" w:color="auto" w:fill="BDD7EE"/>
            <w:noWrap/>
            <w:vAlign w:val="center"/>
            <w:hideMark/>
          </w:tcPr>
          <w:p w14:paraId="0EEA4CBB"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2017</w:t>
            </w:r>
          </w:p>
        </w:tc>
        <w:tc>
          <w:tcPr>
            <w:tcW w:w="754" w:type="pct"/>
            <w:shd w:val="clear" w:color="auto" w:fill="BDD7EE"/>
            <w:noWrap/>
            <w:vAlign w:val="center"/>
            <w:hideMark/>
          </w:tcPr>
          <w:p w14:paraId="4D8E4DFE" w14:textId="77777777" w:rsidR="00C963C5" w:rsidRDefault="00C963C5">
            <w:pPr>
              <w:spacing w:line="276" w:lineRule="auto"/>
              <w:jc w:val="right"/>
              <w:rPr>
                <w:rFonts w:eastAsia="Times New Roman"/>
                <w:color w:val="000000"/>
                <w:sz w:val="16"/>
                <w:lang w:eastAsia="fr-FR"/>
              </w:rPr>
            </w:pPr>
            <w:r>
              <w:rPr>
                <w:color w:val="000000"/>
                <w:sz w:val="16"/>
              </w:rPr>
              <w:t>58,907</w:t>
            </w:r>
          </w:p>
        </w:tc>
        <w:tc>
          <w:tcPr>
            <w:tcW w:w="557" w:type="pct"/>
            <w:shd w:val="clear" w:color="auto" w:fill="BDD7EE"/>
            <w:noWrap/>
            <w:vAlign w:val="center"/>
            <w:hideMark/>
          </w:tcPr>
          <w:p w14:paraId="6752E71E" w14:textId="77777777" w:rsidR="00C963C5" w:rsidRDefault="00C963C5">
            <w:pPr>
              <w:keepNext/>
              <w:spacing w:line="276" w:lineRule="auto"/>
              <w:jc w:val="right"/>
              <w:rPr>
                <w:rFonts w:eastAsia="Times New Roman"/>
                <w:color w:val="000000"/>
                <w:sz w:val="16"/>
                <w:lang w:eastAsia="fr-FR"/>
              </w:rPr>
            </w:pPr>
            <w:r>
              <w:rPr>
                <w:color w:val="000000"/>
                <w:sz w:val="16"/>
              </w:rPr>
              <w:t>1,760</w:t>
            </w:r>
          </w:p>
        </w:tc>
        <w:tc>
          <w:tcPr>
            <w:tcW w:w="659" w:type="pct"/>
            <w:shd w:val="clear" w:color="auto" w:fill="BDD7EE"/>
            <w:noWrap/>
            <w:vAlign w:val="center"/>
            <w:hideMark/>
          </w:tcPr>
          <w:p w14:paraId="72796A53" w14:textId="77777777" w:rsidR="00C963C5" w:rsidRDefault="00C963C5">
            <w:pPr>
              <w:keepNext/>
              <w:spacing w:line="276" w:lineRule="auto"/>
              <w:jc w:val="right"/>
              <w:rPr>
                <w:rFonts w:eastAsia="Times New Roman"/>
                <w:color w:val="000000"/>
                <w:sz w:val="16"/>
                <w:lang w:eastAsia="fr-FR"/>
              </w:rPr>
            </w:pPr>
            <w:r>
              <w:rPr>
                <w:color w:val="FF0000"/>
                <w:sz w:val="16"/>
              </w:rPr>
              <w:t>-634</w:t>
            </w:r>
          </w:p>
        </w:tc>
        <w:tc>
          <w:tcPr>
            <w:tcW w:w="699" w:type="pct"/>
            <w:shd w:val="clear" w:color="auto" w:fill="BDD7EE"/>
            <w:noWrap/>
            <w:vAlign w:val="center"/>
            <w:hideMark/>
          </w:tcPr>
          <w:p w14:paraId="36F0D8BB" w14:textId="77777777" w:rsidR="00C963C5" w:rsidRDefault="00C963C5">
            <w:pPr>
              <w:keepNext/>
              <w:spacing w:line="276" w:lineRule="auto"/>
              <w:jc w:val="right"/>
              <w:rPr>
                <w:rFonts w:eastAsia="Times New Roman"/>
                <w:color w:val="000000"/>
                <w:sz w:val="16"/>
                <w:lang w:eastAsia="fr-FR"/>
              </w:rPr>
            </w:pPr>
            <w:r>
              <w:rPr>
                <w:color w:val="000000"/>
                <w:sz w:val="16"/>
              </w:rPr>
              <w:t>1,126</w:t>
            </w:r>
          </w:p>
        </w:tc>
        <w:tc>
          <w:tcPr>
            <w:tcW w:w="926" w:type="pct"/>
            <w:shd w:val="clear" w:color="auto" w:fill="BDD7EE"/>
            <w:noWrap/>
            <w:vAlign w:val="center"/>
            <w:hideMark/>
          </w:tcPr>
          <w:p w14:paraId="50B74B09" w14:textId="77777777" w:rsidR="00C963C5" w:rsidRDefault="00C963C5">
            <w:pPr>
              <w:keepNext/>
              <w:spacing w:line="276" w:lineRule="auto"/>
              <w:jc w:val="right"/>
              <w:rPr>
                <w:rFonts w:eastAsia="Times New Roman"/>
                <w:color w:val="000000"/>
                <w:sz w:val="16"/>
                <w:lang w:eastAsia="fr-FR"/>
              </w:rPr>
            </w:pPr>
            <w:r>
              <w:rPr>
                <w:color w:val="000000"/>
                <w:sz w:val="16"/>
              </w:rPr>
              <w:t>691,467</w:t>
            </w:r>
          </w:p>
        </w:tc>
        <w:tc>
          <w:tcPr>
            <w:tcW w:w="710" w:type="pct"/>
            <w:shd w:val="clear" w:color="auto" w:fill="BDD7EE"/>
            <w:noWrap/>
            <w:vAlign w:val="center"/>
            <w:hideMark/>
          </w:tcPr>
          <w:p w14:paraId="22C66E97" w14:textId="77777777" w:rsidR="00C963C5" w:rsidRDefault="00C963C5">
            <w:pPr>
              <w:keepNext/>
              <w:spacing w:line="276" w:lineRule="auto"/>
              <w:jc w:val="right"/>
              <w:rPr>
                <w:rFonts w:eastAsia="Times New Roman"/>
                <w:color w:val="000000"/>
                <w:sz w:val="16"/>
                <w:lang w:eastAsia="fr-FR"/>
              </w:rPr>
            </w:pPr>
            <w:r>
              <w:rPr>
                <w:color w:val="000000"/>
                <w:sz w:val="16"/>
              </w:rPr>
              <w:t>0.2%</w:t>
            </w:r>
          </w:p>
        </w:tc>
      </w:tr>
      <w:tr w:rsidR="00C963C5" w14:paraId="4F449C9E" w14:textId="77777777" w:rsidTr="00C963C5">
        <w:trPr>
          <w:trHeight w:val="283"/>
        </w:trPr>
        <w:tc>
          <w:tcPr>
            <w:tcW w:w="5000" w:type="pct"/>
            <w:gridSpan w:val="7"/>
            <w:shd w:val="clear" w:color="auto" w:fill="BFBFBF"/>
            <w:vAlign w:val="center"/>
            <w:hideMark/>
          </w:tcPr>
          <w:p w14:paraId="15D96000" w14:textId="77777777" w:rsidR="00C963C5" w:rsidRDefault="00C963C5">
            <w:pPr>
              <w:keepNext/>
              <w:spacing w:line="276" w:lineRule="auto"/>
              <w:rPr>
                <w:rFonts w:eastAsia="Times New Roman"/>
                <w:b/>
                <w:bCs/>
                <w:color w:val="000000"/>
                <w:sz w:val="16"/>
                <w:lang w:eastAsia="fr-FR"/>
              </w:rPr>
            </w:pPr>
            <w:r>
              <w:rPr>
                <w:rFonts w:eastAsia="Times New Roman"/>
                <w:b/>
                <w:bCs/>
                <w:color w:val="000000"/>
                <w:sz w:val="16"/>
                <w:lang w:eastAsia="fr-FR"/>
              </w:rPr>
              <w:t>Financial Year (April–March)</w:t>
            </w:r>
          </w:p>
        </w:tc>
      </w:tr>
      <w:tr w:rsidR="00C963C5" w14:paraId="4C49F77C" w14:textId="77777777" w:rsidTr="00C963C5">
        <w:trPr>
          <w:trHeight w:val="283"/>
        </w:trPr>
        <w:tc>
          <w:tcPr>
            <w:tcW w:w="695" w:type="pct"/>
            <w:shd w:val="clear" w:color="auto" w:fill="BDD7EE"/>
            <w:noWrap/>
            <w:vAlign w:val="center"/>
            <w:hideMark/>
          </w:tcPr>
          <w:p w14:paraId="16393138"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2013-14</w:t>
            </w:r>
          </w:p>
        </w:tc>
        <w:tc>
          <w:tcPr>
            <w:tcW w:w="754" w:type="pct"/>
            <w:shd w:val="clear" w:color="auto" w:fill="BDD7EE"/>
            <w:noWrap/>
            <w:vAlign w:val="center"/>
            <w:hideMark/>
          </w:tcPr>
          <w:p w14:paraId="2B21E053" w14:textId="77777777" w:rsidR="00C963C5" w:rsidRDefault="00C963C5">
            <w:pPr>
              <w:keepNext/>
              <w:spacing w:line="276" w:lineRule="auto"/>
              <w:jc w:val="right"/>
              <w:rPr>
                <w:rFonts w:eastAsia="Times New Roman"/>
                <w:color w:val="000000"/>
                <w:sz w:val="16"/>
                <w:lang w:eastAsia="fr-FR"/>
              </w:rPr>
            </w:pPr>
            <w:r>
              <w:rPr>
                <w:color w:val="000000"/>
                <w:sz w:val="16"/>
              </w:rPr>
              <w:t>44,952</w:t>
            </w:r>
          </w:p>
        </w:tc>
        <w:tc>
          <w:tcPr>
            <w:tcW w:w="557" w:type="pct"/>
            <w:shd w:val="clear" w:color="auto" w:fill="BDD7EE"/>
            <w:noWrap/>
            <w:vAlign w:val="center"/>
            <w:hideMark/>
          </w:tcPr>
          <w:p w14:paraId="4DA7A5B8" w14:textId="77777777" w:rsidR="00C963C5" w:rsidRDefault="00C963C5">
            <w:pPr>
              <w:keepNext/>
              <w:spacing w:line="276" w:lineRule="auto"/>
              <w:jc w:val="right"/>
              <w:rPr>
                <w:rFonts w:eastAsia="Times New Roman"/>
                <w:color w:val="000000"/>
                <w:sz w:val="16"/>
                <w:lang w:eastAsia="fr-FR"/>
              </w:rPr>
            </w:pPr>
            <w:r>
              <w:rPr>
                <w:color w:val="000000"/>
                <w:sz w:val="16"/>
              </w:rPr>
              <w:t>3,310</w:t>
            </w:r>
          </w:p>
        </w:tc>
        <w:tc>
          <w:tcPr>
            <w:tcW w:w="659" w:type="pct"/>
            <w:shd w:val="clear" w:color="auto" w:fill="BDD7EE"/>
            <w:noWrap/>
            <w:vAlign w:val="center"/>
            <w:hideMark/>
          </w:tcPr>
          <w:p w14:paraId="338D6E51" w14:textId="77777777" w:rsidR="00C963C5" w:rsidRDefault="00C963C5">
            <w:pPr>
              <w:keepNext/>
              <w:spacing w:line="276" w:lineRule="auto"/>
              <w:jc w:val="right"/>
              <w:rPr>
                <w:rFonts w:eastAsia="Times New Roman"/>
                <w:color w:val="000000"/>
                <w:sz w:val="16"/>
                <w:lang w:eastAsia="fr-FR"/>
              </w:rPr>
            </w:pPr>
            <w:r>
              <w:rPr>
                <w:color w:val="000000"/>
                <w:sz w:val="16"/>
              </w:rPr>
              <w:t>1,118</w:t>
            </w:r>
          </w:p>
        </w:tc>
        <w:tc>
          <w:tcPr>
            <w:tcW w:w="699" w:type="pct"/>
            <w:shd w:val="clear" w:color="auto" w:fill="BDD7EE"/>
            <w:noWrap/>
            <w:vAlign w:val="center"/>
            <w:hideMark/>
          </w:tcPr>
          <w:p w14:paraId="53CDF789" w14:textId="77777777" w:rsidR="00C963C5" w:rsidRDefault="00C963C5">
            <w:pPr>
              <w:keepNext/>
              <w:spacing w:line="276" w:lineRule="auto"/>
              <w:jc w:val="right"/>
              <w:rPr>
                <w:rFonts w:eastAsia="Times New Roman"/>
                <w:color w:val="000000"/>
                <w:sz w:val="16"/>
                <w:lang w:eastAsia="fr-FR"/>
              </w:rPr>
            </w:pPr>
            <w:r>
              <w:rPr>
                <w:color w:val="000000"/>
                <w:sz w:val="16"/>
              </w:rPr>
              <w:t>4,428</w:t>
            </w:r>
          </w:p>
        </w:tc>
        <w:tc>
          <w:tcPr>
            <w:tcW w:w="926" w:type="pct"/>
            <w:shd w:val="clear" w:color="auto" w:fill="BDD7EE"/>
            <w:noWrap/>
            <w:vAlign w:val="center"/>
            <w:hideMark/>
          </w:tcPr>
          <w:p w14:paraId="1F9E2201" w14:textId="77777777" w:rsidR="00C963C5" w:rsidRDefault="00C963C5">
            <w:pPr>
              <w:keepNext/>
              <w:spacing w:line="276" w:lineRule="auto"/>
              <w:jc w:val="right"/>
              <w:rPr>
                <w:rFonts w:eastAsia="Times New Roman"/>
                <w:color w:val="000000"/>
                <w:sz w:val="16"/>
                <w:lang w:eastAsia="fr-FR"/>
              </w:rPr>
            </w:pPr>
            <w:r>
              <w:rPr>
                <w:color w:val="000000"/>
                <w:sz w:val="16"/>
              </w:rPr>
              <w:t>580,796</w:t>
            </w:r>
          </w:p>
        </w:tc>
        <w:tc>
          <w:tcPr>
            <w:tcW w:w="710" w:type="pct"/>
            <w:shd w:val="clear" w:color="auto" w:fill="BDD7EE"/>
            <w:noWrap/>
            <w:vAlign w:val="center"/>
            <w:hideMark/>
          </w:tcPr>
          <w:p w14:paraId="108B5509" w14:textId="77777777" w:rsidR="00C963C5" w:rsidRDefault="00C963C5">
            <w:pPr>
              <w:keepNext/>
              <w:spacing w:line="276" w:lineRule="auto"/>
              <w:jc w:val="right"/>
              <w:rPr>
                <w:rFonts w:eastAsia="Times New Roman"/>
                <w:color w:val="000000"/>
                <w:sz w:val="16"/>
                <w:lang w:eastAsia="fr-FR"/>
              </w:rPr>
            </w:pPr>
            <w:r>
              <w:rPr>
                <w:color w:val="000000"/>
                <w:sz w:val="16"/>
              </w:rPr>
              <w:t>0.8%</w:t>
            </w:r>
          </w:p>
        </w:tc>
      </w:tr>
      <w:tr w:rsidR="00C963C5" w14:paraId="7DF7D1FF" w14:textId="77777777" w:rsidTr="00C963C5">
        <w:trPr>
          <w:trHeight w:val="283"/>
        </w:trPr>
        <w:tc>
          <w:tcPr>
            <w:tcW w:w="695" w:type="pct"/>
            <w:noWrap/>
            <w:vAlign w:val="center"/>
            <w:hideMark/>
          </w:tcPr>
          <w:p w14:paraId="4CA8393F"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2014-15</w:t>
            </w:r>
          </w:p>
        </w:tc>
        <w:tc>
          <w:tcPr>
            <w:tcW w:w="754" w:type="pct"/>
            <w:noWrap/>
            <w:vAlign w:val="center"/>
            <w:hideMark/>
          </w:tcPr>
          <w:p w14:paraId="6CA9009F" w14:textId="77777777" w:rsidR="00C963C5" w:rsidRDefault="00C963C5">
            <w:pPr>
              <w:keepNext/>
              <w:spacing w:line="276" w:lineRule="auto"/>
              <w:jc w:val="right"/>
              <w:rPr>
                <w:rFonts w:eastAsia="Times New Roman"/>
                <w:color w:val="000000"/>
                <w:sz w:val="16"/>
                <w:lang w:eastAsia="fr-FR"/>
              </w:rPr>
            </w:pPr>
            <w:r>
              <w:rPr>
                <w:color w:val="000000"/>
                <w:sz w:val="16"/>
              </w:rPr>
              <w:t>45,611</w:t>
            </w:r>
          </w:p>
        </w:tc>
        <w:tc>
          <w:tcPr>
            <w:tcW w:w="557" w:type="pct"/>
            <w:noWrap/>
            <w:vAlign w:val="center"/>
            <w:hideMark/>
          </w:tcPr>
          <w:p w14:paraId="2A89D2B1" w14:textId="77777777" w:rsidR="00C963C5" w:rsidRDefault="00C963C5">
            <w:pPr>
              <w:keepNext/>
              <w:spacing w:line="276" w:lineRule="auto"/>
              <w:jc w:val="right"/>
              <w:rPr>
                <w:rFonts w:eastAsia="Times New Roman"/>
                <w:color w:val="000000"/>
                <w:sz w:val="16"/>
                <w:lang w:eastAsia="fr-FR"/>
              </w:rPr>
            </w:pPr>
            <w:r>
              <w:rPr>
                <w:color w:val="000000"/>
                <w:sz w:val="16"/>
              </w:rPr>
              <w:t>1,544</w:t>
            </w:r>
          </w:p>
        </w:tc>
        <w:tc>
          <w:tcPr>
            <w:tcW w:w="659" w:type="pct"/>
            <w:noWrap/>
            <w:vAlign w:val="center"/>
            <w:hideMark/>
          </w:tcPr>
          <w:p w14:paraId="04649EC1" w14:textId="77777777" w:rsidR="00C963C5" w:rsidRDefault="00C963C5">
            <w:pPr>
              <w:keepNext/>
              <w:spacing w:line="276" w:lineRule="auto"/>
              <w:jc w:val="right"/>
              <w:rPr>
                <w:rFonts w:eastAsia="Times New Roman"/>
                <w:color w:val="000000"/>
                <w:sz w:val="16"/>
                <w:lang w:eastAsia="fr-FR"/>
              </w:rPr>
            </w:pPr>
            <w:r>
              <w:rPr>
                <w:color w:val="000000"/>
                <w:sz w:val="16"/>
              </w:rPr>
              <w:t>77</w:t>
            </w:r>
          </w:p>
        </w:tc>
        <w:tc>
          <w:tcPr>
            <w:tcW w:w="699" w:type="pct"/>
            <w:noWrap/>
            <w:vAlign w:val="center"/>
            <w:hideMark/>
          </w:tcPr>
          <w:p w14:paraId="232B0C69" w14:textId="77777777" w:rsidR="00C963C5" w:rsidRDefault="00C963C5">
            <w:pPr>
              <w:keepNext/>
              <w:spacing w:line="276" w:lineRule="auto"/>
              <w:jc w:val="right"/>
              <w:rPr>
                <w:rFonts w:eastAsia="Times New Roman"/>
                <w:color w:val="000000"/>
                <w:sz w:val="16"/>
                <w:lang w:eastAsia="fr-FR"/>
              </w:rPr>
            </w:pPr>
            <w:r>
              <w:rPr>
                <w:color w:val="000000"/>
                <w:sz w:val="16"/>
              </w:rPr>
              <w:t>1,621</w:t>
            </w:r>
          </w:p>
        </w:tc>
        <w:tc>
          <w:tcPr>
            <w:tcW w:w="926" w:type="pct"/>
            <w:noWrap/>
            <w:vAlign w:val="center"/>
            <w:hideMark/>
          </w:tcPr>
          <w:p w14:paraId="4587D7C2" w14:textId="77777777" w:rsidR="00C963C5" w:rsidRDefault="00C963C5">
            <w:pPr>
              <w:keepNext/>
              <w:spacing w:line="276" w:lineRule="auto"/>
              <w:jc w:val="right"/>
              <w:rPr>
                <w:rFonts w:eastAsia="Times New Roman"/>
                <w:color w:val="000000"/>
                <w:sz w:val="16"/>
                <w:lang w:eastAsia="fr-FR"/>
              </w:rPr>
            </w:pPr>
            <w:r>
              <w:rPr>
                <w:color w:val="000000"/>
                <w:sz w:val="16"/>
              </w:rPr>
              <w:t>601,950</w:t>
            </w:r>
          </w:p>
        </w:tc>
        <w:tc>
          <w:tcPr>
            <w:tcW w:w="710" w:type="pct"/>
            <w:noWrap/>
            <w:vAlign w:val="center"/>
            <w:hideMark/>
          </w:tcPr>
          <w:p w14:paraId="076D0F7D" w14:textId="77777777" w:rsidR="00C963C5" w:rsidRDefault="00C963C5">
            <w:pPr>
              <w:keepNext/>
              <w:spacing w:line="276" w:lineRule="auto"/>
              <w:jc w:val="right"/>
              <w:rPr>
                <w:rFonts w:eastAsia="Times New Roman"/>
                <w:color w:val="000000"/>
                <w:sz w:val="16"/>
                <w:lang w:eastAsia="fr-FR"/>
              </w:rPr>
            </w:pPr>
            <w:r>
              <w:rPr>
                <w:color w:val="000000"/>
                <w:sz w:val="16"/>
              </w:rPr>
              <w:t>0.3%</w:t>
            </w:r>
          </w:p>
        </w:tc>
      </w:tr>
      <w:tr w:rsidR="00C963C5" w14:paraId="1BAD8F5C" w14:textId="77777777" w:rsidTr="00C963C5">
        <w:trPr>
          <w:trHeight w:val="283"/>
        </w:trPr>
        <w:tc>
          <w:tcPr>
            <w:tcW w:w="695" w:type="pct"/>
            <w:shd w:val="clear" w:color="auto" w:fill="BDD7EE"/>
            <w:noWrap/>
            <w:vAlign w:val="center"/>
            <w:hideMark/>
          </w:tcPr>
          <w:p w14:paraId="27402E8E"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2015-16</w:t>
            </w:r>
          </w:p>
        </w:tc>
        <w:tc>
          <w:tcPr>
            <w:tcW w:w="754" w:type="pct"/>
            <w:shd w:val="clear" w:color="auto" w:fill="BDD7EE"/>
            <w:noWrap/>
            <w:vAlign w:val="center"/>
            <w:hideMark/>
          </w:tcPr>
          <w:p w14:paraId="6446CE6F" w14:textId="77777777" w:rsidR="00C963C5" w:rsidRDefault="00C963C5">
            <w:pPr>
              <w:keepNext/>
              <w:spacing w:line="276" w:lineRule="auto"/>
              <w:jc w:val="right"/>
              <w:rPr>
                <w:rFonts w:eastAsia="Times New Roman"/>
                <w:color w:val="000000"/>
                <w:sz w:val="16"/>
                <w:lang w:eastAsia="fr-FR"/>
              </w:rPr>
            </w:pPr>
            <w:r>
              <w:rPr>
                <w:color w:val="000000"/>
                <w:sz w:val="16"/>
              </w:rPr>
              <w:t>46,003</w:t>
            </w:r>
          </w:p>
        </w:tc>
        <w:tc>
          <w:tcPr>
            <w:tcW w:w="557" w:type="pct"/>
            <w:shd w:val="clear" w:color="auto" w:fill="BDD7EE"/>
            <w:noWrap/>
            <w:vAlign w:val="center"/>
            <w:hideMark/>
          </w:tcPr>
          <w:p w14:paraId="0B6A51CB" w14:textId="77777777" w:rsidR="00C963C5" w:rsidRDefault="00C963C5">
            <w:pPr>
              <w:keepNext/>
              <w:spacing w:line="276" w:lineRule="auto"/>
              <w:jc w:val="right"/>
              <w:rPr>
                <w:rFonts w:eastAsia="Times New Roman"/>
                <w:color w:val="000000"/>
                <w:sz w:val="16"/>
                <w:lang w:eastAsia="fr-FR"/>
              </w:rPr>
            </w:pPr>
            <w:r>
              <w:rPr>
                <w:color w:val="000000"/>
                <w:sz w:val="16"/>
              </w:rPr>
              <w:t>410</w:t>
            </w:r>
          </w:p>
        </w:tc>
        <w:tc>
          <w:tcPr>
            <w:tcW w:w="659" w:type="pct"/>
            <w:shd w:val="clear" w:color="auto" w:fill="BDD7EE"/>
            <w:noWrap/>
            <w:vAlign w:val="center"/>
            <w:hideMark/>
          </w:tcPr>
          <w:p w14:paraId="08D08794" w14:textId="77777777" w:rsidR="00C963C5" w:rsidRDefault="00C963C5">
            <w:pPr>
              <w:keepNext/>
              <w:spacing w:line="276" w:lineRule="auto"/>
              <w:jc w:val="right"/>
              <w:rPr>
                <w:rFonts w:eastAsia="Times New Roman"/>
                <w:color w:val="000000"/>
                <w:sz w:val="16"/>
                <w:lang w:eastAsia="fr-FR"/>
              </w:rPr>
            </w:pPr>
            <w:r>
              <w:rPr>
                <w:color w:val="FF0000"/>
                <w:sz w:val="16"/>
              </w:rPr>
              <w:t>-562</w:t>
            </w:r>
          </w:p>
        </w:tc>
        <w:tc>
          <w:tcPr>
            <w:tcW w:w="699" w:type="pct"/>
            <w:shd w:val="clear" w:color="auto" w:fill="BDD7EE"/>
            <w:noWrap/>
            <w:vAlign w:val="center"/>
            <w:hideMark/>
          </w:tcPr>
          <w:p w14:paraId="42EE0066" w14:textId="77777777" w:rsidR="00C963C5" w:rsidRDefault="00C963C5">
            <w:pPr>
              <w:keepNext/>
              <w:spacing w:line="276" w:lineRule="auto"/>
              <w:jc w:val="right"/>
              <w:rPr>
                <w:rFonts w:eastAsia="Times New Roman"/>
                <w:color w:val="000000"/>
                <w:sz w:val="16"/>
                <w:lang w:eastAsia="fr-FR"/>
              </w:rPr>
            </w:pPr>
            <w:r>
              <w:rPr>
                <w:color w:val="FF0000"/>
                <w:sz w:val="16"/>
              </w:rPr>
              <w:t>-152</w:t>
            </w:r>
          </w:p>
        </w:tc>
        <w:tc>
          <w:tcPr>
            <w:tcW w:w="926" w:type="pct"/>
            <w:shd w:val="clear" w:color="auto" w:fill="BDD7EE"/>
            <w:noWrap/>
            <w:vAlign w:val="center"/>
            <w:hideMark/>
          </w:tcPr>
          <w:p w14:paraId="3F921568" w14:textId="77777777" w:rsidR="00C963C5" w:rsidRDefault="00C963C5">
            <w:pPr>
              <w:keepNext/>
              <w:spacing w:line="276" w:lineRule="auto"/>
              <w:jc w:val="right"/>
              <w:rPr>
                <w:rFonts w:eastAsia="Times New Roman"/>
                <w:color w:val="000000"/>
                <w:sz w:val="16"/>
                <w:lang w:eastAsia="fr-FR"/>
              </w:rPr>
            </w:pPr>
            <w:r>
              <w:rPr>
                <w:color w:val="000000"/>
                <w:sz w:val="16"/>
              </w:rPr>
              <w:t>625,347</w:t>
            </w:r>
          </w:p>
        </w:tc>
        <w:tc>
          <w:tcPr>
            <w:tcW w:w="710" w:type="pct"/>
            <w:shd w:val="clear" w:color="auto" w:fill="BDD7EE"/>
            <w:noWrap/>
            <w:vAlign w:val="center"/>
            <w:hideMark/>
          </w:tcPr>
          <w:p w14:paraId="624C1424" w14:textId="77777777" w:rsidR="00C963C5" w:rsidRDefault="00C963C5">
            <w:pPr>
              <w:keepNext/>
              <w:spacing w:line="276" w:lineRule="auto"/>
              <w:jc w:val="right"/>
              <w:rPr>
                <w:rFonts w:eastAsia="Times New Roman"/>
                <w:color w:val="000000"/>
                <w:sz w:val="16"/>
                <w:lang w:eastAsia="fr-FR"/>
              </w:rPr>
            </w:pPr>
            <w:r>
              <w:rPr>
                <w:color w:val="000000"/>
                <w:sz w:val="16"/>
              </w:rPr>
              <w:t>-0.0%</w:t>
            </w:r>
          </w:p>
        </w:tc>
      </w:tr>
      <w:tr w:rsidR="00C963C5" w14:paraId="53E98EE0" w14:textId="77777777" w:rsidTr="00C963C5">
        <w:trPr>
          <w:trHeight w:val="283"/>
        </w:trPr>
        <w:tc>
          <w:tcPr>
            <w:tcW w:w="695" w:type="pct"/>
            <w:noWrap/>
            <w:vAlign w:val="center"/>
            <w:hideMark/>
          </w:tcPr>
          <w:p w14:paraId="6C616D93"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2016-17</w:t>
            </w:r>
          </w:p>
        </w:tc>
        <w:tc>
          <w:tcPr>
            <w:tcW w:w="754" w:type="pct"/>
            <w:noWrap/>
            <w:vAlign w:val="center"/>
            <w:hideMark/>
          </w:tcPr>
          <w:p w14:paraId="70B5803C" w14:textId="77777777" w:rsidR="00C963C5" w:rsidRDefault="00C963C5">
            <w:pPr>
              <w:keepNext/>
              <w:spacing w:line="276" w:lineRule="auto"/>
              <w:jc w:val="right"/>
              <w:rPr>
                <w:rFonts w:eastAsia="Times New Roman"/>
                <w:color w:val="000000"/>
                <w:sz w:val="16"/>
                <w:lang w:eastAsia="fr-FR"/>
              </w:rPr>
            </w:pPr>
            <w:r>
              <w:rPr>
                <w:color w:val="000000"/>
                <w:sz w:val="16"/>
              </w:rPr>
              <w:t>54,873</w:t>
            </w:r>
          </w:p>
        </w:tc>
        <w:tc>
          <w:tcPr>
            <w:tcW w:w="557" w:type="pct"/>
            <w:noWrap/>
            <w:vAlign w:val="center"/>
            <w:hideMark/>
          </w:tcPr>
          <w:p w14:paraId="7E0563EC" w14:textId="77777777" w:rsidR="00C963C5" w:rsidRDefault="00C963C5">
            <w:pPr>
              <w:keepNext/>
              <w:spacing w:line="276" w:lineRule="auto"/>
              <w:jc w:val="right"/>
              <w:rPr>
                <w:rFonts w:eastAsia="Times New Roman"/>
                <w:color w:val="000000"/>
                <w:sz w:val="16"/>
                <w:lang w:eastAsia="fr-FR"/>
              </w:rPr>
            </w:pPr>
            <w:r>
              <w:rPr>
                <w:color w:val="000000"/>
                <w:sz w:val="16"/>
              </w:rPr>
              <w:t>622</w:t>
            </w:r>
          </w:p>
        </w:tc>
        <w:tc>
          <w:tcPr>
            <w:tcW w:w="659" w:type="pct"/>
            <w:noWrap/>
            <w:vAlign w:val="center"/>
            <w:hideMark/>
          </w:tcPr>
          <w:p w14:paraId="2FD744C1" w14:textId="77777777" w:rsidR="00C963C5" w:rsidRDefault="00C963C5">
            <w:pPr>
              <w:keepNext/>
              <w:spacing w:line="276" w:lineRule="auto"/>
              <w:jc w:val="right"/>
              <w:rPr>
                <w:rFonts w:eastAsia="Times New Roman"/>
                <w:color w:val="000000"/>
                <w:sz w:val="16"/>
                <w:lang w:eastAsia="fr-FR"/>
              </w:rPr>
            </w:pPr>
            <w:r>
              <w:rPr>
                <w:color w:val="FF0000"/>
                <w:sz w:val="16"/>
              </w:rPr>
              <w:t>-653</w:t>
            </w:r>
          </w:p>
        </w:tc>
        <w:tc>
          <w:tcPr>
            <w:tcW w:w="699" w:type="pct"/>
            <w:noWrap/>
            <w:vAlign w:val="center"/>
            <w:hideMark/>
          </w:tcPr>
          <w:p w14:paraId="707568DE" w14:textId="77777777" w:rsidR="00C963C5" w:rsidRDefault="00C963C5">
            <w:pPr>
              <w:keepNext/>
              <w:spacing w:line="276" w:lineRule="auto"/>
              <w:jc w:val="right"/>
              <w:rPr>
                <w:rFonts w:eastAsia="Times New Roman"/>
                <w:color w:val="000000"/>
                <w:sz w:val="16"/>
                <w:lang w:eastAsia="fr-FR"/>
              </w:rPr>
            </w:pPr>
            <w:r>
              <w:rPr>
                <w:color w:val="FF0000"/>
                <w:sz w:val="16"/>
              </w:rPr>
              <w:t>-31</w:t>
            </w:r>
          </w:p>
        </w:tc>
        <w:tc>
          <w:tcPr>
            <w:tcW w:w="926" w:type="pct"/>
            <w:noWrap/>
            <w:vAlign w:val="center"/>
            <w:hideMark/>
          </w:tcPr>
          <w:p w14:paraId="6344F4CC" w14:textId="77777777" w:rsidR="00C963C5" w:rsidRDefault="00C963C5">
            <w:pPr>
              <w:keepNext/>
              <w:spacing w:line="276" w:lineRule="auto"/>
              <w:jc w:val="right"/>
              <w:rPr>
                <w:rFonts w:eastAsia="Times New Roman"/>
                <w:color w:val="000000"/>
                <w:sz w:val="16"/>
                <w:lang w:eastAsia="fr-FR"/>
              </w:rPr>
            </w:pPr>
            <w:r>
              <w:rPr>
                <w:color w:val="000000"/>
                <w:sz w:val="16"/>
              </w:rPr>
              <w:t>667,049</w:t>
            </w:r>
          </w:p>
        </w:tc>
        <w:tc>
          <w:tcPr>
            <w:tcW w:w="710" w:type="pct"/>
            <w:noWrap/>
            <w:vAlign w:val="center"/>
            <w:hideMark/>
          </w:tcPr>
          <w:p w14:paraId="67702287" w14:textId="77777777" w:rsidR="00C963C5" w:rsidRDefault="00C963C5">
            <w:pPr>
              <w:keepNext/>
              <w:spacing w:line="276" w:lineRule="auto"/>
              <w:jc w:val="right"/>
              <w:rPr>
                <w:rFonts w:eastAsia="Times New Roman"/>
                <w:color w:val="000000"/>
                <w:sz w:val="16"/>
                <w:lang w:eastAsia="fr-FR"/>
              </w:rPr>
            </w:pPr>
            <w:r>
              <w:rPr>
                <w:color w:val="000000"/>
                <w:sz w:val="16"/>
              </w:rPr>
              <w:t>-0.0%</w:t>
            </w:r>
          </w:p>
        </w:tc>
      </w:tr>
      <w:tr w:rsidR="00C963C5" w14:paraId="36ED7C3B" w14:textId="77777777" w:rsidTr="00C963C5">
        <w:trPr>
          <w:trHeight w:val="283"/>
        </w:trPr>
        <w:tc>
          <w:tcPr>
            <w:tcW w:w="695" w:type="pct"/>
            <w:shd w:val="clear" w:color="auto" w:fill="BDD7EE"/>
            <w:noWrap/>
            <w:vAlign w:val="center"/>
            <w:hideMark/>
          </w:tcPr>
          <w:p w14:paraId="421B0E8D" w14:textId="77777777" w:rsidR="00C963C5" w:rsidRDefault="00C963C5">
            <w:pPr>
              <w:keepNext/>
              <w:spacing w:line="276" w:lineRule="auto"/>
              <w:jc w:val="center"/>
              <w:rPr>
                <w:rFonts w:eastAsia="Times New Roman"/>
                <w:color w:val="000000"/>
                <w:sz w:val="16"/>
                <w:lang w:eastAsia="fr-FR"/>
              </w:rPr>
            </w:pPr>
            <w:r>
              <w:rPr>
                <w:rFonts w:eastAsia="Times New Roman"/>
                <w:color w:val="000000"/>
                <w:sz w:val="16"/>
                <w:lang w:eastAsia="fr-FR"/>
              </w:rPr>
              <w:t>2017-18</w:t>
            </w:r>
          </w:p>
        </w:tc>
        <w:tc>
          <w:tcPr>
            <w:tcW w:w="754" w:type="pct"/>
            <w:shd w:val="clear" w:color="auto" w:fill="BDD7EE"/>
            <w:noWrap/>
            <w:vAlign w:val="center"/>
            <w:hideMark/>
          </w:tcPr>
          <w:p w14:paraId="230A15A2" w14:textId="77777777" w:rsidR="00C963C5" w:rsidRDefault="00C963C5">
            <w:pPr>
              <w:spacing w:line="276" w:lineRule="auto"/>
              <w:jc w:val="right"/>
              <w:rPr>
                <w:rFonts w:eastAsia="Times New Roman"/>
                <w:color w:val="000000"/>
                <w:sz w:val="16"/>
                <w:lang w:eastAsia="fr-FR"/>
              </w:rPr>
            </w:pPr>
            <w:r>
              <w:rPr>
                <w:color w:val="000000"/>
                <w:sz w:val="16"/>
              </w:rPr>
              <w:t>49,654</w:t>
            </w:r>
          </w:p>
        </w:tc>
        <w:tc>
          <w:tcPr>
            <w:tcW w:w="557" w:type="pct"/>
            <w:shd w:val="clear" w:color="auto" w:fill="BDD7EE"/>
            <w:noWrap/>
            <w:vAlign w:val="center"/>
            <w:hideMark/>
          </w:tcPr>
          <w:p w14:paraId="54ECBC98" w14:textId="77777777" w:rsidR="00C963C5" w:rsidRDefault="00C963C5">
            <w:pPr>
              <w:keepNext/>
              <w:spacing w:line="276" w:lineRule="auto"/>
              <w:jc w:val="right"/>
              <w:rPr>
                <w:rFonts w:eastAsia="Times New Roman"/>
                <w:color w:val="000000"/>
                <w:sz w:val="16"/>
                <w:lang w:eastAsia="fr-FR"/>
              </w:rPr>
            </w:pPr>
            <w:r>
              <w:rPr>
                <w:color w:val="000000"/>
                <w:sz w:val="16"/>
              </w:rPr>
              <w:t>1,529</w:t>
            </w:r>
          </w:p>
        </w:tc>
        <w:tc>
          <w:tcPr>
            <w:tcW w:w="659" w:type="pct"/>
            <w:shd w:val="clear" w:color="auto" w:fill="BDD7EE"/>
            <w:noWrap/>
            <w:vAlign w:val="center"/>
            <w:hideMark/>
          </w:tcPr>
          <w:p w14:paraId="190BFDC5" w14:textId="77777777" w:rsidR="00C963C5" w:rsidRDefault="00C963C5">
            <w:pPr>
              <w:keepNext/>
              <w:spacing w:line="276" w:lineRule="auto"/>
              <w:jc w:val="right"/>
              <w:rPr>
                <w:rFonts w:eastAsia="Times New Roman"/>
                <w:color w:val="000000"/>
                <w:sz w:val="16"/>
                <w:lang w:eastAsia="fr-FR"/>
              </w:rPr>
            </w:pPr>
            <w:r>
              <w:rPr>
                <w:color w:val="FF0000"/>
                <w:sz w:val="16"/>
              </w:rPr>
              <w:t>-501</w:t>
            </w:r>
          </w:p>
        </w:tc>
        <w:tc>
          <w:tcPr>
            <w:tcW w:w="699" w:type="pct"/>
            <w:shd w:val="clear" w:color="auto" w:fill="BDD7EE"/>
            <w:noWrap/>
            <w:vAlign w:val="center"/>
            <w:hideMark/>
          </w:tcPr>
          <w:p w14:paraId="7C132D47" w14:textId="77777777" w:rsidR="00C963C5" w:rsidRDefault="00C963C5">
            <w:pPr>
              <w:keepNext/>
              <w:spacing w:line="276" w:lineRule="auto"/>
              <w:jc w:val="right"/>
              <w:rPr>
                <w:rFonts w:eastAsia="Times New Roman"/>
                <w:color w:val="000000"/>
                <w:sz w:val="16"/>
                <w:lang w:eastAsia="fr-FR"/>
              </w:rPr>
            </w:pPr>
            <w:r>
              <w:rPr>
                <w:color w:val="000000"/>
                <w:sz w:val="16"/>
              </w:rPr>
              <w:t>1,028</w:t>
            </w:r>
          </w:p>
        </w:tc>
        <w:tc>
          <w:tcPr>
            <w:tcW w:w="926" w:type="pct"/>
            <w:shd w:val="clear" w:color="auto" w:fill="BDD7EE"/>
            <w:noWrap/>
            <w:vAlign w:val="center"/>
            <w:hideMark/>
          </w:tcPr>
          <w:p w14:paraId="06BCFE46" w14:textId="77777777" w:rsidR="00C963C5" w:rsidRDefault="00C963C5">
            <w:pPr>
              <w:keepNext/>
              <w:spacing w:line="276" w:lineRule="auto"/>
              <w:jc w:val="right"/>
              <w:rPr>
                <w:rFonts w:eastAsia="Times New Roman"/>
                <w:color w:val="000000"/>
                <w:sz w:val="16"/>
                <w:lang w:eastAsia="fr-FR"/>
              </w:rPr>
            </w:pPr>
            <w:r>
              <w:rPr>
                <w:color w:val="000000"/>
                <w:sz w:val="16"/>
              </w:rPr>
              <w:t>571,839</w:t>
            </w:r>
          </w:p>
        </w:tc>
        <w:tc>
          <w:tcPr>
            <w:tcW w:w="710" w:type="pct"/>
            <w:shd w:val="clear" w:color="auto" w:fill="BDD7EE"/>
            <w:noWrap/>
            <w:vAlign w:val="center"/>
            <w:hideMark/>
          </w:tcPr>
          <w:p w14:paraId="1B73721D" w14:textId="77777777" w:rsidR="00C963C5" w:rsidRDefault="00C963C5">
            <w:pPr>
              <w:keepNext/>
              <w:spacing w:line="276" w:lineRule="auto"/>
              <w:jc w:val="right"/>
              <w:rPr>
                <w:rFonts w:eastAsia="Times New Roman"/>
                <w:color w:val="000000"/>
                <w:sz w:val="16"/>
                <w:lang w:eastAsia="fr-FR"/>
              </w:rPr>
            </w:pPr>
            <w:r>
              <w:rPr>
                <w:color w:val="000000"/>
                <w:sz w:val="16"/>
              </w:rPr>
              <w:t>0.2%</w:t>
            </w:r>
          </w:p>
        </w:tc>
      </w:tr>
      <w:tr w:rsidR="00C963C5" w14:paraId="1F1E0588" w14:textId="77777777" w:rsidTr="00C963C5">
        <w:trPr>
          <w:trHeight w:val="102"/>
        </w:trPr>
        <w:tc>
          <w:tcPr>
            <w:tcW w:w="695" w:type="pct"/>
            <w:noWrap/>
            <w:vAlign w:val="center"/>
            <w:hideMark/>
          </w:tcPr>
          <w:p w14:paraId="4FC3B807" w14:textId="77777777" w:rsidR="00C963C5" w:rsidRDefault="00C963C5">
            <w:pPr>
              <w:rPr>
                <w:rFonts w:eastAsia="Times New Roman"/>
                <w:color w:val="000000"/>
                <w:sz w:val="16"/>
                <w:lang w:eastAsia="fr-FR"/>
              </w:rPr>
            </w:pPr>
          </w:p>
        </w:tc>
        <w:tc>
          <w:tcPr>
            <w:tcW w:w="754" w:type="pct"/>
            <w:noWrap/>
            <w:vAlign w:val="center"/>
            <w:hideMark/>
          </w:tcPr>
          <w:p w14:paraId="2277C128" w14:textId="77777777" w:rsidR="00C963C5" w:rsidRDefault="00C963C5">
            <w:pPr>
              <w:spacing w:line="276" w:lineRule="auto"/>
              <w:rPr>
                <w:sz w:val="20"/>
                <w:szCs w:val="20"/>
                <w:lang w:eastAsia="en-GB"/>
              </w:rPr>
            </w:pPr>
          </w:p>
        </w:tc>
        <w:tc>
          <w:tcPr>
            <w:tcW w:w="557" w:type="pct"/>
            <w:noWrap/>
            <w:vAlign w:val="center"/>
            <w:hideMark/>
          </w:tcPr>
          <w:p w14:paraId="6739E27C" w14:textId="77777777" w:rsidR="00C963C5" w:rsidRDefault="00C963C5">
            <w:pPr>
              <w:spacing w:line="276" w:lineRule="auto"/>
              <w:rPr>
                <w:sz w:val="20"/>
                <w:szCs w:val="20"/>
                <w:lang w:eastAsia="en-GB"/>
              </w:rPr>
            </w:pPr>
          </w:p>
        </w:tc>
        <w:tc>
          <w:tcPr>
            <w:tcW w:w="659" w:type="pct"/>
            <w:noWrap/>
            <w:vAlign w:val="center"/>
            <w:hideMark/>
          </w:tcPr>
          <w:p w14:paraId="32B2AFC6" w14:textId="77777777" w:rsidR="00C963C5" w:rsidRDefault="00C963C5">
            <w:pPr>
              <w:spacing w:line="276" w:lineRule="auto"/>
              <w:rPr>
                <w:sz w:val="20"/>
                <w:szCs w:val="20"/>
                <w:lang w:eastAsia="en-GB"/>
              </w:rPr>
            </w:pPr>
          </w:p>
        </w:tc>
        <w:tc>
          <w:tcPr>
            <w:tcW w:w="699" w:type="pct"/>
            <w:noWrap/>
            <w:vAlign w:val="center"/>
            <w:hideMark/>
          </w:tcPr>
          <w:p w14:paraId="0C0E1B05" w14:textId="77777777" w:rsidR="00C963C5" w:rsidRDefault="00C963C5">
            <w:pPr>
              <w:spacing w:line="276" w:lineRule="auto"/>
              <w:rPr>
                <w:sz w:val="20"/>
                <w:szCs w:val="20"/>
                <w:lang w:eastAsia="en-GB"/>
              </w:rPr>
            </w:pPr>
          </w:p>
        </w:tc>
        <w:tc>
          <w:tcPr>
            <w:tcW w:w="926" w:type="pct"/>
            <w:noWrap/>
            <w:vAlign w:val="center"/>
            <w:hideMark/>
          </w:tcPr>
          <w:p w14:paraId="142F4B5D" w14:textId="77777777" w:rsidR="00C963C5" w:rsidRDefault="00C963C5">
            <w:pPr>
              <w:spacing w:line="276" w:lineRule="auto"/>
              <w:rPr>
                <w:sz w:val="20"/>
                <w:szCs w:val="20"/>
                <w:lang w:eastAsia="en-GB"/>
              </w:rPr>
            </w:pPr>
          </w:p>
        </w:tc>
        <w:tc>
          <w:tcPr>
            <w:tcW w:w="710" w:type="pct"/>
            <w:noWrap/>
            <w:vAlign w:val="center"/>
            <w:hideMark/>
          </w:tcPr>
          <w:p w14:paraId="756AD944" w14:textId="77777777" w:rsidR="00C963C5" w:rsidRDefault="00C963C5">
            <w:pPr>
              <w:spacing w:line="276" w:lineRule="auto"/>
              <w:rPr>
                <w:sz w:val="20"/>
                <w:szCs w:val="20"/>
                <w:lang w:eastAsia="en-GB"/>
              </w:rPr>
            </w:pPr>
          </w:p>
        </w:tc>
      </w:tr>
      <w:tr w:rsidR="00C963C5" w14:paraId="37812652" w14:textId="77777777" w:rsidTr="00C963C5">
        <w:trPr>
          <w:trHeight w:val="499"/>
        </w:trPr>
        <w:tc>
          <w:tcPr>
            <w:tcW w:w="5000" w:type="pct"/>
            <w:gridSpan w:val="7"/>
            <w:vAlign w:val="center"/>
            <w:hideMark/>
          </w:tcPr>
          <w:p w14:paraId="5DC707C0" w14:textId="77777777" w:rsidR="00C963C5" w:rsidRDefault="00C963C5">
            <w:pPr>
              <w:spacing w:line="276" w:lineRule="auto"/>
              <w:rPr>
                <w:rFonts w:eastAsia="Times New Roman"/>
                <w:color w:val="000000"/>
                <w:sz w:val="16"/>
                <w:lang w:eastAsia="fr-FR"/>
              </w:rPr>
            </w:pPr>
            <w:r>
              <w:rPr>
                <w:rFonts w:eastAsia="Times New Roman"/>
                <w:color w:val="000000"/>
                <w:sz w:val="16"/>
                <w:lang w:eastAsia="fr-FR"/>
              </w:rPr>
              <w:t>Source: HM Revenue &amp; Customs (HMRC), Tax Receipts and National Insurance Contributions for the UK, and ONS (Public sector current receipts: Appendix D).</w:t>
            </w:r>
          </w:p>
        </w:tc>
      </w:tr>
    </w:tbl>
    <w:p w14:paraId="70A7DBE5" w14:textId="77777777" w:rsidR="00C963C5" w:rsidRDefault="00C963C5" w:rsidP="00C963C5">
      <w:pPr>
        <w:spacing w:before="180" w:after="180" w:line="276" w:lineRule="auto"/>
        <w:rPr>
          <w:szCs w:val="24"/>
        </w:rPr>
      </w:pPr>
      <w:r>
        <w:rPr>
          <w:szCs w:val="24"/>
        </w:rPr>
        <w:t>In addition to taxation, the extractive sector in the UK pays relatively small amounts to government by way of licence fees and other levies. These payments are summarised later in this report.</w:t>
      </w:r>
    </w:p>
    <w:p w14:paraId="72ABE4A9" w14:textId="0F2FDE1B" w:rsidR="00C963C5" w:rsidRDefault="00C963C5" w:rsidP="00C963C5">
      <w:pPr>
        <w:pStyle w:val="Default"/>
        <w:spacing w:after="180" w:line="276" w:lineRule="auto"/>
        <w:rPr>
          <w:rFonts w:ascii="Arial" w:hAnsi="Arial" w:cs="Arial"/>
        </w:rPr>
      </w:pPr>
      <w:r>
        <w:rPr>
          <w:rFonts w:ascii="Arial" w:hAnsi="Arial" w:cs="Arial"/>
        </w:rPr>
        <w:t xml:space="preserve">The level of government revenues from taxes on production of oil and gas is dependent on rates of taxation and adjusted profitability which is driven by a combination of production volumes, commodity prices and cost levels. Historical data by financial year since 1976/77 on upstream oil and gas taxes, including petroleum licence fees, are shown in constant price terms in Figure </w:t>
      </w:r>
      <w:r w:rsidR="00475692">
        <w:rPr>
          <w:rFonts w:ascii="Arial" w:hAnsi="Arial" w:cs="Arial"/>
        </w:rPr>
        <w:t>6</w:t>
      </w:r>
      <w:r>
        <w:rPr>
          <w:rFonts w:ascii="Arial" w:hAnsi="Arial" w:cs="Arial"/>
        </w:rPr>
        <w:t>.</w:t>
      </w:r>
    </w:p>
    <w:p w14:paraId="47702CFE" w14:textId="3A6877F1" w:rsidR="00C963C5" w:rsidRDefault="00C963C5" w:rsidP="00C963C5">
      <w:pPr>
        <w:pStyle w:val="Caption"/>
        <w:keepNext/>
        <w:outlineLvl w:val="0"/>
        <w:rPr>
          <w:rFonts w:ascii="Arial" w:hAnsi="Arial" w:cs="Arial"/>
          <w:b w:val="0"/>
          <w:bCs/>
          <w:sz w:val="22"/>
          <w:szCs w:val="22"/>
        </w:rPr>
      </w:pPr>
      <w:bookmarkStart w:id="8" w:name="_Toc512547339"/>
      <w:r>
        <w:rPr>
          <w:rFonts w:ascii="Arial" w:hAnsi="Arial" w:cs="Arial"/>
          <w:sz w:val="22"/>
          <w:szCs w:val="22"/>
        </w:rPr>
        <w:t xml:space="preserve">Figure </w:t>
      </w:r>
      <w:r w:rsidR="00475692">
        <w:rPr>
          <w:rFonts w:ascii="Arial" w:hAnsi="Arial" w:cs="Arial"/>
          <w:sz w:val="22"/>
          <w:szCs w:val="22"/>
        </w:rPr>
        <w:t>6</w:t>
      </w:r>
      <w:r>
        <w:rPr>
          <w:rFonts w:ascii="Arial" w:hAnsi="Arial" w:cs="Arial"/>
          <w:sz w:val="22"/>
          <w:szCs w:val="22"/>
        </w:rPr>
        <w:t xml:space="preserve">. </w:t>
      </w:r>
      <w:r>
        <w:rPr>
          <w:rFonts w:ascii="Arial" w:hAnsi="Arial" w:cs="Arial"/>
          <w:bCs/>
          <w:sz w:val="22"/>
          <w:szCs w:val="22"/>
        </w:rPr>
        <w:t>Government Revenues from UK Oil and Gas Production</w:t>
      </w:r>
      <w:r>
        <w:rPr>
          <w:rStyle w:val="FootnoteReference"/>
          <w:rFonts w:ascii="Arial" w:hAnsi="Arial" w:cs="Arial"/>
          <w:b w:val="0"/>
          <w:bCs/>
          <w:sz w:val="22"/>
          <w:szCs w:val="22"/>
        </w:rPr>
        <w:footnoteReference w:id="16"/>
      </w:r>
      <w:bookmarkEnd w:id="8"/>
    </w:p>
    <w:p w14:paraId="357AE105" w14:textId="2E2FCE65" w:rsidR="00C963C5" w:rsidRDefault="00C963C5" w:rsidP="00C963C5">
      <w:pPr>
        <w:pStyle w:val="Default"/>
        <w:spacing w:after="180" w:line="276" w:lineRule="auto"/>
        <w:rPr>
          <w:rFonts w:ascii="Arial" w:hAnsi="Arial" w:cs="Arial"/>
          <w:sz w:val="18"/>
          <w:szCs w:val="22"/>
        </w:rPr>
      </w:pPr>
      <w:r>
        <w:rPr>
          <w:rFonts w:ascii="Arial" w:hAnsi="Arial" w:cs="Arial"/>
          <w:noProof/>
          <w:sz w:val="18"/>
          <w:szCs w:val="22"/>
        </w:rPr>
        <w:drawing>
          <wp:inline distT="0" distB="0" distL="0" distR="0" wp14:anchorId="4B366866" wp14:editId="6E33BBF8">
            <wp:extent cx="5715000" cy="3990975"/>
            <wp:effectExtent l="0" t="0" r="0" b="0"/>
            <wp:docPr id="7" name="Picture 7" descr="Figure 6 shows government revenues from UK oil and gas production in £ billion from 197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p>
    <w:p w14:paraId="46174100" w14:textId="77777777" w:rsidR="00C963C5" w:rsidRDefault="00C963C5" w:rsidP="00C963C5">
      <w:pPr>
        <w:pStyle w:val="Default"/>
        <w:spacing w:after="180" w:line="276" w:lineRule="auto"/>
        <w:rPr>
          <w:rFonts w:ascii="Arial" w:hAnsi="Arial" w:cs="Arial"/>
          <w:sz w:val="18"/>
          <w:szCs w:val="22"/>
        </w:rPr>
      </w:pPr>
      <w:r>
        <w:rPr>
          <w:rFonts w:ascii="Arial" w:hAnsi="Arial" w:cs="Arial"/>
          <w:sz w:val="18"/>
          <w:szCs w:val="22"/>
        </w:rPr>
        <w:t>Source: OGA</w:t>
      </w:r>
    </w:p>
    <w:p w14:paraId="05258215" w14:textId="6A945108" w:rsidR="00C963C5" w:rsidRDefault="00C963C5" w:rsidP="00C963C5">
      <w:pPr>
        <w:pStyle w:val="Default"/>
        <w:spacing w:after="120" w:line="276" w:lineRule="auto"/>
        <w:rPr>
          <w:rFonts w:ascii="Arial" w:hAnsi="Arial" w:cs="Arial"/>
        </w:rPr>
      </w:pPr>
      <w:r>
        <w:rPr>
          <w:rFonts w:ascii="Arial" w:hAnsi="Arial" w:cs="Arial"/>
        </w:rPr>
        <w:t>The overall totals reflect both the combination of RFCT/SC and PRT and of net payments and receipts by individual companies. The overall net repayments reflect the low level of oil (and gas) prices and companies’ varying exposure across their portfolios to the four main phases of upstream activity (exploration, development, production and decommissioning). A few companies paid significant amounts, many paid nothing and some received significant repayments of tax paid in previous years. In future years, with the permanent zero-rating of PRT from the start of 2016, net PRT receipts will be negative, with the carry-back of largely decommissioning-related losses resulting in significant repayments of PRT paid in previous years. The overall totals reflect both the combination of RFCT/SC and PRT and the combination of net payments or receipts by individual companies.</w:t>
      </w:r>
      <w:bookmarkStart w:id="9" w:name="_Hlk502751728"/>
    </w:p>
    <w:p w14:paraId="0AFC1462" w14:textId="77777777" w:rsidR="00C963C5" w:rsidRDefault="00C963C5" w:rsidP="00C963C5">
      <w:pPr>
        <w:pStyle w:val="Default"/>
        <w:keepNext/>
        <w:spacing w:after="120" w:line="276" w:lineRule="auto"/>
        <w:outlineLvl w:val="0"/>
        <w:rPr>
          <w:rFonts w:ascii="Arial" w:hAnsi="Arial" w:cs="Arial"/>
          <w:b/>
          <w:bCs/>
        </w:rPr>
      </w:pPr>
      <w:r>
        <w:rPr>
          <w:rFonts w:ascii="Arial" w:hAnsi="Arial" w:cs="Arial"/>
          <w:b/>
          <w:bCs/>
        </w:rPr>
        <w:t>Differences between reconciled EITI amounts and HMRC statistics</w:t>
      </w:r>
    </w:p>
    <w:p w14:paraId="03A6A249" w14:textId="77777777" w:rsidR="00C963C5" w:rsidRDefault="00C963C5" w:rsidP="00C963C5">
      <w:pPr>
        <w:spacing w:before="180" w:after="180" w:line="276" w:lineRule="auto"/>
        <w:rPr>
          <w:szCs w:val="24"/>
        </w:rPr>
      </w:pPr>
      <w:r>
        <w:rPr>
          <w:rFonts w:eastAsia="Times New Roman"/>
          <w:szCs w:val="24"/>
          <w:lang w:eastAsia="en-GB"/>
        </w:rPr>
        <w:t xml:space="preserve">There can be differences between the cash totals reported above for RFCT/SC and PRT, based on published HMRC statistics, and the post-reconciliation totals reported in annual reconciliation reports. These totals and the differences are given in the table showing “Differences between reconciled upstream oil and gas tax payments in EITI Reports and cash payments currently reported in HMRC statistics” on the OGA website at </w:t>
      </w:r>
      <w:hyperlink r:id="rId14" w:history="1">
        <w:r>
          <w:rPr>
            <w:rStyle w:val="Hyperlink"/>
            <w:rFonts w:eastAsia="Times New Roman"/>
            <w:szCs w:val="24"/>
            <w:lang w:eastAsia="en-GB"/>
          </w:rPr>
          <w:t>https://www.ogauthority.co.uk/exploration-production/taxation/government-revenues-from-uk-oil-and-gas-production/</w:t>
        </w:r>
      </w:hyperlink>
      <w:r>
        <w:rPr>
          <w:rFonts w:eastAsia="Times New Roman"/>
          <w:szCs w:val="24"/>
          <w:lang w:eastAsia="en-GB"/>
        </w:rPr>
        <w:t xml:space="preserve">. </w:t>
      </w:r>
      <w:r>
        <w:rPr>
          <w:szCs w:val="24"/>
        </w:rPr>
        <w:t>The main reasons for the difference between the total of RFCT/SC reconciled for EITI and the total published in HMRC statistics are that HMRC statistics are, at least for recent years, provisional (prior to disaggregation and allocation between payments inside and outside the ring fence) and do not include interest, which is included within the scope of EITI.</w:t>
      </w:r>
    </w:p>
    <w:p w14:paraId="2AAC8437" w14:textId="77777777" w:rsidR="00C963C5" w:rsidRDefault="00C963C5" w:rsidP="00C963C5">
      <w:pPr>
        <w:spacing w:after="180" w:line="276" w:lineRule="auto"/>
        <w:rPr>
          <w:szCs w:val="24"/>
        </w:rPr>
      </w:pPr>
      <w:r>
        <w:rPr>
          <w:szCs w:val="24"/>
        </w:rPr>
        <w:t>When oil and gas companies make corporation tax payments they are not obliged to inform HMRC whether such payments relate to RFCT/SC or mainstream CT. Since 2014, to assist HMRC in relation to EITI reporting, many companies do report the split of payments as they are made to HMRC. Once the tax payment deadline has passed and all tax instalments have been received, HMRC’s statistics team undertakes work to disaggregate these payments made for a group of companies and to re-allocate them into ring fence and non-ring fence payments. HMRC statistics are thus provisional and subject to change, often up to 18 months after the tax year has ended.</w:t>
      </w:r>
    </w:p>
    <w:p w14:paraId="37590693" w14:textId="77777777" w:rsidR="00C963C5" w:rsidRDefault="00C963C5" w:rsidP="00C963C5">
      <w:pPr>
        <w:spacing w:after="180"/>
        <w:rPr>
          <w:szCs w:val="24"/>
        </w:rPr>
      </w:pPr>
      <w:r>
        <w:rPr>
          <w:szCs w:val="24"/>
        </w:rPr>
        <w:t>For PRT, the discrepancy is primarily the result of timing differences between payments and repayments being made and the date that they are recorded on HMRC’s systems.</w:t>
      </w:r>
    </w:p>
    <w:bookmarkEnd w:id="9"/>
    <w:p w14:paraId="6D5E1203" w14:textId="7B0DC32B" w:rsidR="00C963C5" w:rsidRDefault="00C963C5" w:rsidP="00C963C5">
      <w:pPr>
        <w:spacing w:after="180" w:line="276" w:lineRule="auto"/>
        <w:rPr>
          <w:szCs w:val="24"/>
        </w:rPr>
      </w:pPr>
      <w:r>
        <w:rPr>
          <w:szCs w:val="24"/>
        </w:rPr>
        <w:t>Because corporation tax is levied on company level profits and companies can be engaged in both extractive and non-extractive activities, it is not possible to identify how much CT is paid by other extractive industries (i.e. those engaged in mining and quarrying). Estimates of the CT paid by the mining and quarrying sector are published annually by HM Revenue &amp; Customs (HMRC) and include oil and gas and mining support service activities. They are on a liability basis for financial years rather than a cash basis for calendar years.</w:t>
      </w:r>
    </w:p>
    <w:p w14:paraId="7FA51944" w14:textId="77777777" w:rsidR="00243255" w:rsidRPr="000B7100" w:rsidRDefault="00243255" w:rsidP="00E0694A">
      <w:pPr>
        <w:pStyle w:val="Heading2"/>
        <w:keepLines w:val="0"/>
        <w:numPr>
          <w:ilvl w:val="1"/>
          <w:numId w:val="43"/>
        </w:numPr>
        <w:shd w:val="clear" w:color="auto" w:fill="BFBFBF"/>
        <w:tabs>
          <w:tab w:val="clear" w:pos="567"/>
        </w:tabs>
        <w:spacing w:after="180" w:line="276" w:lineRule="auto"/>
        <w:ind w:left="567" w:hanging="567"/>
        <w:rPr>
          <w:szCs w:val="24"/>
        </w:rPr>
      </w:pPr>
      <w:bookmarkStart w:id="10" w:name="_Hlk507871889"/>
      <w:r w:rsidRPr="000B7100">
        <w:rPr>
          <w:rFonts w:cs="Arial"/>
          <w:szCs w:val="24"/>
        </w:rPr>
        <w:t>Reserves and forecasts</w:t>
      </w:r>
    </w:p>
    <w:bookmarkEnd w:id="10"/>
    <w:p w14:paraId="7BC74EF8" w14:textId="77777777" w:rsidR="00243255" w:rsidRPr="00AF5325" w:rsidRDefault="00243255" w:rsidP="00243255">
      <w:pPr>
        <w:pStyle w:val="Default"/>
        <w:spacing w:after="180" w:line="276" w:lineRule="auto"/>
        <w:rPr>
          <w:rFonts w:ascii="Arial" w:hAnsi="Arial" w:cs="Arial"/>
          <w:color w:val="auto"/>
        </w:rPr>
      </w:pPr>
      <w:r w:rsidRPr="00AF5325">
        <w:rPr>
          <w:rFonts w:ascii="Arial" w:hAnsi="Arial" w:cs="Arial"/>
          <w:color w:val="auto"/>
        </w:rPr>
        <w:t>Full details of the assumptions underpinning forthcoming years in the Budget cycle relating to projected production, commodity prices and revenue forecasts are provided by the independent OBR.</w:t>
      </w:r>
      <w:r w:rsidRPr="00AF5325">
        <w:rPr>
          <w:rFonts w:ascii="Arial" w:hAnsi="Arial" w:cs="Arial"/>
          <w:color w:val="auto"/>
          <w:vertAlign w:val="superscript"/>
        </w:rPr>
        <w:footnoteReference w:id="17"/>
      </w:r>
    </w:p>
    <w:p w14:paraId="225344C7" w14:textId="294E8AB1" w:rsidR="008323CD" w:rsidRPr="00595CB3" w:rsidRDefault="008323CD" w:rsidP="008323CD">
      <w:pPr>
        <w:pStyle w:val="Caption"/>
        <w:keepNext/>
        <w:spacing w:before="0" w:line="276" w:lineRule="auto"/>
        <w:outlineLvl w:val="0"/>
        <w:rPr>
          <w:rFonts w:ascii="Arial" w:hAnsi="Arial" w:cs="Arial"/>
          <w:sz w:val="22"/>
          <w:szCs w:val="22"/>
        </w:rPr>
      </w:pPr>
      <w:bookmarkStart w:id="11" w:name="_Toc512547349"/>
      <w:r w:rsidRPr="00595CB3">
        <w:rPr>
          <w:rFonts w:ascii="Arial" w:hAnsi="Arial" w:cs="Arial"/>
          <w:sz w:val="22"/>
          <w:szCs w:val="22"/>
        </w:rPr>
        <w:t>Figure</w:t>
      </w:r>
      <w:r w:rsidR="00333237">
        <w:rPr>
          <w:rFonts w:ascii="Arial" w:hAnsi="Arial" w:cs="Arial"/>
          <w:sz w:val="22"/>
          <w:szCs w:val="22"/>
        </w:rPr>
        <w:t xml:space="preserve"> </w:t>
      </w:r>
      <w:r w:rsidR="00475692">
        <w:rPr>
          <w:rFonts w:ascii="Arial" w:hAnsi="Arial" w:cs="Arial"/>
          <w:sz w:val="22"/>
          <w:szCs w:val="22"/>
        </w:rPr>
        <w:t>7</w:t>
      </w:r>
      <w:r w:rsidRPr="00595CB3">
        <w:rPr>
          <w:rFonts w:ascii="Arial" w:hAnsi="Arial" w:cs="Arial"/>
          <w:bCs/>
          <w:sz w:val="22"/>
          <w:szCs w:val="22"/>
        </w:rPr>
        <w:t>. Recoverable UK oil and gas reserves discovered and produced</w:t>
      </w:r>
      <w:r w:rsidRPr="00595CB3">
        <w:rPr>
          <w:rStyle w:val="FootnoteReference"/>
          <w:rFonts w:ascii="Arial" w:hAnsi="Arial" w:cs="Arial"/>
          <w:bCs/>
          <w:sz w:val="22"/>
          <w:szCs w:val="22"/>
        </w:rPr>
        <w:footnoteReference w:id="18"/>
      </w:r>
      <w:bookmarkEnd w:id="11"/>
    </w:p>
    <w:p w14:paraId="6F8246E1" w14:textId="64CAB46C" w:rsidR="008323CD" w:rsidRPr="00595CB3" w:rsidRDefault="00333237" w:rsidP="008323CD">
      <w:pPr>
        <w:pStyle w:val="Default"/>
        <w:keepNext/>
        <w:spacing w:after="12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17CE05EB" wp14:editId="32A773EC">
            <wp:extent cx="5723945" cy="3429000"/>
            <wp:effectExtent l="0" t="0" r="0" b="0"/>
            <wp:docPr id="4" name="Picture 4" descr="Figure 7 shows recoverable UK oil and gas reserves discovered and produced in billion barrels of oil equivalent from 196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088" cy="3436874"/>
                    </a:xfrm>
                    <a:prstGeom prst="rect">
                      <a:avLst/>
                    </a:prstGeom>
                    <a:noFill/>
                  </pic:spPr>
                </pic:pic>
              </a:graphicData>
            </a:graphic>
          </wp:inline>
        </w:drawing>
      </w:r>
    </w:p>
    <w:p w14:paraId="5C70EECB" w14:textId="184B0004" w:rsidR="004452D4" w:rsidRPr="00595CB3" w:rsidRDefault="004452D4" w:rsidP="00E0694A">
      <w:pPr>
        <w:pStyle w:val="Default"/>
        <w:spacing w:after="180" w:line="276" w:lineRule="auto"/>
        <w:rPr>
          <w:rFonts w:ascii="Arial" w:hAnsi="Arial" w:cs="Arial"/>
          <w:color w:val="auto"/>
          <w:sz w:val="18"/>
          <w:szCs w:val="22"/>
        </w:rPr>
      </w:pPr>
      <w:r w:rsidRPr="00595CB3">
        <w:rPr>
          <w:rFonts w:ascii="Arial" w:hAnsi="Arial" w:cs="Arial"/>
          <w:color w:val="auto"/>
          <w:sz w:val="18"/>
          <w:szCs w:val="22"/>
        </w:rPr>
        <w:t>Source: Wood Mackenzie</w:t>
      </w:r>
      <w:r w:rsidR="006237B3">
        <w:rPr>
          <w:rFonts w:ascii="Arial" w:hAnsi="Arial" w:cs="Arial"/>
          <w:color w:val="auto"/>
          <w:sz w:val="18"/>
          <w:szCs w:val="22"/>
        </w:rPr>
        <w:t>.</w:t>
      </w:r>
    </w:p>
    <w:p w14:paraId="7385BC7B" w14:textId="59332383" w:rsidR="00C4049B" w:rsidRPr="00AF5325" w:rsidRDefault="00DC0624" w:rsidP="00170D92">
      <w:pPr>
        <w:pStyle w:val="Default"/>
        <w:spacing w:after="180" w:line="276" w:lineRule="auto"/>
        <w:rPr>
          <w:rFonts w:ascii="Arial" w:hAnsi="Arial" w:cs="Arial"/>
          <w:color w:val="auto"/>
        </w:rPr>
      </w:pPr>
      <w:r w:rsidRPr="00AF5325">
        <w:rPr>
          <w:rFonts w:ascii="Arial" w:hAnsi="Arial" w:cs="Arial"/>
          <w:color w:val="auto"/>
        </w:rPr>
        <w:t>The path of future production is uncertain and, consequently, f</w:t>
      </w:r>
      <w:r w:rsidR="00C4049B" w:rsidRPr="00AF5325">
        <w:rPr>
          <w:rFonts w:ascii="Arial" w:hAnsi="Arial" w:cs="Arial"/>
          <w:color w:val="auto"/>
        </w:rPr>
        <w:t xml:space="preserve">orecasts of future production rates vary. </w:t>
      </w:r>
      <w:r w:rsidR="00FD7633" w:rsidRPr="00AF5325">
        <w:rPr>
          <w:rFonts w:ascii="Arial" w:hAnsi="Arial" w:cs="Arial"/>
          <w:color w:val="auto"/>
        </w:rPr>
        <w:t xml:space="preserve">In early 2017, </w:t>
      </w:r>
      <w:r w:rsidR="00C4049B" w:rsidRPr="00AF5325">
        <w:rPr>
          <w:rFonts w:ascii="Arial" w:hAnsi="Arial" w:cs="Arial"/>
          <w:color w:val="auto"/>
        </w:rPr>
        <w:t>Oil &amp; Gas UK predict</w:t>
      </w:r>
      <w:r w:rsidR="00FD7633" w:rsidRPr="00AF5325">
        <w:rPr>
          <w:rFonts w:ascii="Arial" w:hAnsi="Arial" w:cs="Arial"/>
          <w:color w:val="auto"/>
        </w:rPr>
        <w:t>ed</w:t>
      </w:r>
      <w:r w:rsidR="00C4049B" w:rsidRPr="00AF5325">
        <w:rPr>
          <w:rFonts w:ascii="Arial" w:hAnsi="Arial" w:cs="Arial"/>
          <w:color w:val="auto"/>
        </w:rPr>
        <w:t xml:space="preserve"> that production </w:t>
      </w:r>
      <w:r w:rsidR="00FD7633" w:rsidRPr="00AF5325">
        <w:rPr>
          <w:rFonts w:ascii="Arial" w:hAnsi="Arial" w:cs="Arial"/>
          <w:color w:val="auto"/>
        </w:rPr>
        <w:t xml:space="preserve">would </w:t>
      </w:r>
      <w:r w:rsidR="00C4049B" w:rsidRPr="00AF5325">
        <w:rPr>
          <w:rFonts w:ascii="Arial" w:hAnsi="Arial" w:cs="Arial"/>
          <w:color w:val="auto"/>
        </w:rPr>
        <w:t xml:space="preserve">continue to increase in the near term, with the start-up of some very large projects more than offsetting anticipated decline from existing fields. </w:t>
      </w:r>
      <w:r w:rsidR="00A32383" w:rsidRPr="00AF5325">
        <w:rPr>
          <w:rFonts w:ascii="Arial" w:hAnsi="Arial" w:cs="Arial"/>
          <w:color w:val="auto"/>
        </w:rPr>
        <w:t xml:space="preserve">In </w:t>
      </w:r>
      <w:r w:rsidR="00EB7AD6">
        <w:rPr>
          <w:rFonts w:ascii="Arial" w:hAnsi="Arial" w:cs="Arial"/>
          <w:color w:val="auto"/>
        </w:rPr>
        <w:t>late</w:t>
      </w:r>
      <w:r w:rsidR="00EB7AD6" w:rsidRPr="00AF5325">
        <w:rPr>
          <w:rFonts w:ascii="Arial" w:hAnsi="Arial" w:cs="Arial"/>
          <w:color w:val="auto"/>
        </w:rPr>
        <w:t xml:space="preserve"> </w:t>
      </w:r>
      <w:r w:rsidR="00A32383" w:rsidRPr="00AF5325">
        <w:rPr>
          <w:rFonts w:ascii="Arial" w:hAnsi="Arial" w:cs="Arial"/>
          <w:color w:val="auto"/>
        </w:rPr>
        <w:t xml:space="preserve">2018, </w:t>
      </w:r>
      <w:r w:rsidR="00C4049B" w:rsidRPr="00AF5325">
        <w:rPr>
          <w:rFonts w:ascii="Arial" w:hAnsi="Arial" w:cs="Arial"/>
          <w:color w:val="auto"/>
        </w:rPr>
        <w:t xml:space="preserve">the OGA’s central projection </w:t>
      </w:r>
      <w:r w:rsidR="00A32383" w:rsidRPr="00AF5325">
        <w:rPr>
          <w:rFonts w:ascii="Arial" w:hAnsi="Arial" w:cs="Arial"/>
          <w:color w:val="auto"/>
        </w:rPr>
        <w:t>wa</w:t>
      </w:r>
      <w:r w:rsidR="00C4049B" w:rsidRPr="00AF5325">
        <w:rPr>
          <w:rFonts w:ascii="Arial" w:hAnsi="Arial" w:cs="Arial"/>
          <w:color w:val="auto"/>
        </w:rPr>
        <w:t xml:space="preserve">s for </w:t>
      </w:r>
      <w:r w:rsidR="00A32383" w:rsidRPr="00AF5325">
        <w:rPr>
          <w:rFonts w:ascii="Arial" w:hAnsi="Arial" w:cs="Arial"/>
          <w:color w:val="auto"/>
        </w:rPr>
        <w:t xml:space="preserve">a small increase in production in </w:t>
      </w:r>
      <w:r w:rsidR="00CB24A7" w:rsidRPr="00AF5325">
        <w:rPr>
          <w:rFonts w:ascii="Arial" w:hAnsi="Arial" w:cs="Arial"/>
          <w:color w:val="auto"/>
        </w:rPr>
        <w:t xml:space="preserve">2018 </w:t>
      </w:r>
      <w:r w:rsidR="007D42BF" w:rsidRPr="00AF5325">
        <w:rPr>
          <w:rFonts w:ascii="Arial" w:hAnsi="Arial" w:cs="Arial"/>
          <w:color w:val="auto"/>
        </w:rPr>
        <w:t xml:space="preserve">followed by </w:t>
      </w:r>
      <w:r w:rsidR="00C4049B" w:rsidRPr="00AF5325">
        <w:rPr>
          <w:rFonts w:ascii="Arial" w:hAnsi="Arial" w:cs="Arial"/>
          <w:color w:val="auto"/>
        </w:rPr>
        <w:t xml:space="preserve">declining production (Figure </w:t>
      </w:r>
      <w:r w:rsidR="00475692">
        <w:rPr>
          <w:rFonts w:ascii="Arial" w:hAnsi="Arial" w:cs="Arial"/>
          <w:color w:val="auto"/>
        </w:rPr>
        <w:t>8</w:t>
      </w:r>
      <w:r w:rsidR="00C4049B" w:rsidRPr="00AF5325">
        <w:rPr>
          <w:rFonts w:ascii="Arial" w:hAnsi="Arial" w:cs="Arial"/>
          <w:color w:val="auto"/>
        </w:rPr>
        <w:t>).</w:t>
      </w:r>
    </w:p>
    <w:p w14:paraId="6C9CB99C" w14:textId="31B31A68" w:rsidR="00175D1E" w:rsidRPr="00595CB3" w:rsidRDefault="00C832E7" w:rsidP="00BC7065">
      <w:pPr>
        <w:pStyle w:val="Caption"/>
        <w:keepNext/>
        <w:spacing w:before="0" w:line="276" w:lineRule="auto"/>
        <w:outlineLvl w:val="0"/>
        <w:rPr>
          <w:rFonts w:ascii="Arial" w:hAnsi="Arial" w:cs="Arial"/>
          <w:sz w:val="22"/>
          <w:szCs w:val="22"/>
        </w:rPr>
      </w:pPr>
      <w:bookmarkStart w:id="12" w:name="_Toc512547350"/>
      <w:r w:rsidRPr="00595CB3">
        <w:rPr>
          <w:rFonts w:ascii="Arial" w:hAnsi="Arial" w:cs="Arial"/>
          <w:sz w:val="22"/>
          <w:szCs w:val="22"/>
        </w:rPr>
        <w:t xml:space="preserve">Figure </w:t>
      </w:r>
      <w:r w:rsidR="00475692">
        <w:rPr>
          <w:rFonts w:ascii="Arial" w:hAnsi="Arial" w:cs="Arial"/>
          <w:sz w:val="22"/>
          <w:szCs w:val="22"/>
        </w:rPr>
        <w:t>8</w:t>
      </w:r>
      <w:r w:rsidR="00175D1E" w:rsidRPr="00595CB3">
        <w:rPr>
          <w:rFonts w:ascii="Arial" w:hAnsi="Arial" w:cs="Arial"/>
          <w:bCs/>
          <w:sz w:val="22"/>
          <w:szCs w:val="22"/>
        </w:rPr>
        <w:t>. Oil &amp; Gas UK and OGA forecasts of future UK</w:t>
      </w:r>
      <w:r w:rsidR="005E5164" w:rsidRPr="00595CB3">
        <w:rPr>
          <w:rFonts w:ascii="Arial" w:hAnsi="Arial" w:cs="Arial"/>
          <w:bCs/>
          <w:sz w:val="22"/>
          <w:szCs w:val="22"/>
        </w:rPr>
        <w:t xml:space="preserve"> oil and gas</w:t>
      </w:r>
      <w:r w:rsidR="00175D1E" w:rsidRPr="00595CB3">
        <w:rPr>
          <w:rFonts w:ascii="Arial" w:hAnsi="Arial" w:cs="Arial"/>
          <w:bCs/>
          <w:sz w:val="22"/>
          <w:szCs w:val="22"/>
        </w:rPr>
        <w:t xml:space="preserve"> production</w:t>
      </w:r>
      <w:r w:rsidR="00175D1E" w:rsidRPr="00595CB3">
        <w:rPr>
          <w:rStyle w:val="FootnoteReference"/>
          <w:rFonts w:ascii="Arial" w:hAnsi="Arial" w:cs="Arial"/>
          <w:bCs/>
          <w:sz w:val="22"/>
          <w:szCs w:val="22"/>
        </w:rPr>
        <w:footnoteReference w:id="19"/>
      </w:r>
      <w:bookmarkEnd w:id="12"/>
    </w:p>
    <w:p w14:paraId="53898A7C" w14:textId="77777777" w:rsidR="00175D1E" w:rsidRPr="00595CB3" w:rsidRDefault="002A6838" w:rsidP="004452D4">
      <w:pPr>
        <w:pStyle w:val="Default"/>
        <w:keepNext/>
        <w:spacing w:after="180" w:line="276" w:lineRule="auto"/>
        <w:rPr>
          <w:rFonts w:ascii="Arial" w:hAnsi="Arial" w:cs="Arial"/>
          <w:b/>
          <w:bCs/>
          <w:sz w:val="22"/>
          <w:szCs w:val="22"/>
        </w:rPr>
      </w:pPr>
      <w:r w:rsidRPr="00595CB3">
        <w:rPr>
          <w:rFonts w:ascii="Arial" w:hAnsi="Arial" w:cs="Arial"/>
          <w:b/>
          <w:bCs/>
          <w:noProof/>
          <w:sz w:val="22"/>
          <w:szCs w:val="22"/>
        </w:rPr>
        <w:drawing>
          <wp:inline distT="0" distB="0" distL="0" distR="0" wp14:anchorId="59B59B6A" wp14:editId="2500566E">
            <wp:extent cx="5692140" cy="2521785"/>
            <wp:effectExtent l="0" t="0" r="3810" b="0"/>
            <wp:docPr id="9" name="Picture 9" descr="Figure 8 Oil and Gas UK and OGA forecasts of future UK oil and gas production. This graph shows forecasts from Oil and Gas UK and the Oil and Gas Authority for oil and gas production (in million barrels of oil equivalent per day) for the period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9962" cy="2529681"/>
                    </a:xfrm>
                    <a:prstGeom prst="rect">
                      <a:avLst/>
                    </a:prstGeom>
                    <a:noFill/>
                  </pic:spPr>
                </pic:pic>
              </a:graphicData>
            </a:graphic>
          </wp:inline>
        </w:drawing>
      </w:r>
    </w:p>
    <w:p w14:paraId="5E9297C7" w14:textId="77777777" w:rsidR="004452D4" w:rsidRPr="00595CB3" w:rsidRDefault="004452D4" w:rsidP="00175D1E">
      <w:pPr>
        <w:pStyle w:val="Default"/>
        <w:spacing w:after="180" w:line="276" w:lineRule="auto"/>
        <w:rPr>
          <w:rFonts w:ascii="Arial" w:hAnsi="Arial" w:cs="Arial"/>
          <w:bCs/>
          <w:sz w:val="18"/>
          <w:szCs w:val="22"/>
        </w:rPr>
      </w:pPr>
      <w:r w:rsidRPr="00595CB3">
        <w:rPr>
          <w:rFonts w:ascii="Arial" w:hAnsi="Arial" w:cs="Arial"/>
          <w:bCs/>
          <w:sz w:val="18"/>
          <w:szCs w:val="22"/>
        </w:rPr>
        <w:t>Sources: Oil &amp; Gas UK and OGA</w:t>
      </w:r>
      <w:r w:rsidR="006237B3">
        <w:rPr>
          <w:rFonts w:ascii="Arial" w:hAnsi="Arial" w:cs="Arial"/>
          <w:bCs/>
          <w:sz w:val="18"/>
          <w:szCs w:val="22"/>
        </w:rPr>
        <w:t>.</w:t>
      </w:r>
    </w:p>
    <w:p w14:paraId="38D59A3D" w14:textId="77777777" w:rsidR="00243255" w:rsidRPr="0059555C" w:rsidRDefault="00BF260D"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T</w:t>
      </w:r>
      <w:r w:rsidR="00243255" w:rsidRPr="0059555C">
        <w:rPr>
          <w:rFonts w:cs="Arial"/>
          <w:szCs w:val="24"/>
        </w:rPr>
        <w:t>rade</w:t>
      </w:r>
    </w:p>
    <w:p w14:paraId="758AF40B" w14:textId="520F6243" w:rsidR="00E12DD4" w:rsidRPr="00B66EA6" w:rsidRDefault="00243255" w:rsidP="000B6D63">
      <w:pPr>
        <w:pStyle w:val="Default"/>
        <w:spacing w:after="180" w:line="276" w:lineRule="auto"/>
        <w:rPr>
          <w:rFonts w:ascii="Times New Roman" w:eastAsia="Times New Roman" w:hAnsi="Times New Roman" w:cs="Times New Roman"/>
          <w:b/>
        </w:rPr>
      </w:pPr>
      <w:r w:rsidRPr="00B66EA6">
        <w:rPr>
          <w:rFonts w:ascii="Arial" w:hAnsi="Arial" w:cs="Arial"/>
          <w:color w:val="auto"/>
        </w:rPr>
        <w:t>Domestic production of oil and gas continues to supply around 50% of UK hydrocarbon consumption.</w:t>
      </w:r>
      <w:r w:rsidR="000727C9" w:rsidRPr="000727C9">
        <w:rPr>
          <w:rFonts w:ascii="Arial" w:hAnsi="Arial" w:cs="Arial"/>
          <w:color w:val="auto"/>
        </w:rPr>
        <w:t xml:space="preserve"> </w:t>
      </w:r>
      <w:r w:rsidR="000727C9" w:rsidRPr="00B66EA6">
        <w:rPr>
          <w:rFonts w:ascii="Arial" w:hAnsi="Arial" w:cs="Arial"/>
          <w:color w:val="auto"/>
        </w:rPr>
        <w:t>Net exports (imports) since 1998 are illustrated in Figure</w:t>
      </w:r>
      <w:r w:rsidR="000727C9">
        <w:rPr>
          <w:rFonts w:ascii="Arial" w:hAnsi="Arial" w:cs="Arial"/>
          <w:color w:val="auto"/>
        </w:rPr>
        <w:t> </w:t>
      </w:r>
      <w:r w:rsidR="00475692">
        <w:rPr>
          <w:rFonts w:ascii="Arial" w:hAnsi="Arial" w:cs="Arial"/>
          <w:color w:val="auto"/>
        </w:rPr>
        <w:t>9</w:t>
      </w:r>
      <w:r w:rsidR="000727C9" w:rsidRPr="00B66EA6">
        <w:rPr>
          <w:rFonts w:ascii="Arial" w:hAnsi="Arial" w:cs="Arial"/>
          <w:color w:val="auto"/>
        </w:rPr>
        <w:t>.</w:t>
      </w:r>
    </w:p>
    <w:p w14:paraId="060F207D" w14:textId="33398765" w:rsidR="002B06AC" w:rsidRPr="00595CB3" w:rsidRDefault="002B06AC" w:rsidP="002B06AC">
      <w:pPr>
        <w:pStyle w:val="Caption"/>
        <w:keepNext/>
        <w:spacing w:before="0" w:line="276" w:lineRule="auto"/>
        <w:outlineLvl w:val="0"/>
        <w:rPr>
          <w:rFonts w:ascii="Arial" w:hAnsi="Arial" w:cs="Arial"/>
          <w:bCs/>
          <w:sz w:val="22"/>
          <w:szCs w:val="22"/>
        </w:rPr>
      </w:pPr>
      <w:bookmarkStart w:id="13" w:name="_Toc512547351"/>
      <w:r w:rsidRPr="00595CB3">
        <w:rPr>
          <w:rFonts w:ascii="Arial" w:hAnsi="Arial" w:cs="Arial"/>
          <w:sz w:val="22"/>
          <w:szCs w:val="22"/>
        </w:rPr>
        <w:t>Figure</w:t>
      </w:r>
      <w:r w:rsidR="000727C9">
        <w:rPr>
          <w:rFonts w:ascii="Arial" w:hAnsi="Arial" w:cs="Arial"/>
          <w:sz w:val="22"/>
          <w:szCs w:val="22"/>
        </w:rPr>
        <w:t xml:space="preserve"> </w:t>
      </w:r>
      <w:r w:rsidR="00475692">
        <w:rPr>
          <w:rFonts w:ascii="Arial" w:hAnsi="Arial" w:cs="Arial"/>
          <w:sz w:val="22"/>
          <w:szCs w:val="22"/>
        </w:rPr>
        <w:t>9</w:t>
      </w:r>
      <w:r w:rsidRPr="00595CB3">
        <w:rPr>
          <w:rFonts w:ascii="Arial" w:hAnsi="Arial" w:cs="Arial"/>
          <w:bCs/>
          <w:sz w:val="22"/>
          <w:szCs w:val="22"/>
        </w:rPr>
        <w:t>. Volume and value of net UK oil and gas exports (imports)</w:t>
      </w:r>
      <w:r w:rsidRPr="00595CB3">
        <w:rPr>
          <w:rFonts w:ascii="Arial" w:hAnsi="Arial" w:cs="Arial"/>
          <w:sz w:val="22"/>
          <w:szCs w:val="22"/>
          <w:vertAlign w:val="superscript"/>
        </w:rPr>
        <w:footnoteReference w:id="20"/>
      </w:r>
      <w:bookmarkEnd w:id="13"/>
    </w:p>
    <w:p w14:paraId="0D5E1868" w14:textId="2891FC60" w:rsidR="002B06AC" w:rsidRPr="00595CB3" w:rsidRDefault="000727C9" w:rsidP="002B06AC">
      <w:pPr>
        <w:pStyle w:val="Default"/>
        <w:keepNext/>
        <w:spacing w:after="120" w:line="276" w:lineRule="auto"/>
        <w:rPr>
          <w:rFonts w:ascii="Arial" w:hAnsi="Arial" w:cs="Arial"/>
          <w:sz w:val="22"/>
          <w:szCs w:val="22"/>
        </w:rPr>
      </w:pPr>
      <w:r>
        <w:rPr>
          <w:rFonts w:ascii="Arial" w:hAnsi="Arial" w:cs="Arial"/>
          <w:noProof/>
          <w:sz w:val="22"/>
          <w:szCs w:val="22"/>
        </w:rPr>
        <w:drawing>
          <wp:inline distT="0" distB="0" distL="0" distR="0" wp14:anchorId="697D2EBA" wp14:editId="3ED2C531">
            <wp:extent cx="5670550" cy="3104952"/>
            <wp:effectExtent l="0" t="0" r="6350" b="635"/>
            <wp:docPr id="5" name="Picture 5" descr="Figure 9 shows the volume and value of net UK oil and gas exports (imports) in million tonnes equivalent for 199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9146" cy="3109659"/>
                    </a:xfrm>
                    <a:prstGeom prst="rect">
                      <a:avLst/>
                    </a:prstGeom>
                    <a:noFill/>
                  </pic:spPr>
                </pic:pic>
              </a:graphicData>
            </a:graphic>
          </wp:inline>
        </w:drawing>
      </w:r>
    </w:p>
    <w:p w14:paraId="2F7CD6A0" w14:textId="7CE74B86" w:rsidR="00517493" w:rsidRPr="00595CB3" w:rsidRDefault="00517493" w:rsidP="00E0694A">
      <w:pPr>
        <w:pStyle w:val="Default"/>
        <w:spacing w:after="180" w:line="276" w:lineRule="auto"/>
        <w:rPr>
          <w:rFonts w:ascii="Arial" w:hAnsi="Arial" w:cs="Arial"/>
          <w:sz w:val="18"/>
          <w:szCs w:val="22"/>
        </w:rPr>
      </w:pPr>
      <w:r w:rsidRPr="00595CB3">
        <w:rPr>
          <w:rFonts w:ascii="Arial" w:hAnsi="Arial" w:cs="Arial"/>
          <w:sz w:val="18"/>
          <w:szCs w:val="22"/>
        </w:rPr>
        <w:t xml:space="preserve">Source: </w:t>
      </w:r>
      <w:r w:rsidR="00DB1DD6" w:rsidRPr="00595CB3">
        <w:rPr>
          <w:rFonts w:ascii="Arial" w:hAnsi="Arial" w:cs="Arial"/>
          <w:sz w:val="18"/>
          <w:szCs w:val="22"/>
        </w:rPr>
        <w:t>Digest of UK Energy Statistics 201</w:t>
      </w:r>
      <w:r w:rsidR="00305D1E">
        <w:rPr>
          <w:rFonts w:ascii="Arial" w:hAnsi="Arial" w:cs="Arial"/>
          <w:sz w:val="18"/>
          <w:szCs w:val="22"/>
        </w:rPr>
        <w:t>8</w:t>
      </w:r>
      <w:r w:rsidR="006237B3">
        <w:rPr>
          <w:rFonts w:ascii="Arial" w:hAnsi="Arial" w:cs="Arial"/>
          <w:sz w:val="18"/>
          <w:szCs w:val="22"/>
        </w:rPr>
        <w:t>.</w:t>
      </w:r>
    </w:p>
    <w:p w14:paraId="0B14ABD9" w14:textId="77777777" w:rsidR="00243255" w:rsidRPr="0059555C" w:rsidRDefault="00243255"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Employment</w:t>
      </w:r>
    </w:p>
    <w:p w14:paraId="20DBFC3A" w14:textId="50494DD0" w:rsidR="007A601C" w:rsidRPr="00B66EA6" w:rsidRDefault="00243255" w:rsidP="007A601C">
      <w:pPr>
        <w:pStyle w:val="Default"/>
        <w:spacing w:after="180" w:line="276" w:lineRule="auto"/>
        <w:rPr>
          <w:rFonts w:ascii="Arial" w:hAnsi="Arial" w:cs="Arial"/>
          <w:color w:val="auto"/>
        </w:rPr>
      </w:pPr>
      <w:r w:rsidRPr="00B66EA6">
        <w:rPr>
          <w:rFonts w:ascii="Arial" w:hAnsi="Arial" w:cs="Arial"/>
          <w:color w:val="auto"/>
        </w:rPr>
        <w:t xml:space="preserve">In addition to direct employment in oil and gas companies there </w:t>
      </w:r>
      <w:r w:rsidR="00517493" w:rsidRPr="00B66EA6">
        <w:rPr>
          <w:rFonts w:ascii="Arial" w:hAnsi="Arial" w:cs="Arial"/>
          <w:color w:val="auto"/>
        </w:rPr>
        <w:t xml:space="preserve">is </w:t>
      </w:r>
      <w:r w:rsidRPr="00B66EA6">
        <w:rPr>
          <w:rFonts w:ascii="Arial" w:hAnsi="Arial" w:cs="Arial"/>
          <w:color w:val="auto"/>
        </w:rPr>
        <w:t>a significant number of jobs in companies providing support activities. Official estimates for both are tabulated below</w:t>
      </w:r>
      <w:r w:rsidR="001F3A40">
        <w:rPr>
          <w:rFonts w:ascii="Arial" w:hAnsi="Arial" w:cs="Arial"/>
          <w:color w:val="auto"/>
        </w:rPr>
        <w:t>:</w:t>
      </w:r>
    </w:p>
    <w:p w14:paraId="326801B5" w14:textId="273B0167" w:rsidR="007A601C" w:rsidRPr="00595CB3" w:rsidRDefault="007A601C" w:rsidP="007A601C">
      <w:pPr>
        <w:pStyle w:val="Caption"/>
        <w:keepNext/>
        <w:spacing w:before="0" w:line="276" w:lineRule="auto"/>
        <w:outlineLvl w:val="0"/>
        <w:rPr>
          <w:rFonts w:ascii="Arial" w:hAnsi="Arial" w:cs="Arial"/>
          <w:bCs/>
          <w:sz w:val="22"/>
          <w:szCs w:val="22"/>
        </w:rPr>
      </w:pPr>
      <w:bookmarkStart w:id="14" w:name="_Toc512547335"/>
      <w:r w:rsidRPr="00595CB3">
        <w:rPr>
          <w:rFonts w:ascii="Arial" w:hAnsi="Arial" w:cs="Arial"/>
          <w:sz w:val="22"/>
          <w:szCs w:val="22"/>
        </w:rPr>
        <w:t>Table</w:t>
      </w:r>
      <w:r>
        <w:rPr>
          <w:rFonts w:ascii="Arial" w:hAnsi="Arial" w:cs="Arial"/>
          <w:sz w:val="22"/>
          <w:szCs w:val="22"/>
        </w:rPr>
        <w:t xml:space="preserve"> </w:t>
      </w:r>
      <w:r w:rsidR="00C559E9">
        <w:rPr>
          <w:rFonts w:ascii="Arial" w:hAnsi="Arial" w:cs="Arial"/>
          <w:sz w:val="22"/>
          <w:szCs w:val="22"/>
        </w:rPr>
        <w:t>3</w:t>
      </w:r>
      <w:r w:rsidRPr="00595CB3">
        <w:rPr>
          <w:rFonts w:ascii="Arial" w:hAnsi="Arial" w:cs="Arial"/>
          <w:sz w:val="22"/>
          <w:szCs w:val="22"/>
        </w:rPr>
        <w:t xml:space="preserve">. </w:t>
      </w:r>
      <w:r w:rsidRPr="00595CB3">
        <w:rPr>
          <w:rFonts w:ascii="Arial" w:hAnsi="Arial" w:cs="Arial"/>
          <w:bCs/>
          <w:sz w:val="22"/>
          <w:szCs w:val="22"/>
        </w:rPr>
        <w:t>Direct employment (Great Britain not United Kingdom) (in thousands)</w:t>
      </w:r>
      <w:r w:rsidRPr="00595CB3">
        <w:rPr>
          <w:rStyle w:val="FootnoteReference"/>
          <w:rFonts w:ascii="Arial" w:hAnsi="Arial" w:cs="Arial"/>
          <w:bCs/>
          <w:sz w:val="22"/>
          <w:szCs w:val="22"/>
        </w:rPr>
        <w:footnoteReference w:id="21"/>
      </w:r>
      <w:bookmarkEnd w:id="14"/>
    </w:p>
    <w:tbl>
      <w:tblPr>
        <w:tblW w:w="0" w:type="auto"/>
        <w:tblInd w:w="70" w:type="dxa"/>
        <w:tblCellMar>
          <w:left w:w="70" w:type="dxa"/>
          <w:right w:w="70" w:type="dxa"/>
        </w:tblCellMar>
        <w:tblLook w:val="04A0" w:firstRow="1" w:lastRow="0" w:firstColumn="1" w:lastColumn="0" w:noHBand="0" w:noVBand="1"/>
        <w:tblCaption w:val="Table 3. Direct employment (Great Britain not United Kingdom) (in thousands)"/>
        <w:tblDescription w:val="Table 3 shows direct employment in oil and gas extraction and support services in thousands for the period 2013-2017.                                                                     "/>
      </w:tblPr>
      <w:tblGrid>
        <w:gridCol w:w="4232"/>
        <w:gridCol w:w="496"/>
        <w:gridCol w:w="496"/>
        <w:gridCol w:w="496"/>
        <w:gridCol w:w="496"/>
        <w:gridCol w:w="496"/>
      </w:tblGrid>
      <w:tr w:rsidR="007A601C" w:rsidRPr="00595CB3" w14:paraId="6A041C7B" w14:textId="77777777" w:rsidTr="004429C9">
        <w:trPr>
          <w:trHeight w:val="283"/>
        </w:trPr>
        <w:tc>
          <w:tcPr>
            <w:tcW w:w="0" w:type="auto"/>
            <w:tcBorders>
              <w:top w:val="nil"/>
              <w:left w:val="nil"/>
              <w:bottom w:val="single" w:sz="12" w:space="0" w:color="5B9BD5"/>
              <w:right w:val="nil"/>
            </w:tcBorders>
            <w:shd w:val="clear" w:color="000000" w:fill="244062"/>
            <w:vAlign w:val="center"/>
            <w:hideMark/>
          </w:tcPr>
          <w:p w14:paraId="5B163EEA" w14:textId="77777777" w:rsidR="007A601C" w:rsidRPr="00595CB3" w:rsidRDefault="007A601C" w:rsidP="004429C9">
            <w:pPr>
              <w:keepNext/>
              <w:rPr>
                <w:rFonts w:eastAsia="Times New Roman"/>
                <w:b/>
                <w:bCs/>
                <w:color w:val="FFFFFF"/>
                <w:sz w:val="16"/>
                <w:lang w:eastAsia="fr-FR"/>
              </w:rPr>
            </w:pPr>
            <w:r w:rsidRPr="00595CB3">
              <w:rPr>
                <w:rFonts w:eastAsia="Times New Roman"/>
                <w:b/>
                <w:bCs/>
                <w:color w:val="FFFFFF"/>
                <w:sz w:val="16"/>
                <w:lang w:eastAsia="fr-FR"/>
              </w:rPr>
              <w:t>Thousands</w:t>
            </w:r>
          </w:p>
        </w:tc>
        <w:tc>
          <w:tcPr>
            <w:tcW w:w="0" w:type="auto"/>
            <w:tcBorders>
              <w:top w:val="nil"/>
              <w:left w:val="nil"/>
              <w:bottom w:val="single" w:sz="12" w:space="0" w:color="5B9BD5"/>
              <w:right w:val="nil"/>
            </w:tcBorders>
            <w:shd w:val="clear" w:color="000000" w:fill="244062"/>
            <w:vAlign w:val="center"/>
            <w:hideMark/>
          </w:tcPr>
          <w:p w14:paraId="7F787FC1" w14:textId="512967AC" w:rsidR="007A601C" w:rsidRPr="00595CB3" w:rsidRDefault="007A601C" w:rsidP="004429C9">
            <w:pPr>
              <w:keepNext/>
              <w:jc w:val="right"/>
              <w:rPr>
                <w:rFonts w:eastAsia="Times New Roman"/>
                <w:b/>
                <w:bCs/>
                <w:color w:val="FFFFFF"/>
                <w:sz w:val="16"/>
                <w:lang w:eastAsia="fr-FR"/>
              </w:rPr>
            </w:pPr>
            <w:r w:rsidRPr="00595CB3">
              <w:rPr>
                <w:rFonts w:eastAsia="Times New Roman"/>
                <w:b/>
                <w:bCs/>
                <w:color w:val="FFFFFF"/>
                <w:sz w:val="16"/>
                <w:lang w:eastAsia="fr-FR"/>
              </w:rPr>
              <w:t>201</w:t>
            </w:r>
            <w:r>
              <w:rPr>
                <w:rFonts w:eastAsia="Times New Roman"/>
                <w:b/>
                <w:bCs/>
                <w:color w:val="FFFFFF"/>
                <w:sz w:val="16"/>
                <w:lang w:eastAsia="fr-FR"/>
              </w:rPr>
              <w:t>3</w:t>
            </w:r>
          </w:p>
        </w:tc>
        <w:tc>
          <w:tcPr>
            <w:tcW w:w="0" w:type="auto"/>
            <w:tcBorders>
              <w:top w:val="nil"/>
              <w:left w:val="nil"/>
              <w:bottom w:val="single" w:sz="12" w:space="0" w:color="5B9BD5"/>
              <w:right w:val="nil"/>
            </w:tcBorders>
            <w:shd w:val="clear" w:color="000000" w:fill="244062"/>
            <w:vAlign w:val="center"/>
            <w:hideMark/>
          </w:tcPr>
          <w:p w14:paraId="4CCA0CC4" w14:textId="5A56BF54" w:rsidR="007A601C" w:rsidRPr="00595CB3" w:rsidRDefault="007A601C" w:rsidP="004429C9">
            <w:pPr>
              <w:keepNext/>
              <w:jc w:val="right"/>
              <w:rPr>
                <w:rFonts w:eastAsia="Times New Roman"/>
                <w:b/>
                <w:bCs/>
                <w:color w:val="FFFFFF"/>
                <w:sz w:val="16"/>
                <w:lang w:eastAsia="fr-FR"/>
              </w:rPr>
            </w:pPr>
            <w:r w:rsidRPr="00595CB3">
              <w:rPr>
                <w:rFonts w:eastAsia="Times New Roman"/>
                <w:b/>
                <w:bCs/>
                <w:color w:val="FFFFFF"/>
                <w:sz w:val="16"/>
                <w:lang w:eastAsia="fr-FR"/>
              </w:rPr>
              <w:t>201</w:t>
            </w:r>
            <w:r>
              <w:rPr>
                <w:rFonts w:eastAsia="Times New Roman"/>
                <w:b/>
                <w:bCs/>
                <w:color w:val="FFFFFF"/>
                <w:sz w:val="16"/>
                <w:lang w:eastAsia="fr-FR"/>
              </w:rPr>
              <w:t>4</w:t>
            </w:r>
          </w:p>
        </w:tc>
        <w:tc>
          <w:tcPr>
            <w:tcW w:w="0" w:type="auto"/>
            <w:tcBorders>
              <w:top w:val="nil"/>
              <w:left w:val="nil"/>
              <w:bottom w:val="single" w:sz="12" w:space="0" w:color="5B9BD5"/>
              <w:right w:val="nil"/>
            </w:tcBorders>
            <w:shd w:val="clear" w:color="000000" w:fill="244062"/>
            <w:vAlign w:val="center"/>
            <w:hideMark/>
          </w:tcPr>
          <w:p w14:paraId="7E58AC91" w14:textId="350B70BD" w:rsidR="007A601C" w:rsidRPr="00595CB3" w:rsidRDefault="007A601C" w:rsidP="004429C9">
            <w:pPr>
              <w:keepNext/>
              <w:jc w:val="right"/>
              <w:rPr>
                <w:rFonts w:eastAsia="Times New Roman"/>
                <w:b/>
                <w:bCs/>
                <w:color w:val="FFFFFF"/>
                <w:sz w:val="16"/>
                <w:lang w:eastAsia="fr-FR"/>
              </w:rPr>
            </w:pPr>
            <w:r w:rsidRPr="00595CB3">
              <w:rPr>
                <w:rFonts w:eastAsia="Times New Roman"/>
                <w:b/>
                <w:bCs/>
                <w:color w:val="FFFFFF"/>
                <w:sz w:val="16"/>
                <w:lang w:eastAsia="fr-FR"/>
              </w:rPr>
              <w:t>201</w:t>
            </w:r>
            <w:r>
              <w:rPr>
                <w:rFonts w:eastAsia="Times New Roman"/>
                <w:b/>
                <w:bCs/>
                <w:color w:val="FFFFFF"/>
                <w:sz w:val="16"/>
                <w:lang w:eastAsia="fr-FR"/>
              </w:rPr>
              <w:t>5</w:t>
            </w:r>
          </w:p>
        </w:tc>
        <w:tc>
          <w:tcPr>
            <w:tcW w:w="0" w:type="auto"/>
            <w:tcBorders>
              <w:top w:val="nil"/>
              <w:left w:val="nil"/>
              <w:bottom w:val="single" w:sz="12" w:space="0" w:color="5B9BD5"/>
              <w:right w:val="nil"/>
            </w:tcBorders>
            <w:shd w:val="clear" w:color="000000" w:fill="244062"/>
            <w:vAlign w:val="center"/>
            <w:hideMark/>
          </w:tcPr>
          <w:p w14:paraId="2AE13010" w14:textId="3C76159D" w:rsidR="007A601C" w:rsidRPr="00595CB3" w:rsidRDefault="007A601C" w:rsidP="004429C9">
            <w:pPr>
              <w:keepNext/>
              <w:jc w:val="right"/>
              <w:rPr>
                <w:rFonts w:eastAsia="Times New Roman"/>
                <w:b/>
                <w:bCs/>
                <w:color w:val="FFFFFF"/>
                <w:sz w:val="16"/>
                <w:lang w:eastAsia="fr-FR"/>
              </w:rPr>
            </w:pPr>
            <w:r w:rsidRPr="00595CB3">
              <w:rPr>
                <w:rFonts w:eastAsia="Times New Roman"/>
                <w:b/>
                <w:bCs/>
                <w:color w:val="FFFFFF"/>
                <w:sz w:val="16"/>
                <w:lang w:eastAsia="fr-FR"/>
              </w:rPr>
              <w:t>201</w:t>
            </w:r>
            <w:r>
              <w:rPr>
                <w:rFonts w:eastAsia="Times New Roman"/>
                <w:b/>
                <w:bCs/>
                <w:color w:val="FFFFFF"/>
                <w:sz w:val="16"/>
                <w:lang w:eastAsia="fr-FR"/>
              </w:rPr>
              <w:t>6</w:t>
            </w:r>
          </w:p>
        </w:tc>
        <w:tc>
          <w:tcPr>
            <w:tcW w:w="0" w:type="auto"/>
            <w:tcBorders>
              <w:top w:val="nil"/>
              <w:left w:val="nil"/>
              <w:bottom w:val="single" w:sz="12" w:space="0" w:color="5B9BD5"/>
              <w:right w:val="nil"/>
            </w:tcBorders>
            <w:shd w:val="clear" w:color="000000" w:fill="244062"/>
            <w:vAlign w:val="center"/>
            <w:hideMark/>
          </w:tcPr>
          <w:p w14:paraId="1BFD932E" w14:textId="2DE2AB4D" w:rsidR="007A601C" w:rsidRPr="00595CB3" w:rsidRDefault="007A601C" w:rsidP="004429C9">
            <w:pPr>
              <w:keepNext/>
              <w:jc w:val="right"/>
              <w:rPr>
                <w:rFonts w:eastAsia="Times New Roman"/>
                <w:b/>
                <w:bCs/>
                <w:color w:val="FFFFFF"/>
                <w:sz w:val="16"/>
                <w:lang w:eastAsia="fr-FR"/>
              </w:rPr>
            </w:pPr>
            <w:r w:rsidRPr="00595CB3">
              <w:rPr>
                <w:rFonts w:eastAsia="Times New Roman"/>
                <w:b/>
                <w:bCs/>
                <w:color w:val="FFFFFF"/>
                <w:sz w:val="16"/>
                <w:lang w:eastAsia="fr-FR"/>
              </w:rPr>
              <w:t>201</w:t>
            </w:r>
            <w:r>
              <w:rPr>
                <w:rFonts w:eastAsia="Times New Roman"/>
                <w:b/>
                <w:bCs/>
                <w:color w:val="FFFFFF"/>
                <w:sz w:val="16"/>
                <w:lang w:eastAsia="fr-FR"/>
              </w:rPr>
              <w:t>7</w:t>
            </w:r>
          </w:p>
        </w:tc>
      </w:tr>
      <w:tr w:rsidR="003A6C60" w:rsidRPr="00595CB3" w14:paraId="34F50947" w14:textId="77777777" w:rsidTr="008B6862">
        <w:trPr>
          <w:trHeight w:val="283"/>
        </w:trPr>
        <w:tc>
          <w:tcPr>
            <w:tcW w:w="0" w:type="auto"/>
            <w:tcBorders>
              <w:top w:val="nil"/>
              <w:left w:val="nil"/>
              <w:bottom w:val="nil"/>
              <w:right w:val="nil"/>
            </w:tcBorders>
            <w:shd w:val="clear" w:color="000000" w:fill="BDD7EE"/>
            <w:noWrap/>
            <w:vAlign w:val="center"/>
            <w:hideMark/>
          </w:tcPr>
          <w:p w14:paraId="3AC5938B" w14:textId="77777777" w:rsidR="003A6C60" w:rsidRPr="00595CB3" w:rsidRDefault="003A6C60" w:rsidP="003A6C60">
            <w:pPr>
              <w:keepNext/>
              <w:rPr>
                <w:rFonts w:eastAsia="Times New Roman"/>
                <w:sz w:val="16"/>
                <w:lang w:eastAsia="fr-FR"/>
              </w:rPr>
            </w:pPr>
            <w:r w:rsidRPr="00595CB3">
              <w:rPr>
                <w:rFonts w:eastAsia="Times New Roman"/>
                <w:sz w:val="16"/>
                <w:lang w:eastAsia="fr-FR"/>
              </w:rPr>
              <w:t>Oil and Gas Extraction</w:t>
            </w:r>
          </w:p>
        </w:tc>
        <w:tc>
          <w:tcPr>
            <w:tcW w:w="0" w:type="auto"/>
            <w:tcBorders>
              <w:top w:val="nil"/>
              <w:left w:val="nil"/>
              <w:bottom w:val="nil"/>
              <w:right w:val="nil"/>
            </w:tcBorders>
            <w:shd w:val="clear" w:color="000000" w:fill="BDD7EE"/>
            <w:noWrap/>
            <w:vAlign w:val="center"/>
          </w:tcPr>
          <w:p w14:paraId="48BA14CF" w14:textId="3B7EFAE2" w:rsidR="003A6C60" w:rsidRPr="00964863" w:rsidRDefault="003A6C60" w:rsidP="00964863">
            <w:pPr>
              <w:keepNext/>
              <w:jc w:val="right"/>
              <w:rPr>
                <w:rFonts w:eastAsia="Times New Roman"/>
                <w:sz w:val="16"/>
                <w:lang w:eastAsia="fr-FR"/>
              </w:rPr>
            </w:pPr>
            <w:r w:rsidRPr="008B6862">
              <w:rPr>
                <w:sz w:val="16"/>
              </w:rPr>
              <w:t>15.5</w:t>
            </w:r>
          </w:p>
        </w:tc>
        <w:tc>
          <w:tcPr>
            <w:tcW w:w="0" w:type="auto"/>
            <w:tcBorders>
              <w:top w:val="nil"/>
              <w:left w:val="nil"/>
              <w:bottom w:val="nil"/>
              <w:right w:val="nil"/>
            </w:tcBorders>
            <w:shd w:val="clear" w:color="000000" w:fill="BDD7EE"/>
            <w:noWrap/>
            <w:vAlign w:val="center"/>
          </w:tcPr>
          <w:p w14:paraId="25BD36D2" w14:textId="116B93C2" w:rsidR="003A6C60" w:rsidRPr="00964863" w:rsidRDefault="003A6C60" w:rsidP="00964863">
            <w:pPr>
              <w:keepNext/>
              <w:jc w:val="right"/>
              <w:rPr>
                <w:rFonts w:eastAsia="Times New Roman"/>
                <w:sz w:val="16"/>
                <w:lang w:eastAsia="fr-FR"/>
              </w:rPr>
            </w:pPr>
            <w:r w:rsidRPr="008B6862">
              <w:rPr>
                <w:sz w:val="16"/>
              </w:rPr>
              <w:t>16.6</w:t>
            </w:r>
          </w:p>
        </w:tc>
        <w:tc>
          <w:tcPr>
            <w:tcW w:w="0" w:type="auto"/>
            <w:tcBorders>
              <w:top w:val="nil"/>
              <w:left w:val="nil"/>
              <w:bottom w:val="nil"/>
              <w:right w:val="nil"/>
            </w:tcBorders>
            <w:shd w:val="clear" w:color="000000" w:fill="BDD7EE"/>
            <w:noWrap/>
            <w:vAlign w:val="center"/>
          </w:tcPr>
          <w:p w14:paraId="66ECE629" w14:textId="67104347" w:rsidR="003A6C60" w:rsidRPr="00964863" w:rsidRDefault="003A6C60" w:rsidP="00964863">
            <w:pPr>
              <w:keepNext/>
              <w:jc w:val="right"/>
              <w:rPr>
                <w:rFonts w:eastAsia="Times New Roman"/>
                <w:sz w:val="16"/>
                <w:lang w:eastAsia="fr-FR"/>
              </w:rPr>
            </w:pPr>
            <w:r w:rsidRPr="008B6862">
              <w:rPr>
                <w:sz w:val="16"/>
              </w:rPr>
              <w:t>15.7</w:t>
            </w:r>
          </w:p>
        </w:tc>
        <w:tc>
          <w:tcPr>
            <w:tcW w:w="0" w:type="auto"/>
            <w:tcBorders>
              <w:top w:val="nil"/>
              <w:left w:val="nil"/>
              <w:bottom w:val="nil"/>
              <w:right w:val="nil"/>
            </w:tcBorders>
            <w:shd w:val="clear" w:color="000000" w:fill="BDD7EE"/>
            <w:noWrap/>
            <w:vAlign w:val="center"/>
          </w:tcPr>
          <w:p w14:paraId="2946A4DD" w14:textId="75F1F7C5" w:rsidR="003A6C60" w:rsidRPr="00964863" w:rsidRDefault="003A6C60" w:rsidP="00964863">
            <w:pPr>
              <w:keepNext/>
              <w:jc w:val="right"/>
              <w:rPr>
                <w:rFonts w:eastAsia="Times New Roman"/>
                <w:sz w:val="16"/>
                <w:lang w:eastAsia="fr-FR"/>
              </w:rPr>
            </w:pPr>
            <w:r w:rsidRPr="008B6862">
              <w:rPr>
                <w:sz w:val="16"/>
              </w:rPr>
              <w:t>15.2</w:t>
            </w:r>
          </w:p>
        </w:tc>
        <w:tc>
          <w:tcPr>
            <w:tcW w:w="0" w:type="auto"/>
            <w:tcBorders>
              <w:top w:val="nil"/>
              <w:left w:val="nil"/>
              <w:bottom w:val="nil"/>
              <w:right w:val="nil"/>
            </w:tcBorders>
            <w:shd w:val="clear" w:color="000000" w:fill="BDD7EE"/>
            <w:noWrap/>
            <w:vAlign w:val="center"/>
          </w:tcPr>
          <w:p w14:paraId="162F7054" w14:textId="5EBB3FDE" w:rsidR="003A6C60" w:rsidRPr="00964863" w:rsidRDefault="003A6C60" w:rsidP="00964863">
            <w:pPr>
              <w:keepNext/>
              <w:jc w:val="right"/>
              <w:rPr>
                <w:rFonts w:eastAsia="Times New Roman"/>
                <w:sz w:val="16"/>
                <w:lang w:eastAsia="fr-FR"/>
              </w:rPr>
            </w:pPr>
            <w:r w:rsidRPr="008B6862">
              <w:rPr>
                <w:sz w:val="16"/>
              </w:rPr>
              <w:t>12.2</w:t>
            </w:r>
          </w:p>
        </w:tc>
      </w:tr>
      <w:tr w:rsidR="003A6C60" w:rsidRPr="00595CB3" w14:paraId="48ABDD8E" w14:textId="77777777" w:rsidTr="008B6862">
        <w:trPr>
          <w:trHeight w:val="283"/>
        </w:trPr>
        <w:tc>
          <w:tcPr>
            <w:tcW w:w="0" w:type="auto"/>
            <w:tcBorders>
              <w:top w:val="nil"/>
              <w:left w:val="nil"/>
              <w:bottom w:val="nil"/>
              <w:right w:val="nil"/>
            </w:tcBorders>
            <w:shd w:val="clear" w:color="auto" w:fill="auto"/>
            <w:noWrap/>
            <w:vAlign w:val="center"/>
            <w:hideMark/>
          </w:tcPr>
          <w:p w14:paraId="3771BC90" w14:textId="77777777" w:rsidR="003A6C60" w:rsidRPr="00595CB3" w:rsidRDefault="003A6C60" w:rsidP="003A6C60">
            <w:pPr>
              <w:keepNext/>
              <w:rPr>
                <w:rFonts w:eastAsia="Times New Roman"/>
                <w:sz w:val="16"/>
                <w:lang w:eastAsia="fr-FR"/>
              </w:rPr>
            </w:pPr>
            <w:r w:rsidRPr="00595CB3">
              <w:rPr>
                <w:rFonts w:eastAsia="Times New Roman"/>
                <w:sz w:val="16"/>
                <w:lang w:eastAsia="fr-FR"/>
              </w:rPr>
              <w:t>Support activities for petroleum and natural gas extraction</w:t>
            </w:r>
          </w:p>
        </w:tc>
        <w:tc>
          <w:tcPr>
            <w:tcW w:w="0" w:type="auto"/>
            <w:tcBorders>
              <w:top w:val="nil"/>
              <w:left w:val="nil"/>
              <w:bottom w:val="nil"/>
              <w:right w:val="nil"/>
            </w:tcBorders>
            <w:shd w:val="clear" w:color="auto" w:fill="auto"/>
            <w:noWrap/>
            <w:vAlign w:val="center"/>
          </w:tcPr>
          <w:p w14:paraId="215BBD00" w14:textId="508E18DD" w:rsidR="003A6C60" w:rsidRPr="00964863" w:rsidRDefault="003A6C60" w:rsidP="00964863">
            <w:pPr>
              <w:keepNext/>
              <w:jc w:val="right"/>
              <w:rPr>
                <w:rFonts w:eastAsia="Times New Roman"/>
                <w:sz w:val="16"/>
                <w:lang w:eastAsia="fr-FR"/>
              </w:rPr>
            </w:pPr>
            <w:r w:rsidRPr="008B6862">
              <w:rPr>
                <w:sz w:val="16"/>
              </w:rPr>
              <w:t>21.2</w:t>
            </w:r>
          </w:p>
        </w:tc>
        <w:tc>
          <w:tcPr>
            <w:tcW w:w="0" w:type="auto"/>
            <w:tcBorders>
              <w:top w:val="nil"/>
              <w:left w:val="nil"/>
              <w:bottom w:val="nil"/>
              <w:right w:val="nil"/>
            </w:tcBorders>
            <w:shd w:val="clear" w:color="auto" w:fill="auto"/>
            <w:noWrap/>
            <w:vAlign w:val="center"/>
          </w:tcPr>
          <w:p w14:paraId="576E76ED" w14:textId="765CC1BB" w:rsidR="003A6C60" w:rsidRPr="00964863" w:rsidRDefault="003A6C60" w:rsidP="00964863">
            <w:pPr>
              <w:keepNext/>
              <w:jc w:val="right"/>
              <w:rPr>
                <w:rFonts w:eastAsia="Times New Roman"/>
                <w:sz w:val="16"/>
                <w:lang w:eastAsia="fr-FR"/>
              </w:rPr>
            </w:pPr>
            <w:r w:rsidRPr="008B6862">
              <w:rPr>
                <w:sz w:val="16"/>
              </w:rPr>
              <w:t>25.1</w:t>
            </w:r>
          </w:p>
        </w:tc>
        <w:tc>
          <w:tcPr>
            <w:tcW w:w="0" w:type="auto"/>
            <w:tcBorders>
              <w:top w:val="nil"/>
              <w:left w:val="nil"/>
              <w:bottom w:val="nil"/>
              <w:right w:val="nil"/>
            </w:tcBorders>
            <w:shd w:val="clear" w:color="auto" w:fill="auto"/>
            <w:noWrap/>
            <w:vAlign w:val="center"/>
          </w:tcPr>
          <w:p w14:paraId="43D53857" w14:textId="5F810EE7" w:rsidR="003A6C60" w:rsidRPr="00964863" w:rsidRDefault="003A6C60" w:rsidP="00964863">
            <w:pPr>
              <w:keepNext/>
              <w:jc w:val="right"/>
              <w:rPr>
                <w:rFonts w:eastAsia="Times New Roman"/>
                <w:sz w:val="16"/>
                <w:lang w:eastAsia="fr-FR"/>
              </w:rPr>
            </w:pPr>
            <w:r w:rsidRPr="008B6862">
              <w:rPr>
                <w:sz w:val="16"/>
              </w:rPr>
              <w:t>22.4</w:t>
            </w:r>
          </w:p>
        </w:tc>
        <w:tc>
          <w:tcPr>
            <w:tcW w:w="0" w:type="auto"/>
            <w:tcBorders>
              <w:top w:val="nil"/>
              <w:left w:val="nil"/>
              <w:bottom w:val="nil"/>
              <w:right w:val="nil"/>
            </w:tcBorders>
            <w:shd w:val="clear" w:color="auto" w:fill="auto"/>
            <w:noWrap/>
            <w:vAlign w:val="center"/>
          </w:tcPr>
          <w:p w14:paraId="65DF3E11" w14:textId="7525AA60" w:rsidR="003A6C60" w:rsidRPr="00964863" w:rsidRDefault="003A6C60" w:rsidP="00964863">
            <w:pPr>
              <w:keepNext/>
              <w:jc w:val="right"/>
              <w:rPr>
                <w:rFonts w:eastAsia="Times New Roman"/>
                <w:sz w:val="16"/>
                <w:lang w:eastAsia="fr-FR"/>
              </w:rPr>
            </w:pPr>
            <w:r w:rsidRPr="008B6862">
              <w:rPr>
                <w:sz w:val="16"/>
              </w:rPr>
              <w:t>18.8</w:t>
            </w:r>
          </w:p>
        </w:tc>
        <w:tc>
          <w:tcPr>
            <w:tcW w:w="0" w:type="auto"/>
            <w:tcBorders>
              <w:top w:val="nil"/>
              <w:left w:val="nil"/>
              <w:bottom w:val="nil"/>
              <w:right w:val="nil"/>
            </w:tcBorders>
            <w:shd w:val="clear" w:color="auto" w:fill="auto"/>
            <w:noWrap/>
            <w:vAlign w:val="center"/>
          </w:tcPr>
          <w:p w14:paraId="405CF18F" w14:textId="41062BBF" w:rsidR="003A6C60" w:rsidRPr="00964863" w:rsidRDefault="003A6C60" w:rsidP="00964863">
            <w:pPr>
              <w:keepNext/>
              <w:jc w:val="right"/>
              <w:rPr>
                <w:rFonts w:eastAsia="Times New Roman"/>
                <w:sz w:val="16"/>
                <w:lang w:eastAsia="fr-FR"/>
              </w:rPr>
            </w:pPr>
            <w:r w:rsidRPr="008B6862">
              <w:rPr>
                <w:sz w:val="16"/>
              </w:rPr>
              <w:t>19.4</w:t>
            </w:r>
          </w:p>
        </w:tc>
      </w:tr>
      <w:tr w:rsidR="003A6C60" w:rsidRPr="00595CB3" w14:paraId="63DCFFFA" w14:textId="77777777" w:rsidTr="008B6862">
        <w:trPr>
          <w:trHeight w:val="283"/>
        </w:trPr>
        <w:tc>
          <w:tcPr>
            <w:tcW w:w="0" w:type="auto"/>
            <w:tcBorders>
              <w:top w:val="single" w:sz="12" w:space="0" w:color="5B9BD5"/>
              <w:left w:val="nil"/>
              <w:bottom w:val="nil"/>
              <w:right w:val="nil"/>
            </w:tcBorders>
            <w:shd w:val="clear" w:color="000000" w:fill="BFBFBF"/>
            <w:noWrap/>
            <w:vAlign w:val="center"/>
            <w:hideMark/>
          </w:tcPr>
          <w:p w14:paraId="045F6BED" w14:textId="77777777" w:rsidR="003A6C60" w:rsidRPr="00595CB3" w:rsidRDefault="003A6C60" w:rsidP="003A6C60">
            <w:pPr>
              <w:keepNext/>
              <w:rPr>
                <w:rFonts w:eastAsia="Times New Roman"/>
                <w:b/>
                <w:bCs/>
                <w:sz w:val="16"/>
                <w:lang w:eastAsia="fr-FR"/>
              </w:rPr>
            </w:pPr>
            <w:r w:rsidRPr="00595CB3">
              <w:rPr>
                <w:rFonts w:eastAsia="Times New Roman"/>
                <w:b/>
                <w:bCs/>
                <w:sz w:val="16"/>
                <w:lang w:eastAsia="fr-FR"/>
              </w:rPr>
              <w:t>Oil and Gas Extraction and Support Services</w:t>
            </w:r>
          </w:p>
        </w:tc>
        <w:tc>
          <w:tcPr>
            <w:tcW w:w="0" w:type="auto"/>
            <w:tcBorders>
              <w:top w:val="single" w:sz="12" w:space="0" w:color="5B9BD5"/>
              <w:left w:val="nil"/>
              <w:bottom w:val="nil"/>
              <w:right w:val="nil"/>
            </w:tcBorders>
            <w:shd w:val="clear" w:color="000000" w:fill="BFBFBF"/>
            <w:noWrap/>
            <w:vAlign w:val="center"/>
          </w:tcPr>
          <w:p w14:paraId="5BBC26AE" w14:textId="24C9166E" w:rsidR="003A6C60" w:rsidRPr="00964863" w:rsidRDefault="003A6C60" w:rsidP="00964863">
            <w:pPr>
              <w:keepNext/>
              <w:jc w:val="right"/>
              <w:rPr>
                <w:rFonts w:eastAsia="Times New Roman"/>
                <w:b/>
                <w:bCs/>
                <w:sz w:val="16"/>
                <w:lang w:eastAsia="fr-FR"/>
              </w:rPr>
            </w:pPr>
            <w:r w:rsidRPr="008B6862">
              <w:rPr>
                <w:b/>
                <w:bCs/>
                <w:sz w:val="16"/>
              </w:rPr>
              <w:t>36.7</w:t>
            </w:r>
          </w:p>
        </w:tc>
        <w:tc>
          <w:tcPr>
            <w:tcW w:w="0" w:type="auto"/>
            <w:tcBorders>
              <w:top w:val="single" w:sz="12" w:space="0" w:color="5B9BD5"/>
              <w:left w:val="nil"/>
              <w:bottom w:val="nil"/>
              <w:right w:val="nil"/>
            </w:tcBorders>
            <w:shd w:val="clear" w:color="000000" w:fill="BFBFBF"/>
            <w:noWrap/>
            <w:vAlign w:val="center"/>
          </w:tcPr>
          <w:p w14:paraId="5C24DB45" w14:textId="516E3DD8" w:rsidR="003A6C60" w:rsidRPr="00964863" w:rsidRDefault="003A6C60" w:rsidP="00964863">
            <w:pPr>
              <w:keepNext/>
              <w:jc w:val="right"/>
              <w:rPr>
                <w:rFonts w:eastAsia="Times New Roman"/>
                <w:b/>
                <w:bCs/>
                <w:sz w:val="16"/>
                <w:lang w:eastAsia="fr-FR"/>
              </w:rPr>
            </w:pPr>
            <w:r w:rsidRPr="008B6862">
              <w:rPr>
                <w:b/>
                <w:bCs/>
                <w:sz w:val="16"/>
              </w:rPr>
              <w:t>41.7</w:t>
            </w:r>
          </w:p>
        </w:tc>
        <w:tc>
          <w:tcPr>
            <w:tcW w:w="0" w:type="auto"/>
            <w:tcBorders>
              <w:top w:val="single" w:sz="12" w:space="0" w:color="5B9BD5"/>
              <w:left w:val="nil"/>
              <w:bottom w:val="nil"/>
              <w:right w:val="nil"/>
            </w:tcBorders>
            <w:shd w:val="clear" w:color="000000" w:fill="BFBFBF"/>
            <w:noWrap/>
            <w:vAlign w:val="center"/>
          </w:tcPr>
          <w:p w14:paraId="0CFCBBCA" w14:textId="0D47770A" w:rsidR="003A6C60" w:rsidRPr="00964863" w:rsidRDefault="003A6C60" w:rsidP="00964863">
            <w:pPr>
              <w:keepNext/>
              <w:jc w:val="right"/>
              <w:rPr>
                <w:rFonts w:eastAsia="Times New Roman"/>
                <w:b/>
                <w:bCs/>
                <w:sz w:val="16"/>
                <w:lang w:eastAsia="fr-FR"/>
              </w:rPr>
            </w:pPr>
            <w:r w:rsidRPr="008B6862">
              <w:rPr>
                <w:b/>
                <w:bCs/>
                <w:sz w:val="16"/>
              </w:rPr>
              <w:t>38.1</w:t>
            </w:r>
          </w:p>
        </w:tc>
        <w:tc>
          <w:tcPr>
            <w:tcW w:w="0" w:type="auto"/>
            <w:tcBorders>
              <w:top w:val="single" w:sz="12" w:space="0" w:color="5B9BD5"/>
              <w:left w:val="nil"/>
              <w:bottom w:val="nil"/>
              <w:right w:val="nil"/>
            </w:tcBorders>
            <w:shd w:val="clear" w:color="000000" w:fill="BFBFBF"/>
            <w:noWrap/>
            <w:vAlign w:val="center"/>
          </w:tcPr>
          <w:p w14:paraId="56BCE011" w14:textId="09AE7FDF" w:rsidR="003A6C60" w:rsidRPr="00964863" w:rsidRDefault="003A6C60" w:rsidP="00964863">
            <w:pPr>
              <w:keepNext/>
              <w:jc w:val="right"/>
              <w:rPr>
                <w:rFonts w:eastAsia="Times New Roman"/>
                <w:b/>
                <w:bCs/>
                <w:sz w:val="16"/>
                <w:lang w:eastAsia="fr-FR"/>
              </w:rPr>
            </w:pPr>
            <w:r w:rsidRPr="008B6862">
              <w:rPr>
                <w:b/>
                <w:bCs/>
                <w:sz w:val="16"/>
              </w:rPr>
              <w:t>34.0</w:t>
            </w:r>
          </w:p>
        </w:tc>
        <w:tc>
          <w:tcPr>
            <w:tcW w:w="0" w:type="auto"/>
            <w:tcBorders>
              <w:top w:val="single" w:sz="12" w:space="0" w:color="5B9BD5"/>
              <w:left w:val="nil"/>
              <w:bottom w:val="nil"/>
              <w:right w:val="nil"/>
            </w:tcBorders>
            <w:shd w:val="clear" w:color="000000" w:fill="BFBFBF"/>
            <w:noWrap/>
            <w:vAlign w:val="center"/>
          </w:tcPr>
          <w:p w14:paraId="26ECC20C" w14:textId="066C3B33" w:rsidR="003A6C60" w:rsidRPr="00964863" w:rsidRDefault="003A6C60" w:rsidP="00964863">
            <w:pPr>
              <w:keepNext/>
              <w:jc w:val="right"/>
              <w:rPr>
                <w:rFonts w:eastAsia="Times New Roman"/>
                <w:b/>
                <w:bCs/>
                <w:sz w:val="16"/>
                <w:lang w:eastAsia="fr-FR"/>
              </w:rPr>
            </w:pPr>
            <w:r w:rsidRPr="008B6862">
              <w:rPr>
                <w:b/>
                <w:bCs/>
                <w:sz w:val="16"/>
              </w:rPr>
              <w:t>31.6</w:t>
            </w:r>
          </w:p>
        </w:tc>
      </w:tr>
      <w:tr w:rsidR="003A6C60" w:rsidRPr="00595CB3" w14:paraId="6675838B" w14:textId="77777777" w:rsidTr="004429C9">
        <w:trPr>
          <w:trHeight w:val="102"/>
        </w:trPr>
        <w:tc>
          <w:tcPr>
            <w:tcW w:w="0" w:type="auto"/>
            <w:tcBorders>
              <w:top w:val="nil"/>
              <w:left w:val="nil"/>
              <w:bottom w:val="nil"/>
              <w:right w:val="nil"/>
            </w:tcBorders>
            <w:shd w:val="clear" w:color="auto" w:fill="auto"/>
            <w:noWrap/>
            <w:vAlign w:val="center"/>
            <w:hideMark/>
          </w:tcPr>
          <w:p w14:paraId="30550DD0" w14:textId="77777777" w:rsidR="003A6C60" w:rsidRPr="00595CB3" w:rsidRDefault="003A6C60" w:rsidP="003A6C60">
            <w:pPr>
              <w:keepNext/>
              <w:jc w:val="right"/>
              <w:rPr>
                <w:rFonts w:eastAsia="Times New Roman"/>
                <w:b/>
                <w:bCs/>
                <w:sz w:val="16"/>
                <w:lang w:eastAsia="fr-FR"/>
              </w:rPr>
            </w:pPr>
          </w:p>
        </w:tc>
        <w:tc>
          <w:tcPr>
            <w:tcW w:w="0" w:type="auto"/>
            <w:tcBorders>
              <w:top w:val="nil"/>
              <w:left w:val="nil"/>
              <w:bottom w:val="nil"/>
              <w:right w:val="nil"/>
            </w:tcBorders>
            <w:shd w:val="clear" w:color="auto" w:fill="auto"/>
            <w:noWrap/>
            <w:vAlign w:val="center"/>
            <w:hideMark/>
          </w:tcPr>
          <w:p w14:paraId="49FF9EEE" w14:textId="77777777" w:rsidR="003A6C60" w:rsidRPr="00595CB3" w:rsidRDefault="003A6C60" w:rsidP="003A6C60">
            <w:pPr>
              <w:keepNext/>
              <w:rPr>
                <w:rFonts w:ascii="Times New Roman" w:eastAsia="Times New Roman" w:hAnsi="Times New Roman" w:cs="Times New Roman"/>
                <w:sz w:val="20"/>
                <w:szCs w:val="20"/>
                <w:lang w:eastAsia="fr-FR"/>
              </w:rPr>
            </w:pPr>
          </w:p>
        </w:tc>
        <w:tc>
          <w:tcPr>
            <w:tcW w:w="0" w:type="auto"/>
            <w:tcBorders>
              <w:top w:val="nil"/>
              <w:left w:val="nil"/>
              <w:bottom w:val="nil"/>
              <w:right w:val="nil"/>
            </w:tcBorders>
            <w:shd w:val="clear" w:color="auto" w:fill="auto"/>
            <w:noWrap/>
            <w:vAlign w:val="center"/>
            <w:hideMark/>
          </w:tcPr>
          <w:p w14:paraId="6E80FD67" w14:textId="77777777" w:rsidR="003A6C60" w:rsidRPr="00595CB3" w:rsidRDefault="003A6C60" w:rsidP="003A6C60">
            <w:pPr>
              <w:keepNext/>
              <w:rPr>
                <w:rFonts w:ascii="Times New Roman" w:eastAsia="Times New Roman" w:hAnsi="Times New Roman" w:cs="Times New Roman"/>
                <w:sz w:val="20"/>
                <w:szCs w:val="20"/>
                <w:lang w:eastAsia="fr-FR"/>
              </w:rPr>
            </w:pPr>
          </w:p>
        </w:tc>
        <w:tc>
          <w:tcPr>
            <w:tcW w:w="0" w:type="auto"/>
            <w:tcBorders>
              <w:top w:val="nil"/>
              <w:left w:val="nil"/>
              <w:bottom w:val="nil"/>
              <w:right w:val="nil"/>
            </w:tcBorders>
            <w:shd w:val="clear" w:color="auto" w:fill="auto"/>
            <w:noWrap/>
            <w:vAlign w:val="center"/>
            <w:hideMark/>
          </w:tcPr>
          <w:p w14:paraId="65865CAA" w14:textId="77777777" w:rsidR="003A6C60" w:rsidRPr="00595CB3" w:rsidRDefault="003A6C60" w:rsidP="003A6C60">
            <w:pPr>
              <w:keepNext/>
              <w:rPr>
                <w:rFonts w:ascii="Times New Roman" w:eastAsia="Times New Roman" w:hAnsi="Times New Roman" w:cs="Times New Roman"/>
                <w:sz w:val="20"/>
                <w:szCs w:val="20"/>
                <w:lang w:eastAsia="fr-FR"/>
              </w:rPr>
            </w:pPr>
          </w:p>
        </w:tc>
        <w:tc>
          <w:tcPr>
            <w:tcW w:w="0" w:type="auto"/>
            <w:tcBorders>
              <w:top w:val="nil"/>
              <w:left w:val="nil"/>
              <w:bottom w:val="nil"/>
              <w:right w:val="nil"/>
            </w:tcBorders>
            <w:shd w:val="clear" w:color="auto" w:fill="auto"/>
            <w:noWrap/>
            <w:vAlign w:val="center"/>
            <w:hideMark/>
          </w:tcPr>
          <w:p w14:paraId="6E9DD686" w14:textId="77777777" w:rsidR="003A6C60" w:rsidRPr="00595CB3" w:rsidRDefault="003A6C60" w:rsidP="003A6C60">
            <w:pPr>
              <w:keepNext/>
              <w:rPr>
                <w:rFonts w:ascii="Times New Roman" w:eastAsia="Times New Roman" w:hAnsi="Times New Roman" w:cs="Times New Roman"/>
                <w:sz w:val="20"/>
                <w:szCs w:val="20"/>
                <w:lang w:eastAsia="fr-FR"/>
              </w:rPr>
            </w:pPr>
          </w:p>
        </w:tc>
        <w:tc>
          <w:tcPr>
            <w:tcW w:w="0" w:type="auto"/>
            <w:tcBorders>
              <w:top w:val="nil"/>
              <w:left w:val="nil"/>
              <w:bottom w:val="nil"/>
              <w:right w:val="nil"/>
            </w:tcBorders>
            <w:shd w:val="clear" w:color="auto" w:fill="auto"/>
            <w:noWrap/>
            <w:vAlign w:val="center"/>
            <w:hideMark/>
          </w:tcPr>
          <w:p w14:paraId="383BBAAE" w14:textId="77777777" w:rsidR="003A6C60" w:rsidRPr="00595CB3" w:rsidRDefault="003A6C60" w:rsidP="003A6C60">
            <w:pPr>
              <w:keepNext/>
              <w:rPr>
                <w:rFonts w:ascii="Times New Roman" w:eastAsia="Times New Roman" w:hAnsi="Times New Roman" w:cs="Times New Roman"/>
                <w:sz w:val="20"/>
                <w:szCs w:val="20"/>
                <w:lang w:eastAsia="fr-FR"/>
              </w:rPr>
            </w:pPr>
          </w:p>
        </w:tc>
      </w:tr>
      <w:tr w:rsidR="003A6C60" w:rsidRPr="00595CB3" w14:paraId="3B54AB05" w14:textId="77777777" w:rsidTr="004429C9">
        <w:trPr>
          <w:trHeight w:val="283"/>
        </w:trPr>
        <w:tc>
          <w:tcPr>
            <w:tcW w:w="0" w:type="auto"/>
            <w:gridSpan w:val="5"/>
            <w:tcBorders>
              <w:top w:val="nil"/>
              <w:left w:val="nil"/>
              <w:bottom w:val="nil"/>
              <w:right w:val="nil"/>
            </w:tcBorders>
            <w:shd w:val="clear" w:color="auto" w:fill="auto"/>
            <w:noWrap/>
            <w:vAlign w:val="center"/>
            <w:hideMark/>
          </w:tcPr>
          <w:p w14:paraId="45445FA3" w14:textId="77777777" w:rsidR="003A6C60" w:rsidRPr="00595CB3" w:rsidRDefault="003A6C60" w:rsidP="003A6C60">
            <w:pPr>
              <w:rPr>
                <w:rFonts w:eastAsia="Times New Roman"/>
                <w:color w:val="000000"/>
                <w:sz w:val="16"/>
                <w:lang w:eastAsia="fr-FR"/>
              </w:rPr>
            </w:pPr>
            <w:r w:rsidRPr="00595CB3">
              <w:rPr>
                <w:rFonts w:eastAsia="Times New Roman"/>
                <w:iCs/>
                <w:color w:val="000000"/>
                <w:sz w:val="16"/>
                <w:lang w:eastAsia="fr-FR"/>
              </w:rPr>
              <w:t>Source</w:t>
            </w:r>
            <w:r w:rsidRPr="00595CB3">
              <w:rPr>
                <w:rFonts w:eastAsia="Times New Roman"/>
                <w:color w:val="000000"/>
                <w:sz w:val="16"/>
                <w:lang w:eastAsia="fr-FR"/>
              </w:rPr>
              <w:t>: Business Register and Employment Survey (Table 2a).</w:t>
            </w:r>
          </w:p>
        </w:tc>
        <w:tc>
          <w:tcPr>
            <w:tcW w:w="0" w:type="auto"/>
            <w:tcBorders>
              <w:top w:val="nil"/>
              <w:left w:val="nil"/>
              <w:bottom w:val="nil"/>
              <w:right w:val="nil"/>
            </w:tcBorders>
            <w:shd w:val="clear" w:color="auto" w:fill="auto"/>
            <w:noWrap/>
            <w:vAlign w:val="center"/>
            <w:hideMark/>
          </w:tcPr>
          <w:p w14:paraId="6B15B885" w14:textId="77777777" w:rsidR="003A6C60" w:rsidRPr="00595CB3" w:rsidRDefault="003A6C60" w:rsidP="003A6C60">
            <w:pPr>
              <w:rPr>
                <w:rFonts w:eastAsia="Times New Roman"/>
                <w:color w:val="000000"/>
                <w:sz w:val="16"/>
                <w:lang w:eastAsia="fr-FR"/>
              </w:rPr>
            </w:pPr>
          </w:p>
        </w:tc>
      </w:tr>
    </w:tbl>
    <w:p w14:paraId="16734687" w14:textId="63BF38A7" w:rsidR="00A10787" w:rsidRDefault="00E52F45" w:rsidP="00E0694A">
      <w:pPr>
        <w:autoSpaceDE w:val="0"/>
        <w:autoSpaceDN w:val="0"/>
        <w:adjustRightInd w:val="0"/>
        <w:spacing w:after="180" w:line="276" w:lineRule="auto"/>
        <w:rPr>
          <w:rFonts w:eastAsia="Calibri"/>
          <w:szCs w:val="24"/>
        </w:rPr>
      </w:pPr>
      <w:r w:rsidRPr="00B66EA6">
        <w:rPr>
          <w:rFonts w:eastAsia="Calibri"/>
          <w:szCs w:val="24"/>
        </w:rPr>
        <w:t>Additional information on employment in the UK oil and gas industry, including the UK supply chain, is published by Oil &amp; Gas UK.</w:t>
      </w:r>
      <w:r w:rsidRPr="00B66EA6">
        <w:rPr>
          <w:rFonts w:eastAsia="Calibri"/>
          <w:szCs w:val="24"/>
          <w:vertAlign w:val="superscript"/>
        </w:rPr>
        <w:footnoteReference w:id="22"/>
      </w:r>
      <w:r w:rsidRPr="00B66EA6">
        <w:rPr>
          <w:rFonts w:eastAsia="Calibri"/>
          <w:szCs w:val="24"/>
        </w:rPr>
        <w:t xml:space="preserve"> This information includes estimates of the indirect and induced jobs that depend on the UK’s upstream oil and gas sector. </w:t>
      </w:r>
      <w:r w:rsidR="00B1743C" w:rsidRPr="00B66EA6">
        <w:rPr>
          <w:rFonts w:eastAsia="Calibri"/>
          <w:szCs w:val="24"/>
        </w:rPr>
        <w:t>Note that t</w:t>
      </w:r>
      <w:r w:rsidRPr="00B66EA6">
        <w:rPr>
          <w:rFonts w:eastAsia="Calibri"/>
          <w:szCs w:val="24"/>
        </w:rPr>
        <w:t xml:space="preserve">he direct employment estimates reported </w:t>
      </w:r>
      <w:r w:rsidR="00045B1F">
        <w:rPr>
          <w:rFonts w:eastAsia="Calibri"/>
          <w:szCs w:val="24"/>
        </w:rPr>
        <w:t xml:space="preserve">can </w:t>
      </w:r>
      <w:r w:rsidRPr="00B66EA6">
        <w:rPr>
          <w:rFonts w:eastAsia="Calibri"/>
          <w:szCs w:val="24"/>
        </w:rPr>
        <w:t>differ from the ONS estimates</w:t>
      </w:r>
      <w:r w:rsidR="00045B1F">
        <w:rPr>
          <w:rFonts w:eastAsia="Calibri"/>
          <w:szCs w:val="24"/>
        </w:rPr>
        <w:t>.</w:t>
      </w:r>
      <w:bookmarkStart w:id="15" w:name="_Toc512547336"/>
    </w:p>
    <w:p w14:paraId="1CC0D1A9" w14:textId="77777777" w:rsidR="00256E47" w:rsidRDefault="00256E47">
      <w:pPr>
        <w:spacing w:after="200" w:line="276" w:lineRule="auto"/>
        <w:rPr>
          <w:rFonts w:eastAsia="Times New Roman"/>
          <w:b/>
          <w:sz w:val="22"/>
          <w:szCs w:val="22"/>
        </w:rPr>
      </w:pPr>
      <w:r>
        <w:rPr>
          <w:rFonts w:eastAsia="Times New Roman"/>
          <w:b/>
          <w:sz w:val="22"/>
          <w:szCs w:val="22"/>
        </w:rPr>
        <w:br w:type="page"/>
      </w:r>
    </w:p>
    <w:p w14:paraId="34A9FB3A" w14:textId="4582A174" w:rsidR="00BD7752" w:rsidRDefault="00BD7752" w:rsidP="00A10787">
      <w:pPr>
        <w:autoSpaceDE w:val="0"/>
        <w:autoSpaceDN w:val="0"/>
        <w:adjustRightInd w:val="0"/>
        <w:spacing w:before="180" w:after="180" w:line="276" w:lineRule="auto"/>
        <w:rPr>
          <w:rFonts w:eastAsia="Times New Roman"/>
          <w:b/>
          <w:sz w:val="22"/>
          <w:szCs w:val="22"/>
        </w:rPr>
      </w:pPr>
      <w:r w:rsidRPr="00A10787">
        <w:rPr>
          <w:rFonts w:eastAsia="Times New Roman"/>
          <w:b/>
          <w:sz w:val="22"/>
          <w:szCs w:val="22"/>
        </w:rPr>
        <w:t xml:space="preserve">Table </w:t>
      </w:r>
      <w:r w:rsidR="00332265">
        <w:rPr>
          <w:rFonts w:eastAsia="Times New Roman"/>
          <w:b/>
          <w:sz w:val="22"/>
          <w:szCs w:val="22"/>
        </w:rPr>
        <w:t>4</w:t>
      </w:r>
      <w:r w:rsidRPr="00A10787">
        <w:rPr>
          <w:rFonts w:eastAsia="Times New Roman"/>
          <w:b/>
          <w:sz w:val="22"/>
          <w:szCs w:val="22"/>
        </w:rPr>
        <w:t>. Total employment supported by the UK Upstream Oil and Gas Industry</w:t>
      </w:r>
      <w:r w:rsidRPr="00595CB3">
        <w:rPr>
          <w:rFonts w:eastAsia="Calibri"/>
          <w:sz w:val="22"/>
          <w:szCs w:val="22"/>
          <w:vertAlign w:val="superscript"/>
        </w:rPr>
        <w:footnoteReference w:id="23"/>
      </w:r>
      <w:bookmarkEnd w:id="15"/>
    </w:p>
    <w:tbl>
      <w:tblPr>
        <w:tblW w:w="6280" w:type="dxa"/>
        <w:tblCellMar>
          <w:left w:w="70" w:type="dxa"/>
          <w:right w:w="70" w:type="dxa"/>
        </w:tblCellMar>
        <w:tblLook w:val="04A0" w:firstRow="1" w:lastRow="0" w:firstColumn="1" w:lastColumn="0" w:noHBand="0" w:noVBand="1"/>
        <w:tblCaption w:val="Table 4. Total employment supported by the UK Upstream oil and gas industry"/>
        <w:tblDescription w:val="Table 4 shows the total employment supported either directly, indirectly or induced for the period 2014-2018."/>
      </w:tblPr>
      <w:tblGrid>
        <w:gridCol w:w="2780"/>
        <w:gridCol w:w="719"/>
        <w:gridCol w:w="719"/>
        <w:gridCol w:w="719"/>
        <w:gridCol w:w="719"/>
        <w:gridCol w:w="719"/>
      </w:tblGrid>
      <w:tr w:rsidR="001D511E" w:rsidRPr="001D511E" w14:paraId="4051AA24" w14:textId="77777777" w:rsidTr="001D511E">
        <w:trPr>
          <w:trHeight w:val="315"/>
        </w:trPr>
        <w:tc>
          <w:tcPr>
            <w:tcW w:w="2780" w:type="dxa"/>
            <w:tcBorders>
              <w:top w:val="nil"/>
              <w:left w:val="nil"/>
              <w:bottom w:val="nil"/>
              <w:right w:val="nil"/>
            </w:tcBorders>
            <w:shd w:val="clear" w:color="auto" w:fill="auto"/>
            <w:noWrap/>
            <w:vAlign w:val="bottom"/>
            <w:hideMark/>
          </w:tcPr>
          <w:p w14:paraId="4BDE26B8" w14:textId="77777777" w:rsidR="001D511E" w:rsidRPr="001D511E" w:rsidRDefault="001D511E" w:rsidP="001D511E">
            <w:pPr>
              <w:rPr>
                <w:rFonts w:ascii="Times New Roman" w:eastAsia="Times New Roman" w:hAnsi="Times New Roman" w:cs="Times New Roman"/>
                <w:szCs w:val="24"/>
                <w:lang w:val="fr-FR" w:eastAsia="fr-FR"/>
              </w:rPr>
            </w:pPr>
          </w:p>
        </w:tc>
        <w:tc>
          <w:tcPr>
            <w:tcW w:w="700" w:type="dxa"/>
            <w:tcBorders>
              <w:top w:val="nil"/>
              <w:left w:val="nil"/>
              <w:bottom w:val="single" w:sz="12" w:space="0" w:color="5B9BD5"/>
              <w:right w:val="nil"/>
            </w:tcBorders>
            <w:shd w:val="clear" w:color="000000" w:fill="244062"/>
            <w:vAlign w:val="center"/>
            <w:hideMark/>
          </w:tcPr>
          <w:p w14:paraId="248039C9" w14:textId="77777777" w:rsidR="001D511E" w:rsidRPr="001D511E" w:rsidRDefault="001D511E" w:rsidP="001D511E">
            <w:pPr>
              <w:jc w:val="right"/>
              <w:rPr>
                <w:rFonts w:eastAsia="Times New Roman"/>
                <w:b/>
                <w:bCs/>
                <w:color w:val="FFFFFF"/>
                <w:sz w:val="16"/>
                <w:lang w:val="fr-FR" w:eastAsia="fr-FR"/>
              </w:rPr>
            </w:pPr>
            <w:r w:rsidRPr="001D511E">
              <w:rPr>
                <w:rFonts w:eastAsia="Times New Roman"/>
                <w:b/>
                <w:bCs/>
                <w:color w:val="FFFFFF"/>
                <w:sz w:val="16"/>
                <w:lang w:eastAsia="fr-FR"/>
              </w:rPr>
              <w:t>2014</w:t>
            </w:r>
          </w:p>
        </w:tc>
        <w:tc>
          <w:tcPr>
            <w:tcW w:w="700" w:type="dxa"/>
            <w:tcBorders>
              <w:top w:val="nil"/>
              <w:left w:val="nil"/>
              <w:bottom w:val="single" w:sz="12" w:space="0" w:color="5B9BD5"/>
              <w:right w:val="nil"/>
            </w:tcBorders>
            <w:shd w:val="clear" w:color="000000" w:fill="244062"/>
            <w:vAlign w:val="center"/>
            <w:hideMark/>
          </w:tcPr>
          <w:p w14:paraId="66359ECC" w14:textId="77777777" w:rsidR="001D511E" w:rsidRPr="001D511E" w:rsidRDefault="001D511E" w:rsidP="001D511E">
            <w:pPr>
              <w:jc w:val="right"/>
              <w:rPr>
                <w:rFonts w:eastAsia="Times New Roman"/>
                <w:b/>
                <w:bCs/>
                <w:color w:val="FFFFFF"/>
                <w:sz w:val="16"/>
                <w:lang w:val="fr-FR" w:eastAsia="fr-FR"/>
              </w:rPr>
            </w:pPr>
            <w:r w:rsidRPr="001D511E">
              <w:rPr>
                <w:rFonts w:eastAsia="Times New Roman"/>
                <w:b/>
                <w:bCs/>
                <w:color w:val="FFFFFF"/>
                <w:sz w:val="16"/>
                <w:lang w:eastAsia="fr-FR"/>
              </w:rPr>
              <w:t>2015</w:t>
            </w:r>
          </w:p>
        </w:tc>
        <w:tc>
          <w:tcPr>
            <w:tcW w:w="700" w:type="dxa"/>
            <w:tcBorders>
              <w:top w:val="nil"/>
              <w:left w:val="nil"/>
              <w:bottom w:val="single" w:sz="12" w:space="0" w:color="5B9BD5"/>
              <w:right w:val="nil"/>
            </w:tcBorders>
            <w:shd w:val="clear" w:color="000000" w:fill="244062"/>
            <w:vAlign w:val="center"/>
            <w:hideMark/>
          </w:tcPr>
          <w:p w14:paraId="3219DC97" w14:textId="77777777" w:rsidR="001D511E" w:rsidRPr="001D511E" w:rsidRDefault="001D511E" w:rsidP="001D511E">
            <w:pPr>
              <w:jc w:val="right"/>
              <w:rPr>
                <w:rFonts w:eastAsia="Times New Roman"/>
                <w:b/>
                <w:bCs/>
                <w:color w:val="FFFFFF"/>
                <w:sz w:val="16"/>
                <w:lang w:val="fr-FR" w:eastAsia="fr-FR"/>
              </w:rPr>
            </w:pPr>
            <w:r w:rsidRPr="001D511E">
              <w:rPr>
                <w:rFonts w:eastAsia="Times New Roman"/>
                <w:b/>
                <w:bCs/>
                <w:color w:val="FFFFFF"/>
                <w:sz w:val="16"/>
                <w:lang w:val="fr-FR" w:eastAsia="fr-FR"/>
              </w:rPr>
              <w:t>2016</w:t>
            </w:r>
          </w:p>
        </w:tc>
        <w:tc>
          <w:tcPr>
            <w:tcW w:w="700" w:type="dxa"/>
            <w:tcBorders>
              <w:top w:val="nil"/>
              <w:left w:val="nil"/>
              <w:bottom w:val="single" w:sz="12" w:space="0" w:color="5B9BD5"/>
              <w:right w:val="nil"/>
            </w:tcBorders>
            <w:shd w:val="clear" w:color="000000" w:fill="244062"/>
            <w:vAlign w:val="center"/>
            <w:hideMark/>
          </w:tcPr>
          <w:p w14:paraId="25305696" w14:textId="77777777" w:rsidR="001D511E" w:rsidRPr="001D511E" w:rsidRDefault="001D511E" w:rsidP="001D511E">
            <w:pPr>
              <w:jc w:val="right"/>
              <w:rPr>
                <w:rFonts w:eastAsia="Times New Roman"/>
                <w:b/>
                <w:bCs/>
                <w:color w:val="FFFFFF"/>
                <w:sz w:val="16"/>
                <w:lang w:val="fr-FR" w:eastAsia="fr-FR"/>
              </w:rPr>
            </w:pPr>
            <w:r w:rsidRPr="001D511E">
              <w:rPr>
                <w:rFonts w:eastAsia="Times New Roman"/>
                <w:b/>
                <w:bCs/>
                <w:color w:val="FFFFFF"/>
                <w:sz w:val="16"/>
                <w:lang w:eastAsia="fr-FR"/>
              </w:rPr>
              <w:t>2017</w:t>
            </w:r>
          </w:p>
        </w:tc>
        <w:tc>
          <w:tcPr>
            <w:tcW w:w="700" w:type="dxa"/>
            <w:tcBorders>
              <w:top w:val="nil"/>
              <w:left w:val="nil"/>
              <w:bottom w:val="single" w:sz="12" w:space="0" w:color="5B9BD5"/>
              <w:right w:val="nil"/>
            </w:tcBorders>
            <w:shd w:val="clear" w:color="000000" w:fill="244062"/>
            <w:vAlign w:val="center"/>
            <w:hideMark/>
          </w:tcPr>
          <w:p w14:paraId="4A768824" w14:textId="77777777" w:rsidR="001D511E" w:rsidRPr="001D511E" w:rsidRDefault="001D511E" w:rsidP="001D511E">
            <w:pPr>
              <w:jc w:val="right"/>
              <w:rPr>
                <w:rFonts w:eastAsia="Times New Roman"/>
                <w:b/>
                <w:bCs/>
                <w:color w:val="FFFFFF"/>
                <w:sz w:val="16"/>
                <w:lang w:val="fr-FR" w:eastAsia="fr-FR"/>
              </w:rPr>
            </w:pPr>
            <w:r w:rsidRPr="001D511E">
              <w:rPr>
                <w:rFonts w:eastAsia="Times New Roman"/>
                <w:b/>
                <w:bCs/>
                <w:color w:val="FFFFFF"/>
                <w:sz w:val="16"/>
                <w:lang w:eastAsia="fr-FR"/>
              </w:rPr>
              <w:t>2018e</w:t>
            </w:r>
          </w:p>
        </w:tc>
      </w:tr>
      <w:tr w:rsidR="001D511E" w:rsidRPr="001D511E" w14:paraId="074A4F40" w14:textId="77777777" w:rsidTr="001D511E">
        <w:trPr>
          <w:trHeight w:val="315"/>
        </w:trPr>
        <w:tc>
          <w:tcPr>
            <w:tcW w:w="2780" w:type="dxa"/>
            <w:tcBorders>
              <w:top w:val="nil"/>
              <w:left w:val="nil"/>
              <w:bottom w:val="nil"/>
              <w:right w:val="nil"/>
            </w:tcBorders>
            <w:shd w:val="clear" w:color="000000" w:fill="BDD7EE"/>
            <w:vAlign w:val="center"/>
            <w:hideMark/>
          </w:tcPr>
          <w:p w14:paraId="17F8F17C"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Direct</w:t>
            </w:r>
          </w:p>
        </w:tc>
        <w:tc>
          <w:tcPr>
            <w:tcW w:w="700" w:type="dxa"/>
            <w:tcBorders>
              <w:top w:val="nil"/>
              <w:left w:val="nil"/>
              <w:bottom w:val="nil"/>
              <w:right w:val="nil"/>
            </w:tcBorders>
            <w:shd w:val="clear" w:color="000000" w:fill="BDD7EE"/>
            <w:vAlign w:val="center"/>
            <w:hideMark/>
          </w:tcPr>
          <w:p w14:paraId="4454E3AF"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41,300</w:t>
            </w:r>
          </w:p>
        </w:tc>
        <w:tc>
          <w:tcPr>
            <w:tcW w:w="700" w:type="dxa"/>
            <w:tcBorders>
              <w:top w:val="nil"/>
              <w:left w:val="nil"/>
              <w:bottom w:val="nil"/>
              <w:right w:val="nil"/>
            </w:tcBorders>
            <w:shd w:val="clear" w:color="000000" w:fill="BDD7EE"/>
            <w:vAlign w:val="center"/>
            <w:hideMark/>
          </w:tcPr>
          <w:p w14:paraId="07AF8EEA"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37,300</w:t>
            </w:r>
          </w:p>
        </w:tc>
        <w:tc>
          <w:tcPr>
            <w:tcW w:w="700" w:type="dxa"/>
            <w:tcBorders>
              <w:top w:val="nil"/>
              <w:left w:val="nil"/>
              <w:bottom w:val="nil"/>
              <w:right w:val="nil"/>
            </w:tcBorders>
            <w:shd w:val="clear" w:color="000000" w:fill="BDD7EE"/>
            <w:vAlign w:val="center"/>
            <w:hideMark/>
          </w:tcPr>
          <w:p w14:paraId="750A4E6B"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35,600</w:t>
            </w:r>
          </w:p>
        </w:tc>
        <w:tc>
          <w:tcPr>
            <w:tcW w:w="700" w:type="dxa"/>
            <w:tcBorders>
              <w:top w:val="nil"/>
              <w:left w:val="nil"/>
              <w:bottom w:val="nil"/>
              <w:right w:val="nil"/>
            </w:tcBorders>
            <w:shd w:val="clear" w:color="000000" w:fill="BDD7EE"/>
            <w:vAlign w:val="center"/>
            <w:hideMark/>
          </w:tcPr>
          <w:p w14:paraId="276F4D8B"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36,100</w:t>
            </w:r>
          </w:p>
        </w:tc>
        <w:tc>
          <w:tcPr>
            <w:tcW w:w="700" w:type="dxa"/>
            <w:tcBorders>
              <w:top w:val="nil"/>
              <w:left w:val="nil"/>
              <w:bottom w:val="nil"/>
              <w:right w:val="nil"/>
            </w:tcBorders>
            <w:shd w:val="clear" w:color="000000" w:fill="BDD7EE"/>
            <w:vAlign w:val="center"/>
            <w:hideMark/>
          </w:tcPr>
          <w:p w14:paraId="73FE8BE9"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36,800</w:t>
            </w:r>
          </w:p>
        </w:tc>
      </w:tr>
      <w:tr w:rsidR="001D511E" w:rsidRPr="001D511E" w14:paraId="00780782" w14:textId="77777777" w:rsidTr="001D511E">
        <w:trPr>
          <w:trHeight w:val="300"/>
        </w:trPr>
        <w:tc>
          <w:tcPr>
            <w:tcW w:w="2780" w:type="dxa"/>
            <w:tcBorders>
              <w:top w:val="nil"/>
              <w:left w:val="nil"/>
              <w:bottom w:val="nil"/>
              <w:right w:val="nil"/>
            </w:tcBorders>
            <w:shd w:val="clear" w:color="auto" w:fill="auto"/>
            <w:vAlign w:val="center"/>
            <w:hideMark/>
          </w:tcPr>
          <w:p w14:paraId="48CF096A"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Indirect</w:t>
            </w:r>
          </w:p>
        </w:tc>
        <w:tc>
          <w:tcPr>
            <w:tcW w:w="700" w:type="dxa"/>
            <w:tcBorders>
              <w:top w:val="nil"/>
              <w:left w:val="nil"/>
              <w:bottom w:val="nil"/>
              <w:right w:val="nil"/>
            </w:tcBorders>
            <w:shd w:val="clear" w:color="auto" w:fill="auto"/>
            <w:vAlign w:val="center"/>
            <w:hideMark/>
          </w:tcPr>
          <w:p w14:paraId="49A90611"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206,100</w:t>
            </w:r>
          </w:p>
        </w:tc>
        <w:tc>
          <w:tcPr>
            <w:tcW w:w="700" w:type="dxa"/>
            <w:tcBorders>
              <w:top w:val="nil"/>
              <w:left w:val="nil"/>
              <w:bottom w:val="nil"/>
              <w:right w:val="nil"/>
            </w:tcBorders>
            <w:shd w:val="clear" w:color="auto" w:fill="auto"/>
            <w:vAlign w:val="center"/>
            <w:hideMark/>
          </w:tcPr>
          <w:p w14:paraId="745A9CDA"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169,468</w:t>
            </w:r>
          </w:p>
        </w:tc>
        <w:tc>
          <w:tcPr>
            <w:tcW w:w="700" w:type="dxa"/>
            <w:tcBorders>
              <w:top w:val="nil"/>
              <w:left w:val="nil"/>
              <w:bottom w:val="nil"/>
              <w:right w:val="nil"/>
            </w:tcBorders>
            <w:shd w:val="clear" w:color="auto" w:fill="auto"/>
            <w:vAlign w:val="center"/>
            <w:hideMark/>
          </w:tcPr>
          <w:p w14:paraId="53405FDD"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155,100</w:t>
            </w:r>
          </w:p>
        </w:tc>
        <w:tc>
          <w:tcPr>
            <w:tcW w:w="700" w:type="dxa"/>
            <w:tcBorders>
              <w:top w:val="nil"/>
              <w:left w:val="nil"/>
              <w:bottom w:val="nil"/>
              <w:right w:val="nil"/>
            </w:tcBorders>
            <w:shd w:val="clear" w:color="auto" w:fill="auto"/>
            <w:vAlign w:val="center"/>
            <w:hideMark/>
          </w:tcPr>
          <w:p w14:paraId="67AA871C"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125,100</w:t>
            </w:r>
          </w:p>
        </w:tc>
        <w:tc>
          <w:tcPr>
            <w:tcW w:w="700" w:type="dxa"/>
            <w:tcBorders>
              <w:top w:val="nil"/>
              <w:left w:val="nil"/>
              <w:bottom w:val="nil"/>
              <w:right w:val="nil"/>
            </w:tcBorders>
            <w:shd w:val="clear" w:color="auto" w:fill="auto"/>
            <w:vAlign w:val="center"/>
            <w:hideMark/>
          </w:tcPr>
          <w:p w14:paraId="140E379C"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126,700</w:t>
            </w:r>
          </w:p>
        </w:tc>
      </w:tr>
      <w:tr w:rsidR="001D511E" w:rsidRPr="001D511E" w14:paraId="6C4E8A9B" w14:textId="77777777" w:rsidTr="001D511E">
        <w:trPr>
          <w:trHeight w:val="315"/>
        </w:trPr>
        <w:tc>
          <w:tcPr>
            <w:tcW w:w="2780" w:type="dxa"/>
            <w:tcBorders>
              <w:top w:val="nil"/>
              <w:left w:val="nil"/>
              <w:bottom w:val="nil"/>
              <w:right w:val="nil"/>
            </w:tcBorders>
            <w:shd w:val="clear" w:color="000000" w:fill="BDD7EE"/>
            <w:vAlign w:val="center"/>
            <w:hideMark/>
          </w:tcPr>
          <w:p w14:paraId="17C4C3AC"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Induced</w:t>
            </w:r>
          </w:p>
        </w:tc>
        <w:tc>
          <w:tcPr>
            <w:tcW w:w="700" w:type="dxa"/>
            <w:tcBorders>
              <w:top w:val="nil"/>
              <w:left w:val="nil"/>
              <w:bottom w:val="nil"/>
              <w:right w:val="nil"/>
            </w:tcBorders>
            <w:shd w:val="clear" w:color="000000" w:fill="BDD7EE"/>
            <w:vAlign w:val="center"/>
            <w:hideMark/>
          </w:tcPr>
          <w:p w14:paraId="72934EDC"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216,500</w:t>
            </w:r>
          </w:p>
        </w:tc>
        <w:tc>
          <w:tcPr>
            <w:tcW w:w="700" w:type="dxa"/>
            <w:tcBorders>
              <w:top w:val="nil"/>
              <w:left w:val="nil"/>
              <w:bottom w:val="nil"/>
              <w:right w:val="nil"/>
            </w:tcBorders>
            <w:shd w:val="clear" w:color="000000" w:fill="BDD7EE"/>
            <w:vAlign w:val="center"/>
            <w:hideMark/>
          </w:tcPr>
          <w:p w14:paraId="18454E2A"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180,232</w:t>
            </w:r>
          </w:p>
        </w:tc>
        <w:tc>
          <w:tcPr>
            <w:tcW w:w="700" w:type="dxa"/>
            <w:tcBorders>
              <w:top w:val="nil"/>
              <w:left w:val="nil"/>
              <w:bottom w:val="nil"/>
              <w:right w:val="nil"/>
            </w:tcBorders>
            <w:shd w:val="clear" w:color="000000" w:fill="BDD7EE"/>
            <w:vAlign w:val="center"/>
            <w:hideMark/>
          </w:tcPr>
          <w:p w14:paraId="35D46345"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136,200</w:t>
            </w:r>
          </w:p>
        </w:tc>
        <w:tc>
          <w:tcPr>
            <w:tcW w:w="700" w:type="dxa"/>
            <w:tcBorders>
              <w:top w:val="nil"/>
              <w:left w:val="nil"/>
              <w:bottom w:val="nil"/>
              <w:right w:val="nil"/>
            </w:tcBorders>
            <w:shd w:val="clear" w:color="000000" w:fill="BDD7EE"/>
            <w:vAlign w:val="center"/>
            <w:hideMark/>
          </w:tcPr>
          <w:p w14:paraId="2FF128E1"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118,800</w:t>
            </w:r>
          </w:p>
        </w:tc>
        <w:tc>
          <w:tcPr>
            <w:tcW w:w="700" w:type="dxa"/>
            <w:tcBorders>
              <w:top w:val="nil"/>
              <w:left w:val="nil"/>
              <w:bottom w:val="nil"/>
              <w:right w:val="nil"/>
            </w:tcBorders>
            <w:shd w:val="clear" w:color="000000" w:fill="BDD7EE"/>
            <w:vAlign w:val="center"/>
            <w:hideMark/>
          </w:tcPr>
          <w:p w14:paraId="51BA1F45"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119,200</w:t>
            </w:r>
          </w:p>
        </w:tc>
      </w:tr>
      <w:tr w:rsidR="001D511E" w:rsidRPr="001D511E" w14:paraId="2E18360C" w14:textId="77777777" w:rsidTr="001D511E">
        <w:trPr>
          <w:trHeight w:val="315"/>
        </w:trPr>
        <w:tc>
          <w:tcPr>
            <w:tcW w:w="2780" w:type="dxa"/>
            <w:tcBorders>
              <w:top w:val="single" w:sz="12" w:space="0" w:color="5B9BD5"/>
              <w:left w:val="nil"/>
              <w:bottom w:val="nil"/>
              <w:right w:val="nil"/>
            </w:tcBorders>
            <w:shd w:val="clear" w:color="000000" w:fill="BFBFBF"/>
            <w:noWrap/>
            <w:vAlign w:val="center"/>
            <w:hideMark/>
          </w:tcPr>
          <w:p w14:paraId="1C2855C5"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Total employment</w:t>
            </w:r>
          </w:p>
        </w:tc>
        <w:tc>
          <w:tcPr>
            <w:tcW w:w="700" w:type="dxa"/>
            <w:tcBorders>
              <w:top w:val="single" w:sz="12" w:space="0" w:color="5B9BD5"/>
              <w:left w:val="nil"/>
              <w:bottom w:val="nil"/>
              <w:right w:val="nil"/>
            </w:tcBorders>
            <w:shd w:val="clear" w:color="000000" w:fill="BFBFBF"/>
            <w:noWrap/>
            <w:vAlign w:val="center"/>
            <w:hideMark/>
          </w:tcPr>
          <w:p w14:paraId="526F2AFA" w14:textId="77777777" w:rsidR="001D511E" w:rsidRPr="001D511E" w:rsidRDefault="001D511E" w:rsidP="001D511E">
            <w:pPr>
              <w:jc w:val="right"/>
              <w:rPr>
                <w:rFonts w:eastAsia="Times New Roman"/>
                <w:b/>
                <w:bCs/>
                <w:color w:val="000000"/>
                <w:sz w:val="16"/>
                <w:lang w:val="fr-FR" w:eastAsia="fr-FR"/>
              </w:rPr>
            </w:pPr>
            <w:r w:rsidRPr="001D511E">
              <w:rPr>
                <w:rFonts w:eastAsia="Times New Roman"/>
                <w:b/>
                <w:bCs/>
                <w:color w:val="000000"/>
                <w:sz w:val="16"/>
                <w:lang w:eastAsia="fr-FR"/>
              </w:rPr>
              <w:t>463,900</w:t>
            </w:r>
          </w:p>
        </w:tc>
        <w:tc>
          <w:tcPr>
            <w:tcW w:w="700" w:type="dxa"/>
            <w:tcBorders>
              <w:top w:val="single" w:sz="12" w:space="0" w:color="5B9BD5"/>
              <w:left w:val="nil"/>
              <w:bottom w:val="nil"/>
              <w:right w:val="nil"/>
            </w:tcBorders>
            <w:shd w:val="clear" w:color="000000" w:fill="BFBFBF"/>
            <w:noWrap/>
            <w:vAlign w:val="center"/>
            <w:hideMark/>
          </w:tcPr>
          <w:p w14:paraId="0DD08C72" w14:textId="77777777" w:rsidR="001D511E" w:rsidRPr="001D511E" w:rsidRDefault="001D511E" w:rsidP="001D511E">
            <w:pPr>
              <w:jc w:val="right"/>
              <w:rPr>
                <w:rFonts w:eastAsia="Times New Roman"/>
                <w:b/>
                <w:bCs/>
                <w:color w:val="000000"/>
                <w:sz w:val="16"/>
                <w:lang w:val="fr-FR" w:eastAsia="fr-FR"/>
              </w:rPr>
            </w:pPr>
            <w:r w:rsidRPr="001D511E">
              <w:rPr>
                <w:rFonts w:eastAsia="Times New Roman"/>
                <w:b/>
                <w:bCs/>
                <w:color w:val="000000"/>
                <w:sz w:val="16"/>
                <w:lang w:eastAsia="fr-FR"/>
              </w:rPr>
              <w:t>387,000</w:t>
            </w:r>
          </w:p>
        </w:tc>
        <w:tc>
          <w:tcPr>
            <w:tcW w:w="700" w:type="dxa"/>
            <w:tcBorders>
              <w:top w:val="single" w:sz="12" w:space="0" w:color="5B9BD5"/>
              <w:left w:val="nil"/>
              <w:bottom w:val="nil"/>
              <w:right w:val="nil"/>
            </w:tcBorders>
            <w:shd w:val="clear" w:color="000000" w:fill="BFBFBF"/>
            <w:noWrap/>
            <w:vAlign w:val="center"/>
            <w:hideMark/>
          </w:tcPr>
          <w:p w14:paraId="14A899CE" w14:textId="77777777" w:rsidR="001D511E" w:rsidRPr="001D511E" w:rsidRDefault="001D511E" w:rsidP="001D511E">
            <w:pPr>
              <w:jc w:val="right"/>
              <w:rPr>
                <w:rFonts w:eastAsia="Times New Roman"/>
                <w:b/>
                <w:bCs/>
                <w:color w:val="000000"/>
                <w:sz w:val="16"/>
                <w:lang w:val="fr-FR" w:eastAsia="fr-FR"/>
              </w:rPr>
            </w:pPr>
            <w:r w:rsidRPr="001D511E">
              <w:rPr>
                <w:rFonts w:eastAsia="Times New Roman"/>
                <w:b/>
                <w:bCs/>
                <w:color w:val="000000"/>
                <w:sz w:val="16"/>
                <w:lang w:eastAsia="fr-FR"/>
              </w:rPr>
              <w:t>326,900</w:t>
            </w:r>
          </w:p>
        </w:tc>
        <w:tc>
          <w:tcPr>
            <w:tcW w:w="700" w:type="dxa"/>
            <w:tcBorders>
              <w:top w:val="single" w:sz="12" w:space="0" w:color="5B9BD5"/>
              <w:left w:val="nil"/>
              <w:bottom w:val="nil"/>
              <w:right w:val="nil"/>
            </w:tcBorders>
            <w:shd w:val="clear" w:color="000000" w:fill="BFBFBF"/>
            <w:noWrap/>
            <w:vAlign w:val="center"/>
            <w:hideMark/>
          </w:tcPr>
          <w:p w14:paraId="232123A4" w14:textId="77777777" w:rsidR="001D511E" w:rsidRPr="001D511E" w:rsidRDefault="001D511E" w:rsidP="001D511E">
            <w:pPr>
              <w:jc w:val="right"/>
              <w:rPr>
                <w:rFonts w:eastAsia="Times New Roman"/>
                <w:b/>
                <w:bCs/>
                <w:color w:val="000000"/>
                <w:sz w:val="16"/>
                <w:lang w:val="fr-FR" w:eastAsia="fr-FR"/>
              </w:rPr>
            </w:pPr>
            <w:r w:rsidRPr="001D511E">
              <w:rPr>
                <w:rFonts w:eastAsia="Times New Roman"/>
                <w:b/>
                <w:bCs/>
                <w:color w:val="000000"/>
                <w:sz w:val="16"/>
                <w:lang w:eastAsia="fr-FR"/>
              </w:rPr>
              <w:t>280,000</w:t>
            </w:r>
          </w:p>
        </w:tc>
        <w:tc>
          <w:tcPr>
            <w:tcW w:w="700" w:type="dxa"/>
            <w:tcBorders>
              <w:top w:val="single" w:sz="12" w:space="0" w:color="5B9BD5"/>
              <w:left w:val="nil"/>
              <w:bottom w:val="nil"/>
              <w:right w:val="nil"/>
            </w:tcBorders>
            <w:shd w:val="clear" w:color="000000" w:fill="BFBFBF"/>
            <w:noWrap/>
            <w:vAlign w:val="center"/>
            <w:hideMark/>
          </w:tcPr>
          <w:p w14:paraId="49612012" w14:textId="77777777" w:rsidR="001D511E" w:rsidRPr="001D511E" w:rsidRDefault="001D511E" w:rsidP="001D511E">
            <w:pPr>
              <w:jc w:val="right"/>
              <w:rPr>
                <w:rFonts w:eastAsia="Times New Roman"/>
                <w:b/>
                <w:bCs/>
                <w:color w:val="000000"/>
                <w:sz w:val="16"/>
                <w:lang w:val="fr-FR" w:eastAsia="fr-FR"/>
              </w:rPr>
            </w:pPr>
            <w:r w:rsidRPr="001D511E">
              <w:rPr>
                <w:rFonts w:eastAsia="Times New Roman"/>
                <w:b/>
                <w:bCs/>
                <w:color w:val="000000"/>
                <w:sz w:val="16"/>
                <w:lang w:eastAsia="fr-FR"/>
              </w:rPr>
              <w:t>282,700</w:t>
            </w:r>
          </w:p>
        </w:tc>
      </w:tr>
      <w:tr w:rsidR="001D511E" w:rsidRPr="001D511E" w14:paraId="3491E276" w14:textId="77777777" w:rsidTr="001D511E">
        <w:trPr>
          <w:trHeight w:val="300"/>
        </w:trPr>
        <w:tc>
          <w:tcPr>
            <w:tcW w:w="2780" w:type="dxa"/>
            <w:tcBorders>
              <w:top w:val="nil"/>
              <w:left w:val="nil"/>
              <w:bottom w:val="nil"/>
              <w:right w:val="nil"/>
            </w:tcBorders>
            <w:shd w:val="clear" w:color="auto" w:fill="auto"/>
            <w:noWrap/>
            <w:vAlign w:val="center"/>
            <w:hideMark/>
          </w:tcPr>
          <w:p w14:paraId="71DE2639"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Direct plus Indirect</w:t>
            </w:r>
          </w:p>
        </w:tc>
        <w:tc>
          <w:tcPr>
            <w:tcW w:w="700" w:type="dxa"/>
            <w:tcBorders>
              <w:top w:val="nil"/>
              <w:left w:val="nil"/>
              <w:bottom w:val="nil"/>
              <w:right w:val="nil"/>
            </w:tcBorders>
            <w:shd w:val="clear" w:color="auto" w:fill="auto"/>
            <w:vAlign w:val="center"/>
            <w:hideMark/>
          </w:tcPr>
          <w:p w14:paraId="726D5DED"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247,400</w:t>
            </w:r>
          </w:p>
        </w:tc>
        <w:tc>
          <w:tcPr>
            <w:tcW w:w="700" w:type="dxa"/>
            <w:tcBorders>
              <w:top w:val="nil"/>
              <w:left w:val="nil"/>
              <w:bottom w:val="nil"/>
              <w:right w:val="nil"/>
            </w:tcBorders>
            <w:shd w:val="clear" w:color="auto" w:fill="auto"/>
            <w:vAlign w:val="center"/>
            <w:hideMark/>
          </w:tcPr>
          <w:p w14:paraId="68B94BCD"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206,768</w:t>
            </w:r>
          </w:p>
        </w:tc>
        <w:tc>
          <w:tcPr>
            <w:tcW w:w="700" w:type="dxa"/>
            <w:tcBorders>
              <w:top w:val="nil"/>
              <w:left w:val="nil"/>
              <w:bottom w:val="nil"/>
              <w:right w:val="nil"/>
            </w:tcBorders>
            <w:shd w:val="clear" w:color="auto" w:fill="auto"/>
            <w:vAlign w:val="center"/>
            <w:hideMark/>
          </w:tcPr>
          <w:p w14:paraId="279DD74F"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190,700</w:t>
            </w:r>
          </w:p>
        </w:tc>
        <w:tc>
          <w:tcPr>
            <w:tcW w:w="700" w:type="dxa"/>
            <w:tcBorders>
              <w:top w:val="nil"/>
              <w:left w:val="nil"/>
              <w:bottom w:val="nil"/>
              <w:right w:val="nil"/>
            </w:tcBorders>
            <w:shd w:val="clear" w:color="auto" w:fill="auto"/>
            <w:vAlign w:val="center"/>
            <w:hideMark/>
          </w:tcPr>
          <w:p w14:paraId="6D59B163"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161,200</w:t>
            </w:r>
          </w:p>
        </w:tc>
        <w:tc>
          <w:tcPr>
            <w:tcW w:w="700" w:type="dxa"/>
            <w:tcBorders>
              <w:top w:val="nil"/>
              <w:left w:val="nil"/>
              <w:bottom w:val="nil"/>
              <w:right w:val="nil"/>
            </w:tcBorders>
            <w:shd w:val="clear" w:color="auto" w:fill="auto"/>
            <w:vAlign w:val="center"/>
            <w:hideMark/>
          </w:tcPr>
          <w:p w14:paraId="24F70BF1"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163,500</w:t>
            </w:r>
          </w:p>
        </w:tc>
      </w:tr>
      <w:tr w:rsidR="001D511E" w:rsidRPr="001D511E" w14:paraId="6CA89210" w14:textId="77777777" w:rsidTr="001D511E">
        <w:trPr>
          <w:trHeight w:val="300"/>
        </w:trPr>
        <w:tc>
          <w:tcPr>
            <w:tcW w:w="2780" w:type="dxa"/>
            <w:tcBorders>
              <w:top w:val="nil"/>
              <w:left w:val="nil"/>
              <w:bottom w:val="nil"/>
              <w:right w:val="nil"/>
            </w:tcBorders>
            <w:shd w:val="clear" w:color="000000" w:fill="BDD7EE"/>
            <w:vAlign w:val="center"/>
            <w:hideMark/>
          </w:tcPr>
          <w:p w14:paraId="5BA98E66" w14:textId="77777777" w:rsidR="001D511E" w:rsidRPr="001D511E" w:rsidRDefault="001D511E" w:rsidP="001D511E">
            <w:pPr>
              <w:rPr>
                <w:rFonts w:eastAsia="Times New Roman"/>
                <w:b/>
                <w:bCs/>
                <w:color w:val="000000"/>
                <w:sz w:val="16"/>
                <w:lang w:val="fr-FR" w:eastAsia="fr-FR"/>
              </w:rPr>
            </w:pPr>
            <w:r w:rsidRPr="001D511E">
              <w:rPr>
                <w:rFonts w:eastAsia="Times New Roman"/>
                <w:b/>
                <w:bCs/>
                <w:color w:val="000000"/>
                <w:sz w:val="16"/>
                <w:lang w:eastAsia="fr-FR"/>
              </w:rPr>
              <w:t>Indirect % of Direct plus Indirect</w:t>
            </w:r>
          </w:p>
        </w:tc>
        <w:tc>
          <w:tcPr>
            <w:tcW w:w="700" w:type="dxa"/>
            <w:tcBorders>
              <w:top w:val="nil"/>
              <w:left w:val="nil"/>
              <w:bottom w:val="nil"/>
              <w:right w:val="nil"/>
            </w:tcBorders>
            <w:shd w:val="clear" w:color="000000" w:fill="BDD7EE"/>
            <w:noWrap/>
            <w:vAlign w:val="center"/>
            <w:hideMark/>
          </w:tcPr>
          <w:p w14:paraId="12C8CE7A"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83%</w:t>
            </w:r>
          </w:p>
        </w:tc>
        <w:tc>
          <w:tcPr>
            <w:tcW w:w="700" w:type="dxa"/>
            <w:tcBorders>
              <w:top w:val="nil"/>
              <w:left w:val="nil"/>
              <w:bottom w:val="nil"/>
              <w:right w:val="nil"/>
            </w:tcBorders>
            <w:shd w:val="clear" w:color="000000" w:fill="BDD7EE"/>
            <w:noWrap/>
            <w:vAlign w:val="center"/>
            <w:hideMark/>
          </w:tcPr>
          <w:p w14:paraId="3CA5D59E"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82%</w:t>
            </w:r>
          </w:p>
        </w:tc>
        <w:tc>
          <w:tcPr>
            <w:tcW w:w="700" w:type="dxa"/>
            <w:tcBorders>
              <w:top w:val="nil"/>
              <w:left w:val="nil"/>
              <w:bottom w:val="nil"/>
              <w:right w:val="nil"/>
            </w:tcBorders>
            <w:shd w:val="clear" w:color="000000" w:fill="BDD7EE"/>
            <w:noWrap/>
            <w:vAlign w:val="center"/>
            <w:hideMark/>
          </w:tcPr>
          <w:p w14:paraId="4100EA30"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val="fr-FR" w:eastAsia="fr-FR"/>
              </w:rPr>
              <w:t>81%</w:t>
            </w:r>
          </w:p>
        </w:tc>
        <w:tc>
          <w:tcPr>
            <w:tcW w:w="700" w:type="dxa"/>
            <w:tcBorders>
              <w:top w:val="nil"/>
              <w:left w:val="nil"/>
              <w:bottom w:val="nil"/>
              <w:right w:val="nil"/>
            </w:tcBorders>
            <w:shd w:val="clear" w:color="000000" w:fill="BDD7EE"/>
            <w:noWrap/>
            <w:vAlign w:val="center"/>
            <w:hideMark/>
          </w:tcPr>
          <w:p w14:paraId="5B24FA78"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78%</w:t>
            </w:r>
          </w:p>
        </w:tc>
        <w:tc>
          <w:tcPr>
            <w:tcW w:w="700" w:type="dxa"/>
            <w:tcBorders>
              <w:top w:val="nil"/>
              <w:left w:val="nil"/>
              <w:bottom w:val="nil"/>
              <w:right w:val="nil"/>
            </w:tcBorders>
            <w:shd w:val="clear" w:color="000000" w:fill="BDD7EE"/>
            <w:noWrap/>
            <w:vAlign w:val="center"/>
            <w:hideMark/>
          </w:tcPr>
          <w:p w14:paraId="34A9AEED" w14:textId="77777777" w:rsidR="001D511E" w:rsidRPr="001D511E" w:rsidRDefault="001D511E" w:rsidP="001D511E">
            <w:pPr>
              <w:jc w:val="right"/>
              <w:rPr>
                <w:rFonts w:eastAsia="Times New Roman"/>
                <w:color w:val="000000"/>
                <w:sz w:val="16"/>
                <w:lang w:val="fr-FR" w:eastAsia="fr-FR"/>
              </w:rPr>
            </w:pPr>
            <w:r w:rsidRPr="001D511E">
              <w:rPr>
                <w:rFonts w:eastAsia="Times New Roman"/>
                <w:color w:val="000000"/>
                <w:sz w:val="16"/>
                <w:lang w:eastAsia="fr-FR"/>
              </w:rPr>
              <w:t>77%</w:t>
            </w:r>
          </w:p>
        </w:tc>
      </w:tr>
      <w:tr w:rsidR="001D511E" w:rsidRPr="001D511E" w14:paraId="2549BFED" w14:textId="77777777" w:rsidTr="001D511E">
        <w:trPr>
          <w:trHeight w:val="102"/>
        </w:trPr>
        <w:tc>
          <w:tcPr>
            <w:tcW w:w="2780" w:type="dxa"/>
            <w:tcBorders>
              <w:top w:val="nil"/>
              <w:left w:val="nil"/>
              <w:bottom w:val="nil"/>
              <w:right w:val="nil"/>
            </w:tcBorders>
            <w:shd w:val="clear" w:color="auto" w:fill="auto"/>
            <w:noWrap/>
            <w:vAlign w:val="center"/>
            <w:hideMark/>
          </w:tcPr>
          <w:p w14:paraId="19F85318" w14:textId="77777777" w:rsidR="001D511E" w:rsidRPr="001D511E" w:rsidRDefault="001D511E" w:rsidP="001D511E">
            <w:pPr>
              <w:jc w:val="right"/>
              <w:rPr>
                <w:rFonts w:eastAsia="Times New Roman"/>
                <w:color w:val="000000"/>
                <w:sz w:val="16"/>
                <w:lang w:val="fr-FR" w:eastAsia="fr-FR"/>
              </w:rPr>
            </w:pPr>
          </w:p>
        </w:tc>
        <w:tc>
          <w:tcPr>
            <w:tcW w:w="700" w:type="dxa"/>
            <w:tcBorders>
              <w:top w:val="nil"/>
              <w:left w:val="nil"/>
              <w:bottom w:val="nil"/>
              <w:right w:val="nil"/>
            </w:tcBorders>
            <w:shd w:val="clear" w:color="auto" w:fill="auto"/>
            <w:noWrap/>
            <w:vAlign w:val="center"/>
            <w:hideMark/>
          </w:tcPr>
          <w:p w14:paraId="66988D1E"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056AAA18" w14:textId="77777777" w:rsidR="001D511E" w:rsidRPr="001D511E" w:rsidRDefault="001D511E" w:rsidP="001D511E">
            <w:pPr>
              <w:jc w:val="right"/>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680C074D" w14:textId="77777777" w:rsidR="001D511E" w:rsidRPr="001D511E" w:rsidRDefault="001D511E" w:rsidP="001D511E">
            <w:pPr>
              <w:jc w:val="right"/>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3080F1BC" w14:textId="77777777" w:rsidR="001D511E" w:rsidRPr="001D511E" w:rsidRDefault="001D511E" w:rsidP="001D511E">
            <w:pPr>
              <w:jc w:val="right"/>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5DC68E30" w14:textId="77777777" w:rsidR="001D511E" w:rsidRPr="001D511E" w:rsidRDefault="001D511E" w:rsidP="001D511E">
            <w:pPr>
              <w:jc w:val="right"/>
              <w:rPr>
                <w:rFonts w:ascii="Times New Roman" w:eastAsia="Times New Roman" w:hAnsi="Times New Roman" w:cs="Times New Roman"/>
                <w:sz w:val="20"/>
                <w:szCs w:val="20"/>
                <w:lang w:val="fr-FR" w:eastAsia="fr-FR"/>
              </w:rPr>
            </w:pPr>
          </w:p>
        </w:tc>
      </w:tr>
      <w:tr w:rsidR="001D511E" w:rsidRPr="001D511E" w14:paraId="104A96C8" w14:textId="77777777" w:rsidTr="001D511E">
        <w:trPr>
          <w:trHeight w:val="300"/>
        </w:trPr>
        <w:tc>
          <w:tcPr>
            <w:tcW w:w="2780" w:type="dxa"/>
            <w:tcBorders>
              <w:top w:val="nil"/>
              <w:left w:val="nil"/>
              <w:bottom w:val="nil"/>
              <w:right w:val="nil"/>
            </w:tcBorders>
            <w:shd w:val="clear" w:color="auto" w:fill="auto"/>
            <w:noWrap/>
            <w:vAlign w:val="center"/>
            <w:hideMark/>
          </w:tcPr>
          <w:p w14:paraId="19549D93" w14:textId="77777777" w:rsidR="001D511E" w:rsidRPr="001D511E" w:rsidRDefault="001D511E" w:rsidP="001D511E">
            <w:pPr>
              <w:rPr>
                <w:rFonts w:eastAsia="Times New Roman"/>
                <w:i/>
                <w:iCs/>
                <w:color w:val="000000"/>
                <w:sz w:val="16"/>
                <w:lang w:val="fr-FR" w:eastAsia="fr-FR"/>
              </w:rPr>
            </w:pPr>
            <w:r w:rsidRPr="001D511E">
              <w:rPr>
                <w:rFonts w:eastAsia="Times New Roman"/>
                <w:i/>
                <w:iCs/>
                <w:color w:val="000000"/>
                <w:sz w:val="16"/>
                <w:lang w:eastAsia="fr-FR"/>
              </w:rPr>
              <w:t>where:</w:t>
            </w:r>
          </w:p>
        </w:tc>
        <w:tc>
          <w:tcPr>
            <w:tcW w:w="700" w:type="dxa"/>
            <w:tcBorders>
              <w:top w:val="nil"/>
              <w:left w:val="nil"/>
              <w:bottom w:val="nil"/>
              <w:right w:val="nil"/>
            </w:tcBorders>
            <w:shd w:val="clear" w:color="auto" w:fill="auto"/>
            <w:noWrap/>
            <w:vAlign w:val="center"/>
            <w:hideMark/>
          </w:tcPr>
          <w:p w14:paraId="5E2DC5E6" w14:textId="77777777" w:rsidR="001D511E" w:rsidRPr="001D511E" w:rsidRDefault="001D511E" w:rsidP="001D511E">
            <w:pPr>
              <w:rPr>
                <w:rFonts w:eastAsia="Times New Roman"/>
                <w:i/>
                <w:iCs/>
                <w:color w:val="000000"/>
                <w:sz w:val="16"/>
                <w:lang w:val="fr-FR" w:eastAsia="fr-FR"/>
              </w:rPr>
            </w:pPr>
          </w:p>
        </w:tc>
        <w:tc>
          <w:tcPr>
            <w:tcW w:w="700" w:type="dxa"/>
            <w:tcBorders>
              <w:top w:val="nil"/>
              <w:left w:val="nil"/>
              <w:bottom w:val="nil"/>
              <w:right w:val="nil"/>
            </w:tcBorders>
            <w:shd w:val="clear" w:color="auto" w:fill="auto"/>
            <w:noWrap/>
            <w:vAlign w:val="center"/>
            <w:hideMark/>
          </w:tcPr>
          <w:p w14:paraId="1D0DFCEC"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3CACA095"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45994C78"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2517775B" w14:textId="77777777" w:rsidR="001D511E" w:rsidRPr="001D511E" w:rsidRDefault="001D511E" w:rsidP="001D511E">
            <w:pPr>
              <w:rPr>
                <w:rFonts w:ascii="Times New Roman" w:eastAsia="Times New Roman" w:hAnsi="Times New Roman" w:cs="Times New Roman"/>
                <w:sz w:val="20"/>
                <w:szCs w:val="20"/>
                <w:lang w:val="fr-FR" w:eastAsia="fr-FR"/>
              </w:rPr>
            </w:pPr>
          </w:p>
        </w:tc>
      </w:tr>
      <w:tr w:rsidR="001D511E" w:rsidRPr="001D511E" w14:paraId="174AEACA" w14:textId="77777777" w:rsidTr="001D511E">
        <w:trPr>
          <w:trHeight w:val="300"/>
        </w:trPr>
        <w:tc>
          <w:tcPr>
            <w:tcW w:w="6280" w:type="dxa"/>
            <w:gridSpan w:val="6"/>
            <w:tcBorders>
              <w:top w:val="nil"/>
              <w:left w:val="nil"/>
              <w:bottom w:val="nil"/>
              <w:right w:val="nil"/>
            </w:tcBorders>
            <w:shd w:val="clear" w:color="auto" w:fill="auto"/>
            <w:noWrap/>
            <w:vAlign w:val="center"/>
            <w:hideMark/>
          </w:tcPr>
          <w:p w14:paraId="18873D64" w14:textId="77777777" w:rsidR="001D511E" w:rsidRPr="001D511E" w:rsidRDefault="001D511E" w:rsidP="001D511E">
            <w:pPr>
              <w:rPr>
                <w:rFonts w:eastAsia="Times New Roman"/>
                <w:color w:val="000000"/>
                <w:sz w:val="16"/>
                <w:lang w:val="fr-FR" w:eastAsia="fr-FR"/>
              </w:rPr>
            </w:pPr>
            <w:r w:rsidRPr="001D511E">
              <w:rPr>
                <w:rFonts w:eastAsia="Times New Roman"/>
                <w:color w:val="000000"/>
                <w:sz w:val="16"/>
                <w:lang w:eastAsia="fr-FR"/>
              </w:rPr>
              <w:t>Direct – those employed by companies extracting oil and gas</w:t>
            </w:r>
          </w:p>
        </w:tc>
      </w:tr>
      <w:tr w:rsidR="001D511E" w:rsidRPr="001D511E" w14:paraId="0B5E2261" w14:textId="77777777" w:rsidTr="001D511E">
        <w:trPr>
          <w:trHeight w:val="300"/>
        </w:trPr>
        <w:tc>
          <w:tcPr>
            <w:tcW w:w="6280" w:type="dxa"/>
            <w:gridSpan w:val="6"/>
            <w:tcBorders>
              <w:top w:val="nil"/>
              <w:left w:val="nil"/>
              <w:bottom w:val="nil"/>
              <w:right w:val="nil"/>
            </w:tcBorders>
            <w:shd w:val="clear" w:color="auto" w:fill="auto"/>
            <w:noWrap/>
            <w:vAlign w:val="center"/>
            <w:hideMark/>
          </w:tcPr>
          <w:p w14:paraId="301E0979" w14:textId="77777777" w:rsidR="001D511E" w:rsidRPr="001D511E" w:rsidRDefault="001D511E" w:rsidP="001D511E">
            <w:pPr>
              <w:rPr>
                <w:rFonts w:eastAsia="Times New Roman"/>
                <w:color w:val="000000"/>
                <w:sz w:val="16"/>
                <w:lang w:val="fr-FR" w:eastAsia="fr-FR"/>
              </w:rPr>
            </w:pPr>
            <w:r w:rsidRPr="001D511E">
              <w:rPr>
                <w:rFonts w:eastAsia="Times New Roman"/>
                <w:color w:val="000000"/>
                <w:sz w:val="16"/>
                <w:lang w:eastAsia="fr-FR"/>
              </w:rPr>
              <w:t>Indirect – those who provide goods and services for an oil and gas company</w:t>
            </w:r>
          </w:p>
        </w:tc>
      </w:tr>
      <w:tr w:rsidR="001D511E" w:rsidRPr="001D511E" w14:paraId="49341970" w14:textId="77777777" w:rsidTr="001D511E">
        <w:trPr>
          <w:trHeight w:val="300"/>
        </w:trPr>
        <w:tc>
          <w:tcPr>
            <w:tcW w:w="6280" w:type="dxa"/>
            <w:gridSpan w:val="6"/>
            <w:tcBorders>
              <w:top w:val="nil"/>
              <w:left w:val="nil"/>
              <w:bottom w:val="nil"/>
              <w:right w:val="nil"/>
            </w:tcBorders>
            <w:shd w:val="clear" w:color="auto" w:fill="auto"/>
            <w:noWrap/>
            <w:vAlign w:val="center"/>
            <w:hideMark/>
          </w:tcPr>
          <w:p w14:paraId="3559984A" w14:textId="77777777" w:rsidR="001D511E" w:rsidRPr="001D511E" w:rsidRDefault="001D511E" w:rsidP="001D511E">
            <w:pPr>
              <w:rPr>
                <w:rFonts w:eastAsia="Times New Roman"/>
                <w:color w:val="000000"/>
                <w:sz w:val="16"/>
                <w:lang w:val="fr-FR" w:eastAsia="fr-FR"/>
              </w:rPr>
            </w:pPr>
            <w:r w:rsidRPr="001D511E">
              <w:rPr>
                <w:rFonts w:eastAsia="Times New Roman"/>
                <w:color w:val="000000"/>
                <w:sz w:val="16"/>
                <w:lang w:eastAsia="fr-FR"/>
              </w:rPr>
              <w:t>Induced – local economy jobs that benefit from the sector e.g. hospitality</w:t>
            </w:r>
          </w:p>
        </w:tc>
      </w:tr>
      <w:tr w:rsidR="001D511E" w:rsidRPr="001D511E" w14:paraId="2AB7F6D8" w14:textId="77777777" w:rsidTr="001D511E">
        <w:trPr>
          <w:trHeight w:val="102"/>
        </w:trPr>
        <w:tc>
          <w:tcPr>
            <w:tcW w:w="2780" w:type="dxa"/>
            <w:tcBorders>
              <w:top w:val="nil"/>
              <w:left w:val="nil"/>
              <w:bottom w:val="nil"/>
              <w:right w:val="nil"/>
            </w:tcBorders>
            <w:shd w:val="clear" w:color="auto" w:fill="auto"/>
            <w:noWrap/>
            <w:vAlign w:val="center"/>
            <w:hideMark/>
          </w:tcPr>
          <w:p w14:paraId="6EC0AD42" w14:textId="77777777" w:rsidR="001D511E" w:rsidRPr="001D511E" w:rsidRDefault="001D511E" w:rsidP="001D511E">
            <w:pPr>
              <w:rPr>
                <w:rFonts w:eastAsia="Times New Roman"/>
                <w:color w:val="000000"/>
                <w:sz w:val="16"/>
                <w:lang w:val="fr-FR" w:eastAsia="fr-FR"/>
              </w:rPr>
            </w:pPr>
          </w:p>
        </w:tc>
        <w:tc>
          <w:tcPr>
            <w:tcW w:w="700" w:type="dxa"/>
            <w:tcBorders>
              <w:top w:val="nil"/>
              <w:left w:val="nil"/>
              <w:bottom w:val="nil"/>
              <w:right w:val="nil"/>
            </w:tcBorders>
            <w:shd w:val="clear" w:color="auto" w:fill="auto"/>
            <w:noWrap/>
            <w:vAlign w:val="center"/>
            <w:hideMark/>
          </w:tcPr>
          <w:p w14:paraId="70C3B96E"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1FADA5ED"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63C33D67"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54177D1F" w14:textId="77777777" w:rsidR="001D511E" w:rsidRPr="001D511E" w:rsidRDefault="001D511E" w:rsidP="001D511E">
            <w:pPr>
              <w:rPr>
                <w:rFonts w:ascii="Times New Roman" w:eastAsia="Times New Roman" w:hAnsi="Times New Roman" w:cs="Times New Roman"/>
                <w:sz w:val="20"/>
                <w:szCs w:val="20"/>
                <w:lang w:val="fr-FR" w:eastAsia="fr-FR"/>
              </w:rPr>
            </w:pPr>
          </w:p>
        </w:tc>
        <w:tc>
          <w:tcPr>
            <w:tcW w:w="700" w:type="dxa"/>
            <w:tcBorders>
              <w:top w:val="nil"/>
              <w:left w:val="nil"/>
              <w:bottom w:val="nil"/>
              <w:right w:val="nil"/>
            </w:tcBorders>
            <w:shd w:val="clear" w:color="auto" w:fill="auto"/>
            <w:noWrap/>
            <w:vAlign w:val="center"/>
            <w:hideMark/>
          </w:tcPr>
          <w:p w14:paraId="2427ECE6" w14:textId="77777777" w:rsidR="001D511E" w:rsidRPr="001D511E" w:rsidRDefault="001D511E" w:rsidP="001D511E">
            <w:pPr>
              <w:rPr>
                <w:rFonts w:ascii="Times New Roman" w:eastAsia="Times New Roman" w:hAnsi="Times New Roman" w:cs="Times New Roman"/>
                <w:sz w:val="20"/>
                <w:szCs w:val="20"/>
                <w:lang w:val="fr-FR" w:eastAsia="fr-FR"/>
              </w:rPr>
            </w:pPr>
          </w:p>
        </w:tc>
      </w:tr>
      <w:tr w:rsidR="001D511E" w:rsidRPr="001D511E" w14:paraId="10CB2117" w14:textId="77777777" w:rsidTr="001D511E">
        <w:trPr>
          <w:trHeight w:val="300"/>
        </w:trPr>
        <w:tc>
          <w:tcPr>
            <w:tcW w:w="6280" w:type="dxa"/>
            <w:gridSpan w:val="6"/>
            <w:tcBorders>
              <w:top w:val="nil"/>
              <w:left w:val="nil"/>
              <w:bottom w:val="nil"/>
              <w:right w:val="nil"/>
            </w:tcBorders>
            <w:shd w:val="clear" w:color="auto" w:fill="auto"/>
            <w:noWrap/>
            <w:vAlign w:val="center"/>
            <w:hideMark/>
          </w:tcPr>
          <w:p w14:paraId="6E85744A" w14:textId="77777777" w:rsidR="001D511E" w:rsidRPr="001D511E" w:rsidRDefault="001D511E" w:rsidP="001D511E">
            <w:pPr>
              <w:rPr>
                <w:rFonts w:eastAsia="Times New Roman"/>
                <w:color w:val="000000"/>
                <w:sz w:val="16"/>
                <w:lang w:val="fr-FR" w:eastAsia="fr-FR"/>
              </w:rPr>
            </w:pPr>
            <w:r w:rsidRPr="001D511E">
              <w:rPr>
                <w:rFonts w:eastAsia="Times New Roman"/>
                <w:color w:val="000000"/>
                <w:sz w:val="16"/>
                <w:lang w:eastAsia="fr-FR"/>
              </w:rPr>
              <w:t>Source: Figure 1 in Workforce Report 2017 (Oil &amp; Gas UK, August 2018).</w:t>
            </w:r>
          </w:p>
        </w:tc>
      </w:tr>
    </w:tbl>
    <w:p w14:paraId="4843837A" w14:textId="77777777" w:rsidR="00243255" w:rsidRPr="0059555C" w:rsidRDefault="00243255" w:rsidP="00E0694A">
      <w:pPr>
        <w:pStyle w:val="Heading2"/>
        <w:keepLines w:val="0"/>
        <w:numPr>
          <w:ilvl w:val="1"/>
          <w:numId w:val="43"/>
        </w:numPr>
        <w:shd w:val="clear" w:color="auto" w:fill="BFBFBF"/>
        <w:tabs>
          <w:tab w:val="clear" w:pos="567"/>
        </w:tabs>
        <w:spacing w:before="180" w:after="180" w:line="276" w:lineRule="auto"/>
        <w:ind w:left="567" w:hanging="567"/>
        <w:rPr>
          <w:szCs w:val="24"/>
        </w:rPr>
      </w:pPr>
      <w:r w:rsidRPr="0059555C">
        <w:rPr>
          <w:rFonts w:cs="Arial"/>
          <w:szCs w:val="24"/>
        </w:rPr>
        <w:t>Legal framework and licensing</w:t>
      </w:r>
      <w:r w:rsidR="00E11FA1" w:rsidRPr="00E0694A">
        <w:footnoteReference w:id="24"/>
      </w:r>
    </w:p>
    <w:p w14:paraId="6117BFFA" w14:textId="39A2D225" w:rsidR="00524722" w:rsidRPr="00B66EA6" w:rsidRDefault="00243255" w:rsidP="00243255">
      <w:pPr>
        <w:pStyle w:val="Default"/>
        <w:spacing w:after="180" w:line="276" w:lineRule="auto"/>
        <w:rPr>
          <w:rFonts w:ascii="Arial" w:hAnsi="Arial" w:cs="Arial"/>
          <w:color w:val="auto"/>
        </w:rPr>
      </w:pPr>
      <w:r w:rsidRPr="00B66EA6">
        <w:rPr>
          <w:rFonts w:ascii="Arial" w:hAnsi="Arial" w:cs="Arial"/>
          <w:color w:val="auto"/>
        </w:rPr>
        <w:t>The Petroleum Act 1998</w:t>
      </w:r>
      <w:r w:rsidRPr="00B66EA6">
        <w:rPr>
          <w:rFonts w:ascii="Arial" w:hAnsi="Arial" w:cs="Arial"/>
          <w:color w:val="auto"/>
          <w:vertAlign w:val="superscript"/>
        </w:rPr>
        <w:footnoteReference w:id="25"/>
      </w:r>
      <w:r w:rsidRPr="00B66EA6">
        <w:rPr>
          <w:rFonts w:ascii="Arial" w:hAnsi="Arial" w:cs="Arial"/>
          <w:color w:val="auto"/>
        </w:rPr>
        <w:t xml:space="preserve"> vests rights to oil and gas (petroleum) resources </w:t>
      </w:r>
      <w:r w:rsidR="0068598B" w:rsidRPr="00B66EA6">
        <w:rPr>
          <w:rFonts w:ascii="Arial" w:hAnsi="Arial" w:cs="Arial"/>
          <w:color w:val="auto"/>
        </w:rPr>
        <w:t xml:space="preserve">in </w:t>
      </w:r>
      <w:r w:rsidR="00B363A8">
        <w:rPr>
          <w:rFonts w:ascii="Arial" w:hAnsi="Arial" w:cs="Arial"/>
          <w:color w:val="auto"/>
        </w:rPr>
        <w:t xml:space="preserve">England </w:t>
      </w:r>
      <w:r w:rsidR="0068598B" w:rsidRPr="00B66EA6">
        <w:rPr>
          <w:rFonts w:ascii="Arial" w:hAnsi="Arial" w:cs="Arial"/>
          <w:color w:val="auto"/>
        </w:rPr>
        <w:t xml:space="preserve">and on the UK Continental Shelf (UKCS) </w:t>
      </w:r>
      <w:r w:rsidRPr="00B66EA6">
        <w:rPr>
          <w:rFonts w:ascii="Arial" w:hAnsi="Arial" w:cs="Arial"/>
          <w:color w:val="auto"/>
        </w:rPr>
        <w:t xml:space="preserve">in the Crown. The </w:t>
      </w:r>
      <w:r w:rsidR="00D15190" w:rsidRPr="00B66EA6">
        <w:rPr>
          <w:rFonts w:ascii="Arial" w:hAnsi="Arial" w:cs="Arial"/>
          <w:color w:val="auto"/>
        </w:rPr>
        <w:t xml:space="preserve">Act gives the OGA powers to grant licences that confer exclusive rights to “search and bore for and get” petroleum. Each of these licences confers such rights over a limited area and for a limited period. </w:t>
      </w:r>
      <w:r w:rsidRPr="00B66EA6">
        <w:rPr>
          <w:rFonts w:ascii="Arial" w:hAnsi="Arial" w:cs="Arial"/>
          <w:color w:val="auto"/>
        </w:rPr>
        <w:t>There are separate licensing regimes for offshore (seaward) and onshore (landward) areas, with distinct licences in each.</w:t>
      </w:r>
    </w:p>
    <w:p w14:paraId="672CBFCC" w14:textId="3664A517" w:rsidR="00D15190" w:rsidRPr="00B66EA6" w:rsidRDefault="00D15190" w:rsidP="00F17CD9">
      <w:pPr>
        <w:pStyle w:val="Default"/>
        <w:spacing w:after="180" w:line="276" w:lineRule="auto"/>
        <w:rPr>
          <w:rFonts w:ascii="Arial" w:hAnsi="Arial" w:cs="Arial"/>
          <w:color w:val="auto"/>
        </w:rPr>
      </w:pPr>
      <w:r w:rsidRPr="00B66EA6">
        <w:rPr>
          <w:rFonts w:ascii="Arial" w:hAnsi="Arial" w:cs="Arial"/>
          <w:color w:val="auto"/>
        </w:rPr>
        <w:t>Licences are generally awarded in periodic “rounds” subject to a requirement that the holder will make annual payments (known as “licence rental fees”). These payments</w:t>
      </w:r>
      <w:r w:rsidR="00212CCB" w:rsidRPr="00B66EA6">
        <w:rPr>
          <w:rFonts w:ascii="Arial" w:hAnsi="Arial" w:cs="Arial"/>
          <w:color w:val="auto"/>
        </w:rPr>
        <w:t xml:space="preserve"> are calculated on the basis of the area under licence and incorporate an escalating scale of pre-determined rates per square kilometre. This is to encourage licensee companies to relinquish acreage not undergoing productive activity, thus making it available for relicensing to other potential interested applicants. The vast majority of licence rental fees come from offshore licensing. Receipts of petroleum licences under the Petroleum Act 1998 are collected by the OGA for payment to the Consolidated Fund.</w:t>
      </w:r>
    </w:p>
    <w:p w14:paraId="793763D9" w14:textId="26E24C6F" w:rsidR="00D15190" w:rsidRPr="006C09FB" w:rsidRDefault="00B244A2" w:rsidP="00F17CD9">
      <w:pPr>
        <w:pStyle w:val="Default"/>
        <w:spacing w:after="180" w:line="276" w:lineRule="auto"/>
        <w:rPr>
          <w:rFonts w:ascii="Arial" w:hAnsi="Arial" w:cs="Arial"/>
          <w:color w:val="auto"/>
        </w:rPr>
      </w:pPr>
      <w:r>
        <w:rPr>
          <w:rFonts w:ascii="Arial" w:hAnsi="Arial" w:cs="Arial"/>
          <w:color w:val="auto"/>
        </w:rPr>
        <w:t xml:space="preserve">Licensing in Scotland and Wales is now devolved. </w:t>
      </w:r>
      <w:r w:rsidR="00D15190" w:rsidRPr="006C09FB">
        <w:rPr>
          <w:rFonts w:ascii="Arial" w:hAnsi="Arial" w:cs="Arial"/>
          <w:color w:val="auto"/>
        </w:rPr>
        <w:t>T</w:t>
      </w:r>
      <w:r w:rsidR="00243255" w:rsidRPr="006C09FB">
        <w:rPr>
          <w:rFonts w:ascii="Arial" w:hAnsi="Arial" w:cs="Arial"/>
          <w:color w:val="auto"/>
        </w:rPr>
        <w:t>he Petroleum (Production) Act (Northern Ireland) 1964</w:t>
      </w:r>
      <w:r w:rsidR="00243255" w:rsidRPr="006C09FB">
        <w:rPr>
          <w:rFonts w:ascii="Arial" w:hAnsi="Arial" w:cs="Arial"/>
          <w:color w:val="auto"/>
          <w:vertAlign w:val="superscript"/>
        </w:rPr>
        <w:footnoteReference w:id="26"/>
      </w:r>
      <w:r w:rsidR="00DC0729" w:rsidRPr="006C09FB">
        <w:rPr>
          <w:rFonts w:ascii="Arial" w:hAnsi="Arial" w:cs="Arial"/>
          <w:color w:val="auto"/>
          <w:vertAlign w:val="superscript"/>
        </w:rPr>
        <w:t xml:space="preserve"> </w:t>
      </w:r>
      <w:r w:rsidR="00243255" w:rsidRPr="006C09FB">
        <w:rPr>
          <w:rFonts w:ascii="Arial" w:hAnsi="Arial" w:cs="Arial"/>
          <w:color w:val="auto"/>
        </w:rPr>
        <w:t xml:space="preserve">vests the property in oil and gas in Northern Ireland, with certain exceptions, in the </w:t>
      </w:r>
      <w:r w:rsidR="004A66C0" w:rsidRPr="006C09FB">
        <w:rPr>
          <w:rFonts w:ascii="Arial" w:hAnsi="Arial" w:cs="Arial"/>
          <w:color w:val="auto"/>
        </w:rPr>
        <w:t>Department for the Economy (</w:t>
      </w:r>
      <w:r w:rsidR="00243255" w:rsidRPr="006C09FB">
        <w:rPr>
          <w:rFonts w:ascii="Arial" w:hAnsi="Arial" w:cs="Arial"/>
          <w:color w:val="auto"/>
        </w:rPr>
        <w:t>DfE</w:t>
      </w:r>
      <w:r w:rsidR="004A66C0" w:rsidRPr="006C09FB">
        <w:rPr>
          <w:rFonts w:ascii="Arial" w:hAnsi="Arial" w:cs="Arial"/>
          <w:color w:val="auto"/>
        </w:rPr>
        <w:t>)</w:t>
      </w:r>
      <w:r w:rsidR="00243255" w:rsidRPr="006C09FB">
        <w:rPr>
          <w:rFonts w:ascii="Arial" w:hAnsi="Arial" w:cs="Arial"/>
          <w:color w:val="auto"/>
        </w:rPr>
        <w:t>.</w:t>
      </w:r>
      <w:r>
        <w:rPr>
          <w:rFonts w:ascii="Arial" w:hAnsi="Arial" w:cs="Arial"/>
          <w:color w:val="auto"/>
        </w:rPr>
        <w:t xml:space="preserve"> </w:t>
      </w:r>
      <w:r w:rsidR="00243255" w:rsidRPr="006C09FB">
        <w:rPr>
          <w:rFonts w:ascii="Arial" w:hAnsi="Arial" w:cs="Arial"/>
          <w:color w:val="auto"/>
        </w:rPr>
        <w:t>Northern Ireland’s offshore waters are subject to the same licensing regime as the rest of the continental shelf.</w:t>
      </w:r>
    </w:p>
    <w:p w14:paraId="5CFE86BF" w14:textId="77777777" w:rsidR="00243255" w:rsidRPr="006C09FB" w:rsidRDefault="00243255" w:rsidP="00243255">
      <w:pPr>
        <w:pStyle w:val="Default"/>
        <w:spacing w:after="180" w:line="276" w:lineRule="auto"/>
        <w:rPr>
          <w:rFonts w:ascii="Arial" w:hAnsi="Arial" w:cs="Arial"/>
          <w:color w:val="auto"/>
        </w:rPr>
      </w:pPr>
      <w:r w:rsidRPr="006C09FB">
        <w:rPr>
          <w:rFonts w:ascii="Arial" w:hAnsi="Arial" w:cs="Arial"/>
          <w:color w:val="auto"/>
        </w:rPr>
        <w:t>The OGA publishes oil and gas licences and licence reports.</w:t>
      </w:r>
      <w:r w:rsidRPr="006C09FB">
        <w:rPr>
          <w:rFonts w:ascii="Arial" w:hAnsi="Arial" w:cs="Arial"/>
          <w:color w:val="auto"/>
          <w:vertAlign w:val="superscript"/>
        </w:rPr>
        <w:footnoteReference w:id="27"/>
      </w:r>
      <w:r w:rsidRPr="006C09FB">
        <w:rPr>
          <w:rFonts w:ascii="Arial" w:hAnsi="Arial" w:cs="Arial"/>
          <w:color w:val="auto"/>
        </w:rPr>
        <w:t xml:space="preserve"> The OGA also publishes offshore and onshore maps</w:t>
      </w:r>
      <w:r w:rsidR="007E7121" w:rsidRPr="006C09FB">
        <w:rPr>
          <w:rFonts w:ascii="Arial" w:hAnsi="Arial" w:cs="Arial"/>
          <w:color w:val="auto"/>
        </w:rPr>
        <w:t xml:space="preserve"> which are available for nil cost; t</w:t>
      </w:r>
      <w:r w:rsidRPr="006C09FB">
        <w:rPr>
          <w:rFonts w:ascii="Arial" w:hAnsi="Arial" w:cs="Arial"/>
          <w:color w:val="auto"/>
        </w:rPr>
        <w:t>he</w:t>
      </w:r>
      <w:r w:rsidR="007E7121" w:rsidRPr="006C09FB">
        <w:rPr>
          <w:rFonts w:ascii="Arial" w:hAnsi="Arial" w:cs="Arial"/>
          <w:color w:val="auto"/>
        </w:rPr>
        <w:t>se</w:t>
      </w:r>
      <w:r w:rsidRPr="006C09FB">
        <w:rPr>
          <w:rFonts w:ascii="Arial" w:hAnsi="Arial" w:cs="Arial"/>
          <w:color w:val="auto"/>
        </w:rPr>
        <w:t xml:space="preserve"> interactive maps allow users to find the co-ordinates of each licence and download </w:t>
      </w:r>
      <w:r w:rsidR="007E7121" w:rsidRPr="006C09FB">
        <w:rPr>
          <w:rFonts w:ascii="Arial" w:hAnsi="Arial" w:cs="Arial"/>
          <w:color w:val="auto"/>
        </w:rPr>
        <w:t xml:space="preserve">at nil cost, </w:t>
      </w:r>
      <w:r w:rsidRPr="006C09FB">
        <w:rPr>
          <w:rFonts w:ascii="Arial" w:hAnsi="Arial" w:cs="Arial"/>
          <w:color w:val="auto"/>
        </w:rPr>
        <w:t>individual licences.</w:t>
      </w:r>
      <w:r w:rsidRPr="006C09FB">
        <w:rPr>
          <w:rFonts w:ascii="Arial" w:hAnsi="Arial" w:cs="Arial"/>
          <w:color w:val="auto"/>
          <w:vertAlign w:val="superscript"/>
        </w:rPr>
        <w:footnoteReference w:id="28"/>
      </w:r>
      <w:r w:rsidRPr="006C09FB">
        <w:rPr>
          <w:rFonts w:ascii="Arial" w:hAnsi="Arial" w:cs="Arial"/>
          <w:color w:val="auto"/>
        </w:rPr>
        <w:t xml:space="preserve"> The Northern Ireland DfE issues separate onshore licences independently of the OGA and publishes current licences and a map showing licence areas.</w:t>
      </w:r>
      <w:r w:rsidRPr="006C09FB">
        <w:rPr>
          <w:rFonts w:ascii="Arial" w:hAnsi="Arial" w:cs="Arial"/>
          <w:color w:val="auto"/>
          <w:vertAlign w:val="superscript"/>
        </w:rPr>
        <w:footnoteReference w:id="29"/>
      </w:r>
    </w:p>
    <w:p w14:paraId="2B844499" w14:textId="77777777" w:rsidR="00212CCB" w:rsidRPr="00E0694A" w:rsidRDefault="00212CCB" w:rsidP="00547FE4">
      <w:pPr>
        <w:pStyle w:val="Heading3"/>
        <w:keepNext/>
        <w:numPr>
          <w:ilvl w:val="2"/>
          <w:numId w:val="44"/>
        </w:numPr>
        <w:spacing w:line="276" w:lineRule="auto"/>
        <w:jc w:val="left"/>
        <w:rPr>
          <w:b w:val="0"/>
        </w:rPr>
      </w:pPr>
      <w:r w:rsidRPr="00E0694A">
        <w:rPr>
          <w:sz w:val="24"/>
          <w:szCs w:val="24"/>
        </w:rPr>
        <w:t>Award and transfer of licences in Great Britain and on the UKCS</w:t>
      </w:r>
    </w:p>
    <w:p w14:paraId="0C487B0D" w14:textId="77777777" w:rsidR="004A66C0" w:rsidRPr="006C09FB" w:rsidRDefault="004A66C0" w:rsidP="00906E90">
      <w:pPr>
        <w:pStyle w:val="Default"/>
        <w:spacing w:after="180" w:line="276" w:lineRule="auto"/>
        <w:rPr>
          <w:rFonts w:ascii="Arial" w:hAnsi="Arial" w:cs="Arial"/>
          <w:color w:val="auto"/>
        </w:rPr>
      </w:pPr>
      <w:r w:rsidRPr="006C09FB">
        <w:rPr>
          <w:rFonts w:ascii="Arial" w:hAnsi="Arial" w:cs="Arial"/>
          <w:color w:val="auto"/>
        </w:rPr>
        <w:t>The OGA works to maximise economic recovery of the nation’s petroleum resources. The government has essential pre-requisites for licence applicants, such as requiring the would-be licensee to have a fixed place of business within the UK.</w:t>
      </w:r>
    </w:p>
    <w:p w14:paraId="53A5508D" w14:textId="2649AD76" w:rsidR="00BC533A" w:rsidRPr="006C09FB" w:rsidRDefault="00BC533A" w:rsidP="00E0694A">
      <w:pPr>
        <w:pStyle w:val="Default"/>
        <w:spacing w:after="180" w:line="276" w:lineRule="auto"/>
        <w:rPr>
          <w:rFonts w:ascii="Arial" w:hAnsi="Arial" w:cs="Arial"/>
          <w:color w:val="auto"/>
        </w:rPr>
      </w:pPr>
      <w:r w:rsidRPr="006C09FB">
        <w:rPr>
          <w:rFonts w:ascii="Arial" w:hAnsi="Arial" w:cs="Arial"/>
          <w:color w:val="auto"/>
        </w:rPr>
        <w:t>Licences are awarded during regular competitive onshore and offshore licensing rounds once the OGA has been satisfied that the licensee has met the necessary technical and financial requirements.</w:t>
      </w:r>
      <w:r w:rsidRPr="006C09FB">
        <w:rPr>
          <w:rFonts w:ascii="Arial" w:hAnsi="Arial" w:cs="Arial"/>
          <w:color w:val="auto"/>
          <w:vertAlign w:val="superscript"/>
        </w:rPr>
        <w:footnoteReference w:id="30"/>
      </w:r>
      <w:r w:rsidRPr="006C09FB">
        <w:rPr>
          <w:rFonts w:ascii="Arial" w:hAnsi="Arial" w:cs="Arial"/>
          <w:color w:val="auto"/>
        </w:rPr>
        <w:t xml:space="preserve"> This method of licensing aims to optimise recovery of the UK’s remaining petroleum resources.</w:t>
      </w:r>
      <w:r w:rsidR="008A5CE8" w:rsidRPr="006C09FB">
        <w:rPr>
          <w:rFonts w:ascii="Arial" w:hAnsi="Arial" w:cs="Arial"/>
          <w:color w:val="auto"/>
        </w:rPr>
        <w:t xml:space="preserve"> </w:t>
      </w:r>
      <w:r w:rsidR="00045B1F" w:rsidRPr="006C09FB">
        <w:rPr>
          <w:rFonts w:ascii="Arial" w:hAnsi="Arial" w:cs="Arial"/>
          <w:color w:val="auto"/>
        </w:rPr>
        <w:t>Out-of-round licence applications are possible but only in exceptional circumstances</w:t>
      </w:r>
      <w:r w:rsidR="00045B1F">
        <w:rPr>
          <w:rFonts w:ascii="Arial" w:hAnsi="Arial" w:cs="Arial"/>
          <w:color w:val="auto"/>
        </w:rPr>
        <w:t>.  Further Information on licensing activity is available on the OGA website.</w:t>
      </w:r>
      <w:r w:rsidRPr="006C09FB">
        <w:rPr>
          <w:rFonts w:ascii="Arial" w:hAnsi="Arial" w:cs="Arial"/>
          <w:color w:val="auto"/>
        </w:rPr>
        <w:t xml:space="preserve"> Licensing rounds are announced in the Official Journal of the European Union and assessed against a publicly announced set of criteria.</w:t>
      </w:r>
      <w:r w:rsidRPr="006C09FB">
        <w:rPr>
          <w:rFonts w:ascii="Arial" w:hAnsi="Arial" w:cs="Arial"/>
          <w:color w:val="auto"/>
          <w:vertAlign w:val="superscript"/>
        </w:rPr>
        <w:footnoteReference w:id="31"/>
      </w:r>
    </w:p>
    <w:p w14:paraId="08101F39" w14:textId="77777777" w:rsidR="0037616A" w:rsidRPr="006C09FB" w:rsidRDefault="00BD0DCE" w:rsidP="00F17CD9">
      <w:pPr>
        <w:pStyle w:val="Default"/>
        <w:spacing w:after="180" w:line="276" w:lineRule="auto"/>
        <w:rPr>
          <w:rFonts w:ascii="Arial" w:hAnsi="Arial" w:cs="Arial"/>
          <w:color w:val="auto"/>
        </w:rPr>
      </w:pPr>
      <w:r w:rsidRPr="006C09FB">
        <w:rPr>
          <w:rFonts w:ascii="Arial" w:hAnsi="Arial" w:cs="Arial"/>
          <w:color w:val="auto"/>
        </w:rPr>
        <w:t>Each licence takes the form of a deed, which binds the licensee (either a single company or several working together and bound under joint and several liability) to obey the licence conditions regardless of whether or not they are using the licence at any given moment. The OGA (and DECC previously) regulates the transfer of licence</w:t>
      </w:r>
      <w:r w:rsidR="007B6F9F" w:rsidRPr="006C09FB">
        <w:rPr>
          <w:rFonts w:ascii="Arial" w:hAnsi="Arial" w:cs="Arial"/>
          <w:color w:val="auto"/>
        </w:rPr>
        <w:t xml:space="preserve"> interests</w:t>
      </w:r>
      <w:r w:rsidRPr="006C09FB">
        <w:rPr>
          <w:rFonts w:ascii="Arial" w:hAnsi="Arial" w:cs="Arial"/>
          <w:color w:val="auto"/>
        </w:rPr>
        <w:t xml:space="preserve"> in order to enforce its policy objectives.</w:t>
      </w:r>
      <w:r w:rsidR="0022543F" w:rsidRPr="006C09FB">
        <w:rPr>
          <w:rFonts w:ascii="Arial" w:hAnsi="Arial" w:cs="Arial"/>
          <w:color w:val="auto"/>
        </w:rPr>
        <w:t xml:space="preserve"> A company that is party to a licence may wish to sell its interest</w:t>
      </w:r>
      <w:r w:rsidR="00E6458B" w:rsidRPr="006C09FB">
        <w:rPr>
          <w:rFonts w:ascii="Arial" w:hAnsi="Arial" w:cs="Arial"/>
          <w:color w:val="auto"/>
        </w:rPr>
        <w:t xml:space="preserve"> or a part of it, to another company</w:t>
      </w:r>
      <w:r w:rsidR="002D4311" w:rsidRPr="006C09FB">
        <w:rPr>
          <w:rFonts w:ascii="Arial" w:hAnsi="Arial" w:cs="Arial"/>
          <w:color w:val="auto"/>
        </w:rPr>
        <w:t>.</w:t>
      </w:r>
      <w:r w:rsidR="00E6458B" w:rsidRPr="006C09FB">
        <w:rPr>
          <w:rFonts w:ascii="Arial" w:hAnsi="Arial" w:cs="Arial"/>
          <w:color w:val="auto"/>
        </w:rPr>
        <w:t xml:space="preserve"> It requires the OGA’s permiss</w:t>
      </w:r>
      <w:r w:rsidR="009371DA" w:rsidRPr="006C09FB">
        <w:rPr>
          <w:rFonts w:ascii="Arial" w:hAnsi="Arial" w:cs="Arial"/>
          <w:color w:val="auto"/>
        </w:rPr>
        <w:t>ion to do so.</w:t>
      </w:r>
      <w:r w:rsidR="009371DA" w:rsidRPr="006C09FB">
        <w:rPr>
          <w:rStyle w:val="FootnoteReference"/>
          <w:rFonts w:ascii="Arial" w:hAnsi="Arial" w:cs="Arial"/>
          <w:color w:val="auto"/>
        </w:rPr>
        <w:footnoteReference w:id="32"/>
      </w:r>
    </w:p>
    <w:p w14:paraId="6D8A73B1" w14:textId="10DA1C6D" w:rsidR="00243255" w:rsidRPr="006C09FB" w:rsidRDefault="00243255" w:rsidP="00F17CD9">
      <w:pPr>
        <w:pStyle w:val="Default"/>
        <w:spacing w:after="180" w:line="276" w:lineRule="auto"/>
        <w:rPr>
          <w:rFonts w:ascii="Arial" w:hAnsi="Arial" w:cs="Arial"/>
          <w:color w:val="auto"/>
        </w:rPr>
      </w:pPr>
      <w:r w:rsidRPr="006C09FB">
        <w:rPr>
          <w:rFonts w:ascii="Arial" w:hAnsi="Arial" w:cs="Arial"/>
          <w:color w:val="auto"/>
        </w:rPr>
        <w:t>Licence applications and interests attract fees and charges payable by the applicant or licensee. Each licence carries an annual charge, commonly called a rental. Rentals serve the double purpose of incentivising licensees to work their whole licensed areas and to surrender acreage they do not intend to exploit. Rentals are due every year on the licence anniversary and are charged at a variable rate on each square kilometre that the licence covers at that date. The rates are set out in the licence document at award.</w:t>
      </w:r>
      <w:r w:rsidR="008B2ACD" w:rsidRPr="006C09FB">
        <w:rPr>
          <w:rFonts w:ascii="Arial" w:hAnsi="Arial" w:cs="Arial"/>
          <w:color w:val="auto"/>
        </w:rPr>
        <w:t xml:space="preserve"> </w:t>
      </w:r>
      <w:r w:rsidR="00C2480F" w:rsidRPr="006C09FB">
        <w:rPr>
          <w:rFonts w:ascii="Arial" w:hAnsi="Arial" w:cs="Arial"/>
          <w:color w:val="auto"/>
        </w:rPr>
        <w:t xml:space="preserve">Payments are made to the OGA only by licence administrators (typically operators, who recoup the payments from the licensees in proportion to their interests in each licence) so the reconciled amounts reported in </w:t>
      </w:r>
      <w:r w:rsidR="00C2480F" w:rsidRPr="001959BC">
        <w:rPr>
          <w:rFonts w:ascii="Arial" w:hAnsi="Arial" w:cs="Arial"/>
          <w:color w:val="auto"/>
        </w:rPr>
        <w:t xml:space="preserve">Table </w:t>
      </w:r>
      <w:r w:rsidR="00FB130B" w:rsidRPr="001959BC">
        <w:rPr>
          <w:rFonts w:ascii="Arial" w:hAnsi="Arial" w:cs="Arial"/>
          <w:color w:val="auto"/>
        </w:rPr>
        <w:t xml:space="preserve">1.2.1 in the </w:t>
      </w:r>
      <w:r w:rsidR="00F10F70" w:rsidRPr="001959BC">
        <w:rPr>
          <w:rFonts w:ascii="Arial" w:hAnsi="Arial" w:cs="Arial"/>
          <w:color w:val="auto"/>
        </w:rPr>
        <w:t>2017 UK EITI Reconciliation and State of Industry Report</w:t>
      </w:r>
      <w:r w:rsidR="00C2480F" w:rsidRPr="001959BC">
        <w:rPr>
          <w:rFonts w:ascii="Arial" w:hAnsi="Arial" w:cs="Arial"/>
          <w:color w:val="auto"/>
        </w:rPr>
        <w:t xml:space="preserve"> do not reflect the extent </w:t>
      </w:r>
      <w:r w:rsidR="00D67B23" w:rsidRPr="001959BC">
        <w:rPr>
          <w:rFonts w:ascii="Arial" w:hAnsi="Arial" w:cs="Arial"/>
          <w:color w:val="auto"/>
        </w:rPr>
        <w:t>to</w:t>
      </w:r>
      <w:bookmarkStart w:id="16" w:name="_GoBack"/>
      <w:bookmarkEnd w:id="16"/>
      <w:r w:rsidR="00C2480F" w:rsidRPr="006C09FB">
        <w:rPr>
          <w:rFonts w:ascii="Arial" w:hAnsi="Arial" w:cs="Arial"/>
          <w:color w:val="auto"/>
        </w:rPr>
        <w:t xml:space="preserve"> which payments to the OGA are spread between licensees.</w:t>
      </w:r>
    </w:p>
    <w:p w14:paraId="73855106" w14:textId="3674B3F6" w:rsidR="00EB616F" w:rsidRPr="006C09FB" w:rsidRDefault="00EB616F" w:rsidP="00F17CD9">
      <w:pPr>
        <w:pStyle w:val="Default"/>
        <w:spacing w:after="180" w:line="276" w:lineRule="auto"/>
        <w:rPr>
          <w:rFonts w:ascii="Arial" w:hAnsi="Arial" w:cs="Arial"/>
          <w:color w:val="auto"/>
        </w:rPr>
      </w:pPr>
      <w:r w:rsidRPr="006C09FB">
        <w:rPr>
          <w:rFonts w:ascii="Arial" w:hAnsi="Arial" w:cs="Arial"/>
          <w:color w:val="auto"/>
        </w:rPr>
        <w:t xml:space="preserve">Onshore licensing </w:t>
      </w:r>
      <w:r w:rsidR="000346F7" w:rsidRPr="006C09FB">
        <w:rPr>
          <w:rFonts w:ascii="Arial" w:hAnsi="Arial" w:cs="Arial"/>
          <w:color w:val="auto"/>
        </w:rPr>
        <w:t xml:space="preserve">was </w:t>
      </w:r>
      <w:r w:rsidRPr="006C09FB">
        <w:rPr>
          <w:rFonts w:ascii="Arial" w:hAnsi="Arial" w:cs="Arial"/>
          <w:color w:val="auto"/>
        </w:rPr>
        <w:t xml:space="preserve">devolved to the Scottish Government </w:t>
      </w:r>
      <w:r w:rsidR="000346F7" w:rsidRPr="006C09FB">
        <w:rPr>
          <w:rFonts w:ascii="Arial" w:hAnsi="Arial" w:cs="Arial"/>
          <w:color w:val="auto"/>
        </w:rPr>
        <w:t xml:space="preserve">on </w:t>
      </w:r>
      <w:r w:rsidRPr="006C09FB">
        <w:rPr>
          <w:rFonts w:ascii="Arial" w:hAnsi="Arial" w:cs="Arial"/>
          <w:color w:val="auto"/>
        </w:rPr>
        <w:t xml:space="preserve">9 February 2018 and to the Welsh Government </w:t>
      </w:r>
      <w:r w:rsidR="000346F7" w:rsidRPr="006C09FB">
        <w:rPr>
          <w:rFonts w:ascii="Arial" w:hAnsi="Arial" w:cs="Arial"/>
          <w:color w:val="auto"/>
        </w:rPr>
        <w:t xml:space="preserve">on </w:t>
      </w:r>
      <w:r w:rsidRPr="006C09FB">
        <w:rPr>
          <w:rFonts w:ascii="Arial" w:hAnsi="Arial" w:cs="Arial"/>
          <w:color w:val="auto"/>
        </w:rPr>
        <w:t>1 October 2018.</w:t>
      </w:r>
    </w:p>
    <w:p w14:paraId="5C82399B" w14:textId="77777777" w:rsidR="00243255" w:rsidRPr="00E0694A" w:rsidRDefault="00243255" w:rsidP="00E0694A">
      <w:pPr>
        <w:pStyle w:val="Heading3"/>
        <w:keepNext/>
        <w:numPr>
          <w:ilvl w:val="2"/>
          <w:numId w:val="44"/>
        </w:numPr>
        <w:spacing w:line="276" w:lineRule="auto"/>
        <w:jc w:val="left"/>
        <w:rPr>
          <w:b w:val="0"/>
        </w:rPr>
      </w:pPr>
      <w:r w:rsidRPr="00E0694A">
        <w:rPr>
          <w:sz w:val="24"/>
          <w:szCs w:val="24"/>
        </w:rPr>
        <w:t>Licence conditions and types of licences</w:t>
      </w:r>
    </w:p>
    <w:p w14:paraId="0AE8D4D7" w14:textId="77777777" w:rsidR="00243255" w:rsidRPr="006C09FB" w:rsidRDefault="00243255" w:rsidP="00F17CD9">
      <w:pPr>
        <w:pStyle w:val="Default"/>
        <w:spacing w:after="180" w:line="276" w:lineRule="auto"/>
        <w:rPr>
          <w:rFonts w:ascii="Arial" w:hAnsi="Arial" w:cs="Arial"/>
          <w:color w:val="auto"/>
        </w:rPr>
      </w:pPr>
      <w:r w:rsidRPr="006C09FB">
        <w:rPr>
          <w:rFonts w:ascii="Arial" w:hAnsi="Arial" w:cs="Arial"/>
          <w:color w:val="auto"/>
        </w:rPr>
        <w:t>Each licence contains detailed terms and conditions, but not all regulation is contained in the licence. The Petroleum Act 1998 requires these conditions — called model clauses — to be published first in secondary legislation except in particular cases.</w:t>
      </w:r>
      <w:r w:rsidRPr="006C09FB">
        <w:rPr>
          <w:rFonts w:ascii="Arial" w:hAnsi="Arial" w:cs="Arial"/>
          <w:color w:val="auto"/>
          <w:vertAlign w:val="superscript"/>
        </w:rPr>
        <w:footnoteReference w:id="33"/>
      </w:r>
      <w:r w:rsidRPr="006C09FB">
        <w:rPr>
          <w:rFonts w:ascii="Arial" w:hAnsi="Arial" w:cs="Arial"/>
          <w:color w:val="auto"/>
        </w:rPr>
        <w:t xml:space="preserve"> In recent years, the model clauses have also been set out in full in the licence document.</w:t>
      </w:r>
    </w:p>
    <w:p w14:paraId="2139F44E" w14:textId="77777777" w:rsidR="00243255" w:rsidRPr="006C09FB" w:rsidRDefault="00243255" w:rsidP="00F17CD9">
      <w:pPr>
        <w:pStyle w:val="Default"/>
        <w:spacing w:after="180" w:line="276" w:lineRule="auto"/>
        <w:rPr>
          <w:rFonts w:ascii="Arial" w:hAnsi="Arial" w:cs="Arial"/>
          <w:color w:val="auto"/>
        </w:rPr>
      </w:pPr>
      <w:r w:rsidRPr="006C09FB">
        <w:rPr>
          <w:rFonts w:ascii="Arial" w:hAnsi="Arial" w:cs="Arial"/>
          <w:color w:val="auto"/>
        </w:rPr>
        <w:t>Production licences are valid for a sequence of periods, or terms. These terms mirror the typical life cycle of a field: exploration, appraisal and production, and provide that each licence will expire automatically at the end of each term, unless the licensee has sufficiently progressed to warrant a move into the next term. The duration of each term depends on the type of the licence.</w:t>
      </w:r>
    </w:p>
    <w:p w14:paraId="475E10A7" w14:textId="77777777" w:rsidR="00243255" w:rsidRPr="006C09FB" w:rsidRDefault="00243255" w:rsidP="00F17CD9">
      <w:pPr>
        <w:pStyle w:val="Default"/>
        <w:spacing w:after="180" w:line="276" w:lineRule="auto"/>
        <w:rPr>
          <w:rFonts w:ascii="Arial" w:hAnsi="Arial" w:cs="Arial"/>
          <w:color w:val="auto"/>
        </w:rPr>
      </w:pPr>
      <w:r w:rsidRPr="006C09FB">
        <w:rPr>
          <w:rFonts w:ascii="Arial" w:hAnsi="Arial" w:cs="Arial"/>
          <w:color w:val="auto"/>
        </w:rPr>
        <w:t>The OGA publishes additional information about the different types of licences, their normal duration and different phases of the licensing lifecycle.</w:t>
      </w:r>
      <w:r w:rsidRPr="006C09FB">
        <w:rPr>
          <w:rFonts w:ascii="Arial" w:hAnsi="Arial" w:cs="Arial"/>
          <w:color w:val="auto"/>
          <w:vertAlign w:val="superscript"/>
        </w:rPr>
        <w:footnoteReference w:id="34"/>
      </w:r>
    </w:p>
    <w:p w14:paraId="7EB1B8F8" w14:textId="77777777" w:rsidR="00243255" w:rsidRPr="006C09FB" w:rsidRDefault="00243255" w:rsidP="00F17CD9">
      <w:pPr>
        <w:pStyle w:val="Default"/>
        <w:spacing w:after="180" w:line="276" w:lineRule="auto"/>
        <w:rPr>
          <w:rFonts w:ascii="Arial" w:hAnsi="Arial" w:cs="Arial"/>
          <w:color w:val="auto"/>
        </w:rPr>
      </w:pPr>
      <w:r w:rsidRPr="006C09FB">
        <w:rPr>
          <w:rFonts w:ascii="Arial" w:hAnsi="Arial" w:cs="Arial"/>
          <w:color w:val="auto"/>
        </w:rPr>
        <w:t>While landward licences confer the right to search for, bore and extract petroleum on areas under licence, they do not exempt the licensee from other legal or regulatory requirements, including a need to obtain access rights from landowners or planning permission from relevant local authorities, or to conform to health and safety regulations.</w:t>
      </w:r>
    </w:p>
    <w:p w14:paraId="03120E4A" w14:textId="77777777" w:rsidR="00243255" w:rsidRPr="006C09FB" w:rsidRDefault="00243255" w:rsidP="00B97F69">
      <w:pPr>
        <w:pStyle w:val="Default"/>
        <w:spacing w:after="180" w:line="276" w:lineRule="auto"/>
        <w:rPr>
          <w:rFonts w:ascii="Arial" w:hAnsi="Arial" w:cs="Arial"/>
          <w:color w:val="auto"/>
        </w:rPr>
      </w:pPr>
      <w:r w:rsidRPr="006C09FB">
        <w:rPr>
          <w:rFonts w:ascii="Arial" w:hAnsi="Arial" w:cs="Arial"/>
          <w:color w:val="auto"/>
        </w:rPr>
        <w:t xml:space="preserve">In Northern Ireland, there is only one type of petroleum licence, </w:t>
      </w:r>
      <w:r w:rsidR="00C2480F" w:rsidRPr="006C09FB">
        <w:rPr>
          <w:rFonts w:ascii="Arial" w:hAnsi="Arial" w:cs="Arial"/>
          <w:color w:val="auto"/>
        </w:rPr>
        <w:t xml:space="preserve">this </w:t>
      </w:r>
      <w:r w:rsidRPr="006C09FB">
        <w:rPr>
          <w:rFonts w:ascii="Arial" w:hAnsi="Arial" w:cs="Arial"/>
          <w:color w:val="auto"/>
        </w:rPr>
        <w:t>has broadly similar terms and condition</w:t>
      </w:r>
      <w:r w:rsidR="00C2480F" w:rsidRPr="006C09FB">
        <w:rPr>
          <w:rFonts w:ascii="Arial" w:hAnsi="Arial" w:cs="Arial"/>
          <w:color w:val="auto"/>
        </w:rPr>
        <w:t>s</w:t>
      </w:r>
      <w:r w:rsidRPr="006C09FB">
        <w:rPr>
          <w:rFonts w:ascii="Arial" w:hAnsi="Arial" w:cs="Arial"/>
          <w:color w:val="auto"/>
        </w:rPr>
        <w:t xml:space="preserve"> to onshore Petroleum Exploration and Development Licences (PEDLs) </w:t>
      </w:r>
      <w:r w:rsidR="00C2480F" w:rsidRPr="006C09FB">
        <w:rPr>
          <w:rFonts w:ascii="Arial" w:hAnsi="Arial" w:cs="Arial"/>
          <w:color w:val="auto"/>
        </w:rPr>
        <w:t xml:space="preserve">in Great Britain </w:t>
      </w:r>
      <w:r w:rsidRPr="006C09FB">
        <w:rPr>
          <w:rFonts w:ascii="Arial" w:hAnsi="Arial" w:cs="Arial"/>
          <w:color w:val="auto"/>
        </w:rPr>
        <w:t>but also some differences.</w:t>
      </w:r>
      <w:r w:rsidRPr="006C09FB">
        <w:rPr>
          <w:rFonts w:ascii="Arial" w:hAnsi="Arial" w:cs="Arial"/>
          <w:color w:val="auto"/>
          <w:vertAlign w:val="superscript"/>
        </w:rPr>
        <w:footnoteReference w:id="35"/>
      </w:r>
    </w:p>
    <w:p w14:paraId="66BADAA9" w14:textId="77777777" w:rsidR="00243255" w:rsidRPr="0059555C" w:rsidRDefault="00243255"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The oil and gas tax regime</w:t>
      </w:r>
    </w:p>
    <w:p w14:paraId="296384ED" w14:textId="77777777" w:rsidR="00243255" w:rsidRPr="0054007D" w:rsidRDefault="00243255" w:rsidP="008B6862">
      <w:pPr>
        <w:pStyle w:val="Heading3"/>
        <w:keepNext/>
        <w:numPr>
          <w:ilvl w:val="2"/>
          <w:numId w:val="46"/>
        </w:numPr>
        <w:spacing w:line="276" w:lineRule="auto"/>
        <w:ind w:left="993" w:hanging="505"/>
        <w:jc w:val="left"/>
      </w:pPr>
      <w:r w:rsidRPr="00E0694A">
        <w:rPr>
          <w:sz w:val="24"/>
          <w:szCs w:val="24"/>
        </w:rPr>
        <w:t>Introduction</w:t>
      </w:r>
    </w:p>
    <w:p w14:paraId="69EF486B" w14:textId="77777777" w:rsidR="00243255" w:rsidRPr="006C09FB" w:rsidRDefault="00243255" w:rsidP="00A46905">
      <w:pPr>
        <w:pStyle w:val="Default"/>
        <w:spacing w:after="180" w:line="276" w:lineRule="auto"/>
        <w:rPr>
          <w:rFonts w:ascii="Arial" w:hAnsi="Arial" w:cs="Arial"/>
          <w:color w:val="auto"/>
        </w:rPr>
      </w:pPr>
      <w:r w:rsidRPr="006C09FB">
        <w:rPr>
          <w:rFonts w:ascii="Arial" w:hAnsi="Arial" w:cs="Arial"/>
          <w:color w:val="auto"/>
        </w:rPr>
        <w:t>As the UK’s oil and gas industry has developed over the last 40 years, successive governments have developed a tax regime designed to ensure that the nation receives a fair share of the profits from the exploitation of its oil and gas reserves. At the same time, the regime aims to support maximising the economic recovery of the UK’s remaining hydrocarbon resources.</w:t>
      </w:r>
    </w:p>
    <w:p w14:paraId="1BBA2649" w14:textId="136F2A43" w:rsidR="00243255" w:rsidRPr="006C09FB" w:rsidRDefault="003D7685" w:rsidP="00A46905">
      <w:pPr>
        <w:pStyle w:val="Default"/>
        <w:spacing w:after="180" w:line="276" w:lineRule="auto"/>
        <w:rPr>
          <w:rFonts w:ascii="Arial" w:hAnsi="Arial" w:cs="Arial"/>
          <w:color w:val="auto"/>
        </w:rPr>
      </w:pPr>
      <w:r>
        <w:rPr>
          <w:rFonts w:ascii="Arial" w:hAnsi="Arial" w:cs="Arial"/>
          <w:color w:val="auto"/>
        </w:rPr>
        <w:t>T</w:t>
      </w:r>
      <w:r w:rsidR="00243255" w:rsidRPr="006C09FB">
        <w:rPr>
          <w:rFonts w:ascii="Arial" w:hAnsi="Arial" w:cs="Arial"/>
          <w:color w:val="auto"/>
        </w:rPr>
        <w:t xml:space="preserve">he fiscal regime which </w:t>
      </w:r>
      <w:r>
        <w:rPr>
          <w:rFonts w:ascii="Arial" w:hAnsi="Arial" w:cs="Arial"/>
          <w:color w:val="auto"/>
        </w:rPr>
        <w:t xml:space="preserve">currently </w:t>
      </w:r>
      <w:r w:rsidR="00243255" w:rsidRPr="006C09FB">
        <w:rPr>
          <w:rFonts w:ascii="Arial" w:hAnsi="Arial" w:cs="Arial"/>
          <w:color w:val="auto"/>
        </w:rPr>
        <w:t>applie</w:t>
      </w:r>
      <w:r>
        <w:rPr>
          <w:rFonts w:ascii="Arial" w:hAnsi="Arial" w:cs="Arial"/>
          <w:color w:val="auto"/>
        </w:rPr>
        <w:t>s</w:t>
      </w:r>
      <w:r w:rsidR="00243255" w:rsidRPr="006C09FB">
        <w:rPr>
          <w:rFonts w:ascii="Arial" w:hAnsi="Arial" w:cs="Arial"/>
          <w:color w:val="auto"/>
        </w:rPr>
        <w:t xml:space="preserve"> to oil and gas extractive activities comprised three separate taxes: Petroleum Revenue Tax (PRT), Ring Fence Corporation Tax (RFCT) and the Supplementary Charge (SC).</w:t>
      </w:r>
    </w:p>
    <w:p w14:paraId="4F5B8A32" w14:textId="77777777" w:rsidR="00243255" w:rsidRPr="008B6862" w:rsidRDefault="00243255" w:rsidP="008B6862">
      <w:pPr>
        <w:pStyle w:val="Heading3"/>
        <w:keepNext/>
        <w:numPr>
          <w:ilvl w:val="2"/>
          <w:numId w:val="46"/>
        </w:numPr>
        <w:spacing w:line="276" w:lineRule="auto"/>
        <w:ind w:left="993" w:hanging="505"/>
        <w:jc w:val="left"/>
        <w:rPr>
          <w:sz w:val="24"/>
          <w:szCs w:val="24"/>
        </w:rPr>
      </w:pPr>
      <w:r w:rsidRPr="00E0694A">
        <w:rPr>
          <w:sz w:val="24"/>
          <w:szCs w:val="24"/>
        </w:rPr>
        <w:t>The tax regimes</w:t>
      </w:r>
    </w:p>
    <w:p w14:paraId="05D18B8A" w14:textId="77777777" w:rsidR="00243255" w:rsidRPr="006C09FB" w:rsidRDefault="00243255" w:rsidP="00BC7065">
      <w:pPr>
        <w:pStyle w:val="Default"/>
        <w:keepNext/>
        <w:spacing w:line="276" w:lineRule="auto"/>
        <w:outlineLvl w:val="0"/>
        <w:rPr>
          <w:rFonts w:ascii="Arial" w:hAnsi="Arial" w:cs="Arial"/>
        </w:rPr>
      </w:pPr>
      <w:r w:rsidRPr="006C09FB">
        <w:rPr>
          <w:rFonts w:ascii="Arial" w:hAnsi="Arial" w:cs="Arial"/>
          <w:b/>
        </w:rPr>
        <w:t>P</w:t>
      </w:r>
      <w:r w:rsidR="00DA7BB2" w:rsidRPr="006C09FB">
        <w:rPr>
          <w:rFonts w:ascii="Arial" w:hAnsi="Arial" w:cs="Arial"/>
          <w:b/>
        </w:rPr>
        <w:t xml:space="preserve">etroleum </w:t>
      </w:r>
      <w:r w:rsidRPr="006C09FB">
        <w:rPr>
          <w:rFonts w:ascii="Arial" w:hAnsi="Arial" w:cs="Arial"/>
          <w:b/>
        </w:rPr>
        <w:t>R</w:t>
      </w:r>
      <w:r w:rsidR="00DA7BB2" w:rsidRPr="006C09FB">
        <w:rPr>
          <w:rFonts w:ascii="Arial" w:hAnsi="Arial" w:cs="Arial"/>
          <w:b/>
        </w:rPr>
        <w:t xml:space="preserve">evenue </w:t>
      </w:r>
      <w:r w:rsidRPr="006C09FB">
        <w:rPr>
          <w:rFonts w:ascii="Arial" w:hAnsi="Arial" w:cs="Arial"/>
          <w:b/>
        </w:rPr>
        <w:t>T</w:t>
      </w:r>
      <w:r w:rsidR="00DA7BB2" w:rsidRPr="006C09FB">
        <w:rPr>
          <w:rFonts w:ascii="Arial" w:hAnsi="Arial" w:cs="Arial"/>
          <w:b/>
        </w:rPr>
        <w:t>ax (PRT)</w:t>
      </w:r>
    </w:p>
    <w:p w14:paraId="52E2EBC6" w14:textId="4BB77B85" w:rsidR="00E84882" w:rsidRDefault="00E84882" w:rsidP="00A46905">
      <w:pPr>
        <w:pStyle w:val="Default"/>
        <w:spacing w:after="180" w:line="276" w:lineRule="auto"/>
        <w:rPr>
          <w:rFonts w:ascii="Arial" w:hAnsi="Arial" w:cs="Arial"/>
          <w:color w:val="auto"/>
        </w:rPr>
      </w:pPr>
      <w:r w:rsidRPr="006C09FB">
        <w:rPr>
          <w:rFonts w:ascii="Arial" w:hAnsi="Arial" w:cs="Arial"/>
          <w:color w:val="auto"/>
        </w:rPr>
        <w:t xml:space="preserve">PRT is a tax on oil and gas production from the UK and UKCS. It is a field-based tax, which means that the profits from individual oil fields are calculated and subjected to tax separately. Companies do not aggregate their profits from different fields and cannot normally set off losses from one field against profits from another. PRT was </w:t>
      </w:r>
      <w:r w:rsidRPr="005E3CF7">
        <w:rPr>
          <w:rFonts w:ascii="Arial" w:hAnsi="Arial" w:cs="Arial"/>
          <w:color w:val="auto"/>
        </w:rPr>
        <w:t xml:space="preserve">introduced by the Oil Taxation Act 1975 and was </w:t>
      </w:r>
      <w:r w:rsidR="00DA7BB2" w:rsidRPr="005E3CF7">
        <w:rPr>
          <w:rFonts w:ascii="Arial" w:hAnsi="Arial" w:cs="Arial"/>
          <w:color w:val="auto"/>
        </w:rPr>
        <w:t>dis</w:t>
      </w:r>
      <w:r w:rsidR="00426E7E" w:rsidRPr="005E3CF7">
        <w:rPr>
          <w:rFonts w:ascii="Arial" w:hAnsi="Arial" w:cs="Arial"/>
          <w:color w:val="auto"/>
        </w:rPr>
        <w:t>-</w:t>
      </w:r>
      <w:r w:rsidR="00DA7BB2" w:rsidRPr="005E3CF7">
        <w:rPr>
          <w:rFonts w:ascii="Arial" w:hAnsi="Arial" w:cs="Arial"/>
          <w:color w:val="auto"/>
        </w:rPr>
        <w:t xml:space="preserve">applied </w:t>
      </w:r>
      <w:r w:rsidRPr="005E3CF7">
        <w:rPr>
          <w:rFonts w:ascii="Arial" w:hAnsi="Arial" w:cs="Arial"/>
          <w:color w:val="auto"/>
        </w:rPr>
        <w:t>in Finance Act 1993 for all fields given development consent on or after 16 March 1993. This means that fields that were given development consent after this date are not subject to PRT.</w:t>
      </w:r>
      <w:r w:rsidR="00DB5773" w:rsidRPr="005E3CF7">
        <w:rPr>
          <w:rFonts w:ascii="Arial" w:hAnsi="Arial" w:cs="Arial"/>
          <w:color w:val="auto"/>
        </w:rPr>
        <w:t xml:space="preserve"> </w:t>
      </w:r>
      <w:r w:rsidR="00DA7BB2" w:rsidRPr="005E3CF7">
        <w:rPr>
          <w:rFonts w:ascii="Arial" w:hAnsi="Arial" w:cs="Arial"/>
          <w:color w:val="auto"/>
        </w:rPr>
        <w:t>T</w:t>
      </w:r>
      <w:r w:rsidR="00DB5773" w:rsidRPr="005E3CF7">
        <w:rPr>
          <w:rFonts w:ascii="Arial" w:hAnsi="Arial" w:cs="Arial"/>
          <w:color w:val="auto"/>
        </w:rPr>
        <w:t>he Chancellor announce</w:t>
      </w:r>
      <w:r w:rsidR="00DA7BB2" w:rsidRPr="005E3CF7">
        <w:rPr>
          <w:rFonts w:ascii="Arial" w:hAnsi="Arial" w:cs="Arial"/>
          <w:color w:val="auto"/>
        </w:rPr>
        <w:t>d</w:t>
      </w:r>
      <w:r w:rsidR="00DB5773" w:rsidRPr="005E3CF7">
        <w:rPr>
          <w:rFonts w:ascii="Arial" w:hAnsi="Arial" w:cs="Arial"/>
          <w:color w:val="auto"/>
        </w:rPr>
        <w:t xml:space="preserve"> at Budget 2016, that from 1 January 2016 the PRT rate would be permanently reduced to </w:t>
      </w:r>
      <w:r w:rsidR="00AD0AD6" w:rsidRPr="005E3CF7">
        <w:rPr>
          <w:rFonts w:ascii="Arial" w:hAnsi="Arial" w:cs="Arial"/>
          <w:color w:val="auto"/>
        </w:rPr>
        <w:t>zero</w:t>
      </w:r>
      <w:r w:rsidR="00DB5773" w:rsidRPr="005E3CF7">
        <w:rPr>
          <w:rFonts w:ascii="Arial" w:hAnsi="Arial" w:cs="Arial"/>
          <w:color w:val="auto"/>
        </w:rPr>
        <w:t>. However, it is important to note that PRT has not been abolished. Companies will still have to record and declare their profits</w:t>
      </w:r>
      <w:r w:rsidR="007E5706" w:rsidRPr="005E3CF7">
        <w:rPr>
          <w:rFonts w:ascii="Arial" w:hAnsi="Arial" w:cs="Arial"/>
          <w:color w:val="auto"/>
        </w:rPr>
        <w:t xml:space="preserve"> </w:t>
      </w:r>
      <w:r w:rsidR="00E22F0A" w:rsidRPr="005E3CF7">
        <w:rPr>
          <w:rFonts w:ascii="Arial" w:hAnsi="Arial" w:cs="Arial"/>
          <w:color w:val="auto"/>
        </w:rPr>
        <w:t xml:space="preserve">and </w:t>
      </w:r>
      <w:r w:rsidR="00DB5773" w:rsidRPr="005E3CF7">
        <w:rPr>
          <w:rFonts w:ascii="Arial" w:hAnsi="Arial" w:cs="Arial"/>
          <w:color w:val="auto"/>
        </w:rPr>
        <w:t xml:space="preserve">may </w:t>
      </w:r>
      <w:r w:rsidR="00E22F0A" w:rsidRPr="005E3CF7">
        <w:rPr>
          <w:rFonts w:ascii="Arial" w:hAnsi="Arial" w:cs="Arial"/>
          <w:color w:val="auto"/>
        </w:rPr>
        <w:t xml:space="preserve">be able to </w:t>
      </w:r>
      <w:r w:rsidR="00DB5773" w:rsidRPr="005E3CF7">
        <w:rPr>
          <w:rFonts w:ascii="Arial" w:hAnsi="Arial" w:cs="Arial"/>
          <w:color w:val="auto"/>
        </w:rPr>
        <w:t xml:space="preserve">claim </w:t>
      </w:r>
      <w:r w:rsidR="00B83BB1" w:rsidRPr="005E3CF7">
        <w:rPr>
          <w:rFonts w:ascii="Arial" w:hAnsi="Arial" w:cs="Arial"/>
          <w:color w:val="auto"/>
        </w:rPr>
        <w:t xml:space="preserve">tax refunds for previously paid PRT </w:t>
      </w:r>
      <w:r w:rsidR="00E22F0A" w:rsidRPr="005E3CF7">
        <w:rPr>
          <w:rFonts w:ascii="Arial" w:hAnsi="Arial" w:cs="Arial"/>
          <w:color w:val="auto"/>
        </w:rPr>
        <w:t xml:space="preserve">where they make net </w:t>
      </w:r>
      <w:r w:rsidR="00DB5773" w:rsidRPr="005E3CF7">
        <w:rPr>
          <w:rFonts w:ascii="Arial" w:hAnsi="Arial" w:cs="Arial"/>
          <w:color w:val="auto"/>
        </w:rPr>
        <w:t xml:space="preserve">losses </w:t>
      </w:r>
      <w:r w:rsidR="00B83BB1" w:rsidRPr="005E3CF7">
        <w:rPr>
          <w:rFonts w:ascii="Arial" w:hAnsi="Arial" w:cs="Arial"/>
          <w:color w:val="auto"/>
        </w:rPr>
        <w:t>after this date</w:t>
      </w:r>
      <w:r w:rsidR="00DB5773" w:rsidRPr="005E3CF7">
        <w:rPr>
          <w:rFonts w:ascii="Arial" w:hAnsi="Arial" w:cs="Arial"/>
          <w:color w:val="auto"/>
        </w:rPr>
        <w:t>.</w:t>
      </w:r>
    </w:p>
    <w:p w14:paraId="590A8AEF" w14:textId="30A2FB36" w:rsidR="003D7DBF" w:rsidRPr="005E3CF7" w:rsidRDefault="003D7DBF" w:rsidP="00906E90">
      <w:pPr>
        <w:pStyle w:val="Default"/>
        <w:spacing w:after="180" w:line="276" w:lineRule="auto"/>
        <w:rPr>
          <w:rFonts w:ascii="Arial" w:hAnsi="Arial" w:cs="Arial"/>
          <w:color w:val="auto"/>
        </w:rPr>
      </w:pPr>
      <w:r>
        <w:rPr>
          <w:rFonts w:ascii="Arial" w:hAnsi="Arial" w:cs="Arial"/>
          <w:color w:val="auto"/>
        </w:rPr>
        <w:t>Despite the fact that PRT has been zero rated, it is possible that some companies may still make pay</w:t>
      </w:r>
      <w:r w:rsidR="005665C9">
        <w:rPr>
          <w:rFonts w:ascii="Arial" w:hAnsi="Arial" w:cs="Arial"/>
          <w:color w:val="auto"/>
        </w:rPr>
        <w:t xml:space="preserve">ments </w:t>
      </w:r>
      <w:r w:rsidR="00C33D9B">
        <w:rPr>
          <w:rFonts w:ascii="Arial" w:hAnsi="Arial" w:cs="Arial"/>
          <w:color w:val="auto"/>
        </w:rPr>
        <w:t>of</w:t>
      </w:r>
      <w:r w:rsidR="005665C9">
        <w:rPr>
          <w:rFonts w:ascii="Arial" w:hAnsi="Arial" w:cs="Arial"/>
          <w:color w:val="auto"/>
        </w:rPr>
        <w:t xml:space="preserve"> PRT, for example where a payment is made to settle a previous year</w:t>
      </w:r>
      <w:r w:rsidR="00AA733A">
        <w:rPr>
          <w:rFonts w:ascii="Arial" w:hAnsi="Arial" w:cs="Arial"/>
          <w:color w:val="auto"/>
        </w:rPr>
        <w:t>’</w:t>
      </w:r>
      <w:r w:rsidR="005665C9">
        <w:rPr>
          <w:rFonts w:ascii="Arial" w:hAnsi="Arial" w:cs="Arial"/>
          <w:color w:val="auto"/>
        </w:rPr>
        <w:t>s liability, o</w:t>
      </w:r>
      <w:r w:rsidR="00B832A5">
        <w:rPr>
          <w:rFonts w:ascii="Arial" w:hAnsi="Arial" w:cs="Arial"/>
          <w:color w:val="auto"/>
        </w:rPr>
        <w:t>r there is an adjustment to the amount of tax due from previous years.</w:t>
      </w:r>
    </w:p>
    <w:p w14:paraId="3929B511" w14:textId="77777777" w:rsidR="00DB2BAA" w:rsidRPr="005E3CF7" w:rsidRDefault="00DB2BAA" w:rsidP="00BC7065">
      <w:pPr>
        <w:pStyle w:val="Default"/>
        <w:keepNext/>
        <w:spacing w:line="276" w:lineRule="auto"/>
        <w:outlineLvl w:val="0"/>
        <w:rPr>
          <w:rFonts w:ascii="Arial" w:hAnsi="Arial" w:cs="Arial"/>
          <w:b/>
        </w:rPr>
      </w:pPr>
      <w:r w:rsidRPr="005E3CF7">
        <w:rPr>
          <w:rFonts w:ascii="Arial" w:hAnsi="Arial" w:cs="Arial"/>
          <w:b/>
        </w:rPr>
        <w:t>Advance PRT Payments</w:t>
      </w:r>
    </w:p>
    <w:p w14:paraId="10142CDD" w14:textId="3628B3A4" w:rsidR="00DB2BAA" w:rsidRPr="005E3CF7" w:rsidRDefault="00A66BBF" w:rsidP="00A46905">
      <w:pPr>
        <w:pStyle w:val="Default"/>
        <w:spacing w:after="180" w:line="276" w:lineRule="auto"/>
        <w:rPr>
          <w:rFonts w:ascii="Arial" w:hAnsi="Arial" w:cs="Arial"/>
          <w:color w:val="auto"/>
        </w:rPr>
      </w:pPr>
      <w:r w:rsidRPr="005E3CF7">
        <w:rPr>
          <w:rFonts w:ascii="Arial" w:hAnsi="Arial" w:cs="Arial"/>
          <w:color w:val="auto"/>
        </w:rPr>
        <w:t>Advance Petroleum Revenue Tax (APRT) was a temporary tax payable for periods from 1 January 1983 to 31 December 1986. The change was in effect a means of accelerating PRT payments.</w:t>
      </w:r>
    </w:p>
    <w:p w14:paraId="7109CC09" w14:textId="643D9CB9" w:rsidR="00A66BBF" w:rsidRPr="005E3CF7" w:rsidRDefault="00A66BBF" w:rsidP="00906E90">
      <w:pPr>
        <w:pStyle w:val="Default"/>
        <w:spacing w:after="180" w:line="276" w:lineRule="auto"/>
        <w:rPr>
          <w:rFonts w:ascii="Arial" w:hAnsi="Arial" w:cs="Arial"/>
          <w:color w:val="auto"/>
        </w:rPr>
      </w:pPr>
      <w:r w:rsidRPr="005E3CF7">
        <w:rPr>
          <w:rFonts w:ascii="Arial" w:hAnsi="Arial" w:cs="Arial"/>
          <w:color w:val="auto"/>
        </w:rPr>
        <w:t>Although APRT is no longer chargeable, repayments may arise due to the carry back of losses to periods</w:t>
      </w:r>
      <w:r w:rsidR="00E36B78" w:rsidRPr="005E3CF7">
        <w:rPr>
          <w:rFonts w:ascii="Arial" w:hAnsi="Arial" w:cs="Arial"/>
          <w:color w:val="auto"/>
        </w:rPr>
        <w:t xml:space="preserve"> in which APRT paid was set against a PRT liability. For practical purposes APRT repayments are included within the PRT figures in EITI </w:t>
      </w:r>
      <w:r w:rsidR="003D7685">
        <w:rPr>
          <w:rFonts w:ascii="Arial" w:hAnsi="Arial" w:cs="Arial"/>
          <w:color w:val="auto"/>
        </w:rPr>
        <w:t xml:space="preserve">reconciliation </w:t>
      </w:r>
      <w:r w:rsidR="00E36B78" w:rsidRPr="005E3CF7">
        <w:rPr>
          <w:rFonts w:ascii="Arial" w:hAnsi="Arial" w:cs="Arial"/>
          <w:color w:val="auto"/>
        </w:rPr>
        <w:t>report</w:t>
      </w:r>
      <w:r w:rsidR="003D7685">
        <w:rPr>
          <w:rFonts w:ascii="Arial" w:hAnsi="Arial" w:cs="Arial"/>
          <w:color w:val="auto"/>
        </w:rPr>
        <w:t>s</w:t>
      </w:r>
      <w:r w:rsidR="00E36B78" w:rsidRPr="005E3CF7">
        <w:rPr>
          <w:rFonts w:ascii="Arial" w:hAnsi="Arial" w:cs="Arial"/>
          <w:color w:val="auto"/>
        </w:rPr>
        <w:t>.</w:t>
      </w:r>
    </w:p>
    <w:p w14:paraId="1FE5667D" w14:textId="77777777" w:rsidR="00243255" w:rsidRPr="005E3CF7" w:rsidRDefault="00243255" w:rsidP="00BC7065">
      <w:pPr>
        <w:pStyle w:val="Default"/>
        <w:keepNext/>
        <w:spacing w:line="276" w:lineRule="auto"/>
        <w:outlineLvl w:val="0"/>
        <w:rPr>
          <w:rFonts w:ascii="Arial" w:hAnsi="Arial" w:cs="Arial"/>
          <w:color w:val="auto"/>
        </w:rPr>
      </w:pPr>
      <w:r w:rsidRPr="005E3CF7">
        <w:rPr>
          <w:rFonts w:ascii="Arial" w:hAnsi="Arial" w:cs="Arial"/>
          <w:b/>
          <w:color w:val="auto"/>
        </w:rPr>
        <w:t>R</w:t>
      </w:r>
      <w:r w:rsidR="00B83BB1" w:rsidRPr="005E3CF7">
        <w:rPr>
          <w:rFonts w:ascii="Arial" w:hAnsi="Arial" w:cs="Arial"/>
          <w:b/>
          <w:color w:val="auto"/>
        </w:rPr>
        <w:t xml:space="preserve">ing </w:t>
      </w:r>
      <w:r w:rsidRPr="005E3CF7">
        <w:rPr>
          <w:rFonts w:ascii="Arial" w:hAnsi="Arial" w:cs="Arial"/>
          <w:b/>
          <w:color w:val="auto"/>
        </w:rPr>
        <w:t>F</w:t>
      </w:r>
      <w:r w:rsidR="00B83BB1" w:rsidRPr="005E3CF7">
        <w:rPr>
          <w:rFonts w:ascii="Arial" w:hAnsi="Arial" w:cs="Arial"/>
          <w:b/>
          <w:color w:val="auto"/>
        </w:rPr>
        <w:t xml:space="preserve">ence </w:t>
      </w:r>
      <w:r w:rsidRPr="005E3CF7">
        <w:rPr>
          <w:rFonts w:ascii="Arial" w:hAnsi="Arial" w:cs="Arial"/>
          <w:b/>
          <w:color w:val="auto"/>
        </w:rPr>
        <w:t>C</w:t>
      </w:r>
      <w:r w:rsidR="00B83BB1" w:rsidRPr="005E3CF7">
        <w:rPr>
          <w:rFonts w:ascii="Arial" w:hAnsi="Arial" w:cs="Arial"/>
          <w:b/>
          <w:color w:val="auto"/>
        </w:rPr>
        <w:t xml:space="preserve">orporation </w:t>
      </w:r>
      <w:r w:rsidRPr="005E3CF7">
        <w:rPr>
          <w:rFonts w:ascii="Arial" w:hAnsi="Arial" w:cs="Arial"/>
          <w:b/>
          <w:color w:val="auto"/>
        </w:rPr>
        <w:t>T</w:t>
      </w:r>
      <w:r w:rsidR="00B83BB1" w:rsidRPr="005E3CF7">
        <w:rPr>
          <w:rFonts w:ascii="Arial" w:hAnsi="Arial" w:cs="Arial"/>
          <w:b/>
          <w:color w:val="auto"/>
        </w:rPr>
        <w:t>ax (RFCT)</w:t>
      </w:r>
    </w:p>
    <w:p w14:paraId="3E998E92" w14:textId="77777777" w:rsidR="00056ADC" w:rsidRPr="005E3CF7" w:rsidRDefault="00056ADC" w:rsidP="00A46905">
      <w:pPr>
        <w:pStyle w:val="Default"/>
        <w:spacing w:after="180" w:line="276" w:lineRule="auto"/>
        <w:rPr>
          <w:rFonts w:ascii="Arial" w:hAnsi="Arial" w:cs="Arial"/>
          <w:color w:val="auto"/>
        </w:rPr>
      </w:pPr>
      <w:r w:rsidRPr="005E3CF7">
        <w:rPr>
          <w:rFonts w:ascii="Arial" w:hAnsi="Arial" w:cs="Arial"/>
          <w:color w:val="auto"/>
        </w:rPr>
        <w:t xml:space="preserve">RFCT is a tax charged on the profits a company earns from carrying out oil and gas </w:t>
      </w:r>
      <w:r w:rsidR="00B83BB1" w:rsidRPr="005E3CF7">
        <w:rPr>
          <w:rFonts w:ascii="Arial" w:hAnsi="Arial" w:cs="Arial"/>
          <w:color w:val="auto"/>
        </w:rPr>
        <w:t xml:space="preserve">extraction </w:t>
      </w:r>
      <w:r w:rsidRPr="005E3CF7">
        <w:rPr>
          <w:rFonts w:ascii="Arial" w:hAnsi="Arial" w:cs="Arial"/>
          <w:color w:val="auto"/>
        </w:rPr>
        <w:t>activities</w:t>
      </w:r>
      <w:r w:rsidR="00B83BB1" w:rsidRPr="005E3CF7">
        <w:rPr>
          <w:rFonts w:ascii="Arial" w:hAnsi="Arial" w:cs="Arial"/>
          <w:color w:val="auto"/>
        </w:rPr>
        <w:t xml:space="preserve"> in the UK and UKCS</w:t>
      </w:r>
      <w:r w:rsidRPr="005E3CF7">
        <w:rPr>
          <w:rFonts w:ascii="Arial" w:hAnsi="Arial" w:cs="Arial"/>
          <w:color w:val="auto"/>
        </w:rPr>
        <w:t xml:space="preserve">. This can include exploration, development and production activities. The profits chargeable to RFCT are calculated in the same way as for mainstream CT, but with some different rules relating to certain allowances, interest and transfer pricing. RFCT is charged at the company level, unlike PRT which </w:t>
      </w:r>
      <w:r w:rsidR="00E36B78" w:rsidRPr="005E3CF7">
        <w:rPr>
          <w:rFonts w:ascii="Arial" w:hAnsi="Arial" w:cs="Arial"/>
          <w:color w:val="auto"/>
        </w:rPr>
        <w:t xml:space="preserve">was </w:t>
      </w:r>
      <w:r w:rsidRPr="005E3CF7">
        <w:rPr>
          <w:rFonts w:ascii="Arial" w:hAnsi="Arial" w:cs="Arial"/>
          <w:color w:val="auto"/>
        </w:rPr>
        <w:t>charged at the field level. This means that where a company has several different oil fields, it aggregates the profits from all those fields, and where any of the fields makes a loss, that loss can be set against profits from another field. The total profit across all fields in which a company operates is then charged to RFCT.</w:t>
      </w:r>
    </w:p>
    <w:p w14:paraId="23FF439E" w14:textId="2AB248DD" w:rsidR="00243255" w:rsidRPr="005E3CF7" w:rsidRDefault="00243255" w:rsidP="00A46905">
      <w:pPr>
        <w:pStyle w:val="Default"/>
        <w:spacing w:after="180" w:line="276" w:lineRule="auto"/>
        <w:rPr>
          <w:rFonts w:ascii="Arial" w:hAnsi="Arial" w:cs="Arial"/>
          <w:color w:val="auto"/>
        </w:rPr>
      </w:pPr>
      <w:r w:rsidRPr="005E3CF7">
        <w:rPr>
          <w:rFonts w:ascii="Arial" w:hAnsi="Arial" w:cs="Arial"/>
          <w:color w:val="auto"/>
        </w:rPr>
        <w:t xml:space="preserve">The ring fence separates the </w:t>
      </w:r>
      <w:r w:rsidR="00B83BB1" w:rsidRPr="005E3CF7">
        <w:rPr>
          <w:rFonts w:ascii="Arial" w:hAnsi="Arial" w:cs="Arial"/>
          <w:color w:val="auto"/>
        </w:rPr>
        <w:t xml:space="preserve">upstream UK </w:t>
      </w:r>
      <w:r w:rsidRPr="005E3CF7">
        <w:rPr>
          <w:rFonts w:ascii="Arial" w:hAnsi="Arial" w:cs="Arial"/>
          <w:color w:val="auto"/>
        </w:rPr>
        <w:t xml:space="preserve">oil and gas related activities of a company from any other activities of the company. It was introduced in the Oil Taxation Act 1975, and it means that if a company also carries on other activities which are not related to oil and gas extraction (this could include downstream oil and gas activity such as oil refining, or other completely separate activities), it will pay mainstream corporation tax (CT) on the profits of those other activities. Profits in the ring fence are taxed at 30%. </w:t>
      </w:r>
      <w:r w:rsidR="00F04417">
        <w:rPr>
          <w:rFonts w:ascii="Arial" w:hAnsi="Arial" w:cs="Arial"/>
          <w:color w:val="auto"/>
        </w:rPr>
        <w:t xml:space="preserve">This is significantly higher than the main rate of CT. </w:t>
      </w:r>
      <w:r w:rsidRPr="005E3CF7">
        <w:rPr>
          <w:rFonts w:ascii="Arial" w:hAnsi="Arial" w:cs="Arial"/>
          <w:color w:val="auto"/>
        </w:rPr>
        <w:t>If a company makes a loss on non-ring fence activities, it cannot set that loss against its ring fenc</w:t>
      </w:r>
      <w:r w:rsidR="00056ADC" w:rsidRPr="005E3CF7">
        <w:rPr>
          <w:rFonts w:ascii="Arial" w:hAnsi="Arial" w:cs="Arial"/>
          <w:color w:val="auto"/>
        </w:rPr>
        <w:t>e profits (ring fence losses can be set against non-ring fence profits).</w:t>
      </w:r>
    </w:p>
    <w:p w14:paraId="12D1D04E" w14:textId="77777777" w:rsidR="00243255" w:rsidRPr="005E3CF7" w:rsidRDefault="00243255" w:rsidP="00D57182">
      <w:pPr>
        <w:pStyle w:val="Default"/>
        <w:spacing w:after="180" w:line="276" w:lineRule="auto"/>
        <w:rPr>
          <w:rFonts w:ascii="Arial" w:hAnsi="Arial" w:cs="Arial"/>
          <w:color w:val="auto"/>
        </w:rPr>
      </w:pPr>
      <w:r w:rsidRPr="005E3CF7">
        <w:rPr>
          <w:rFonts w:ascii="Arial" w:hAnsi="Arial" w:cs="Arial"/>
          <w:color w:val="auto"/>
        </w:rPr>
        <w:t>If a company makes a small profit (less than £300,000) on its ring fence activities, it pays tax at the small profits rate of 19% on those profits. If its profits are between £300,000 and £1,500,000 it can claim Marginal Relief, to remove the cliff-edge between 19% and 30% as soon as its profits are above £300,000.</w:t>
      </w:r>
    </w:p>
    <w:p w14:paraId="1630F3E4" w14:textId="77777777" w:rsidR="00243255" w:rsidRPr="005E3CF7" w:rsidRDefault="00243255" w:rsidP="00BC7065">
      <w:pPr>
        <w:pStyle w:val="Default"/>
        <w:keepNext/>
        <w:spacing w:line="276" w:lineRule="auto"/>
        <w:outlineLvl w:val="0"/>
        <w:rPr>
          <w:rFonts w:ascii="Arial" w:hAnsi="Arial" w:cs="Arial"/>
          <w:b/>
          <w:color w:val="auto"/>
        </w:rPr>
      </w:pPr>
      <w:r w:rsidRPr="005E3CF7">
        <w:rPr>
          <w:rFonts w:ascii="Arial" w:hAnsi="Arial" w:cs="Arial"/>
          <w:b/>
          <w:color w:val="auto"/>
        </w:rPr>
        <w:t>S</w:t>
      </w:r>
      <w:r w:rsidR="00B83BB1" w:rsidRPr="005E3CF7">
        <w:rPr>
          <w:rFonts w:ascii="Arial" w:hAnsi="Arial" w:cs="Arial"/>
          <w:b/>
          <w:color w:val="auto"/>
        </w:rPr>
        <w:t xml:space="preserve">upplementary </w:t>
      </w:r>
      <w:r w:rsidRPr="005E3CF7">
        <w:rPr>
          <w:rFonts w:ascii="Arial" w:hAnsi="Arial" w:cs="Arial"/>
          <w:b/>
          <w:color w:val="auto"/>
        </w:rPr>
        <w:t>C</w:t>
      </w:r>
      <w:r w:rsidR="00B83BB1" w:rsidRPr="005E3CF7">
        <w:rPr>
          <w:rFonts w:ascii="Arial" w:hAnsi="Arial" w:cs="Arial"/>
          <w:b/>
          <w:color w:val="auto"/>
        </w:rPr>
        <w:t>harge (SC)</w:t>
      </w:r>
    </w:p>
    <w:p w14:paraId="219ABD6D" w14:textId="52807B29" w:rsidR="00D71579" w:rsidRDefault="00243255" w:rsidP="00E0694A">
      <w:pPr>
        <w:pStyle w:val="Default"/>
        <w:keepNext/>
        <w:spacing w:after="180" w:line="276" w:lineRule="auto"/>
        <w:outlineLvl w:val="0"/>
        <w:rPr>
          <w:rFonts w:ascii="Arial" w:hAnsi="Arial" w:cs="Arial"/>
          <w:color w:val="auto"/>
        </w:rPr>
      </w:pPr>
      <w:r w:rsidRPr="005E3CF7">
        <w:rPr>
          <w:rFonts w:ascii="Arial" w:hAnsi="Arial" w:cs="Arial"/>
          <w:color w:val="auto"/>
        </w:rPr>
        <w:t>SC is an additional tax on a company’s adjusted ring fence profits. It was introduced in 2002. Like RFCT it is charged at the company level. The starting point for calculating the SC is the company’s profits subject to RFCT. These profits are then adjusted to remove any finance costs, which are not allowed as a deduction for SC purposes. The company may, however, be able to reduce its profits subject to the SC by virtue of certain allowances: the Investment Allowance and Cluster Area Allowance, and the Onshore Allowance, which are outlined below. The company’s adjusted ring fence profits are then charged to SC</w:t>
      </w:r>
      <w:r w:rsidR="003D7685">
        <w:rPr>
          <w:rFonts w:ascii="Arial" w:hAnsi="Arial" w:cs="Arial"/>
          <w:color w:val="auto"/>
        </w:rPr>
        <w:t xml:space="preserve"> at a rate of 10%</w:t>
      </w:r>
      <w:r w:rsidRPr="005E3CF7">
        <w:rPr>
          <w:rFonts w:ascii="Arial" w:hAnsi="Arial" w:cs="Arial"/>
          <w:color w:val="auto"/>
        </w:rPr>
        <w:t>.</w:t>
      </w:r>
    </w:p>
    <w:p w14:paraId="4CBAF514" w14:textId="74815B5C" w:rsidR="00243255" w:rsidRPr="005E3CF7" w:rsidRDefault="00243255" w:rsidP="00F714C8">
      <w:pPr>
        <w:pStyle w:val="Default"/>
        <w:keepNext/>
        <w:spacing w:after="120" w:line="276" w:lineRule="auto"/>
        <w:outlineLvl w:val="0"/>
        <w:rPr>
          <w:rFonts w:ascii="Arial" w:hAnsi="Arial" w:cs="Arial"/>
          <w:b/>
          <w:color w:val="auto"/>
        </w:rPr>
      </w:pPr>
      <w:r w:rsidRPr="005E3CF7">
        <w:rPr>
          <w:rFonts w:ascii="Arial" w:hAnsi="Arial" w:cs="Arial"/>
          <w:b/>
          <w:color w:val="auto"/>
        </w:rPr>
        <w:t xml:space="preserve">Summary of rates </w:t>
      </w:r>
    </w:p>
    <w:p w14:paraId="3B58CF04" w14:textId="77777777" w:rsidR="00243255" w:rsidRPr="005E3CF7" w:rsidRDefault="00243255" w:rsidP="00F714C8">
      <w:pPr>
        <w:pStyle w:val="Default"/>
        <w:keepNext/>
        <w:numPr>
          <w:ilvl w:val="0"/>
          <w:numId w:val="22"/>
        </w:numPr>
        <w:spacing w:after="80" w:line="276" w:lineRule="auto"/>
        <w:ind w:left="714" w:hanging="357"/>
        <w:rPr>
          <w:rFonts w:ascii="Arial" w:hAnsi="Arial" w:cs="Arial"/>
          <w:color w:val="auto"/>
        </w:rPr>
      </w:pPr>
      <w:r w:rsidRPr="005E3CF7">
        <w:rPr>
          <w:rFonts w:ascii="Arial" w:hAnsi="Arial" w:cs="Arial"/>
          <w:color w:val="auto"/>
        </w:rPr>
        <w:t>PRT –</w:t>
      </w:r>
      <w:r w:rsidR="00C40BC9" w:rsidRPr="005E3CF7">
        <w:rPr>
          <w:rFonts w:ascii="Arial" w:hAnsi="Arial" w:cs="Arial"/>
          <w:color w:val="auto"/>
        </w:rPr>
        <w:t xml:space="preserve"> </w:t>
      </w:r>
      <w:r w:rsidRPr="005E3CF7">
        <w:rPr>
          <w:rFonts w:ascii="Arial" w:hAnsi="Arial" w:cs="Arial"/>
          <w:color w:val="auto"/>
        </w:rPr>
        <w:t>0%</w:t>
      </w:r>
    </w:p>
    <w:p w14:paraId="590AA29F" w14:textId="77777777" w:rsidR="00243255" w:rsidRPr="005E3CF7" w:rsidRDefault="00243255" w:rsidP="00F714C8">
      <w:pPr>
        <w:pStyle w:val="Default"/>
        <w:keepNext/>
        <w:numPr>
          <w:ilvl w:val="0"/>
          <w:numId w:val="22"/>
        </w:numPr>
        <w:spacing w:after="80" w:line="276" w:lineRule="auto"/>
        <w:ind w:left="714" w:hanging="357"/>
        <w:rPr>
          <w:rFonts w:ascii="Arial" w:hAnsi="Arial" w:cs="Arial"/>
          <w:color w:val="auto"/>
        </w:rPr>
      </w:pPr>
      <w:r w:rsidRPr="005E3CF7">
        <w:rPr>
          <w:rFonts w:ascii="Arial" w:hAnsi="Arial" w:cs="Arial"/>
          <w:color w:val="auto"/>
        </w:rPr>
        <w:t>RFCT – 30%</w:t>
      </w:r>
    </w:p>
    <w:p w14:paraId="080D8342" w14:textId="77777777" w:rsidR="00243255" w:rsidRPr="005E3CF7" w:rsidRDefault="00243255" w:rsidP="00F714C8">
      <w:pPr>
        <w:pStyle w:val="Default"/>
        <w:numPr>
          <w:ilvl w:val="0"/>
          <w:numId w:val="22"/>
        </w:numPr>
        <w:spacing w:after="80" w:line="276" w:lineRule="auto"/>
        <w:ind w:left="714" w:hanging="357"/>
        <w:rPr>
          <w:rFonts w:ascii="Arial" w:hAnsi="Arial" w:cs="Arial"/>
          <w:color w:val="auto"/>
        </w:rPr>
      </w:pPr>
      <w:r w:rsidRPr="005E3CF7">
        <w:rPr>
          <w:rFonts w:ascii="Arial" w:hAnsi="Arial" w:cs="Arial"/>
          <w:color w:val="auto"/>
        </w:rPr>
        <w:t xml:space="preserve">SC – </w:t>
      </w:r>
      <w:r w:rsidR="009C1CC7" w:rsidRPr="005E3CF7">
        <w:rPr>
          <w:rFonts w:ascii="Arial" w:hAnsi="Arial" w:cs="Arial"/>
          <w:color w:val="auto"/>
        </w:rPr>
        <w:t>10</w:t>
      </w:r>
      <w:r w:rsidRPr="005E3CF7">
        <w:rPr>
          <w:rFonts w:ascii="Arial" w:hAnsi="Arial" w:cs="Arial"/>
          <w:color w:val="auto"/>
        </w:rPr>
        <w:t>%</w:t>
      </w:r>
    </w:p>
    <w:p w14:paraId="0971381F" w14:textId="77777777" w:rsidR="00243255" w:rsidRPr="005E3CF7" w:rsidRDefault="00243255" w:rsidP="00BC7065">
      <w:pPr>
        <w:pStyle w:val="Default"/>
        <w:keepNext/>
        <w:spacing w:before="180" w:line="276" w:lineRule="auto"/>
        <w:outlineLvl w:val="0"/>
        <w:rPr>
          <w:rFonts w:ascii="Arial" w:hAnsi="Arial" w:cs="Arial"/>
          <w:color w:val="auto"/>
        </w:rPr>
      </w:pPr>
      <w:r w:rsidRPr="005E3CF7">
        <w:rPr>
          <w:rFonts w:ascii="Arial" w:hAnsi="Arial" w:cs="Arial"/>
          <w:b/>
          <w:color w:val="auto"/>
        </w:rPr>
        <w:t>Interaction</w:t>
      </w:r>
    </w:p>
    <w:p w14:paraId="5782B921" w14:textId="64AAA5E0" w:rsidR="00DE7600" w:rsidRPr="005E3CF7" w:rsidRDefault="00243255" w:rsidP="00A46905">
      <w:pPr>
        <w:pStyle w:val="Default"/>
        <w:spacing w:after="180" w:line="276" w:lineRule="auto"/>
        <w:rPr>
          <w:rFonts w:ascii="Arial" w:hAnsi="Arial" w:cs="Arial"/>
          <w:color w:val="auto"/>
        </w:rPr>
      </w:pPr>
      <w:r w:rsidRPr="005E3CF7">
        <w:rPr>
          <w:rFonts w:ascii="Arial" w:hAnsi="Arial" w:cs="Arial"/>
          <w:color w:val="auto"/>
        </w:rPr>
        <w:t xml:space="preserve">PRT </w:t>
      </w:r>
      <w:r w:rsidR="003D7685">
        <w:rPr>
          <w:rFonts w:ascii="Arial" w:hAnsi="Arial" w:cs="Arial"/>
          <w:color w:val="auto"/>
        </w:rPr>
        <w:t>is</w:t>
      </w:r>
      <w:r w:rsidR="009C1CC7" w:rsidRPr="005E3CF7">
        <w:rPr>
          <w:rFonts w:ascii="Arial" w:hAnsi="Arial" w:cs="Arial"/>
          <w:color w:val="auto"/>
        </w:rPr>
        <w:t xml:space="preserve"> </w:t>
      </w:r>
      <w:r w:rsidRPr="005E3CF7">
        <w:rPr>
          <w:rFonts w:ascii="Arial" w:hAnsi="Arial" w:cs="Arial"/>
          <w:color w:val="auto"/>
        </w:rPr>
        <w:t>an allowable deduction in calculating profits subject to RFCT and SC. Equally, any refund of PRT is a taxable receipt for RFCT and SC purposes. RFCT and SC are charged on the same profit base, so neither is allowable as a deduction in calculating the profits chargeable to the other.</w:t>
      </w:r>
    </w:p>
    <w:p w14:paraId="4D0505D9" w14:textId="4981C21D" w:rsidR="00453FCD" w:rsidRPr="005E3CF7" w:rsidRDefault="00243255" w:rsidP="00C17CD0">
      <w:pPr>
        <w:pStyle w:val="Default"/>
        <w:spacing w:after="120" w:line="276" w:lineRule="auto"/>
        <w:rPr>
          <w:rFonts w:ascii="Arial" w:hAnsi="Arial" w:cs="Arial"/>
          <w:color w:val="auto"/>
        </w:rPr>
      </w:pPr>
      <w:r w:rsidRPr="005E3CF7">
        <w:rPr>
          <w:rFonts w:ascii="Arial" w:hAnsi="Arial" w:cs="Arial"/>
          <w:color w:val="auto"/>
        </w:rPr>
        <w:t xml:space="preserve">This means that the overall </w:t>
      </w:r>
      <w:r w:rsidR="00C40BC9" w:rsidRPr="005E3CF7">
        <w:rPr>
          <w:rFonts w:ascii="Arial" w:hAnsi="Arial" w:cs="Arial"/>
          <w:color w:val="auto"/>
        </w:rPr>
        <w:t xml:space="preserve">marginal </w:t>
      </w:r>
      <w:r w:rsidRPr="005E3CF7">
        <w:rPr>
          <w:rFonts w:ascii="Arial" w:hAnsi="Arial" w:cs="Arial"/>
          <w:color w:val="auto"/>
        </w:rPr>
        <w:t xml:space="preserve">tax </w:t>
      </w:r>
      <w:r w:rsidR="00C40BC9" w:rsidRPr="005E3CF7">
        <w:rPr>
          <w:rFonts w:ascii="Arial" w:hAnsi="Arial" w:cs="Arial"/>
          <w:color w:val="auto"/>
        </w:rPr>
        <w:t xml:space="preserve">rate </w:t>
      </w:r>
      <w:r w:rsidR="009C1CC7" w:rsidRPr="005E3CF7">
        <w:rPr>
          <w:rFonts w:ascii="Arial" w:hAnsi="Arial" w:cs="Arial"/>
          <w:color w:val="auto"/>
        </w:rPr>
        <w:t xml:space="preserve">in </w:t>
      </w:r>
      <w:r w:rsidR="009C1CC7" w:rsidRPr="00462715">
        <w:rPr>
          <w:rFonts w:ascii="Arial" w:hAnsi="Arial" w:cs="Arial"/>
          <w:color w:val="auto"/>
          <w:highlight w:val="yellow"/>
        </w:rPr>
        <w:t>201</w:t>
      </w:r>
      <w:r w:rsidR="00462715" w:rsidRPr="00462715">
        <w:rPr>
          <w:rFonts w:ascii="Arial" w:hAnsi="Arial" w:cs="Arial"/>
          <w:color w:val="auto"/>
          <w:highlight w:val="yellow"/>
        </w:rPr>
        <w:t>7</w:t>
      </w:r>
      <w:r w:rsidR="009C1CC7" w:rsidRPr="005E3CF7">
        <w:rPr>
          <w:rFonts w:ascii="Arial" w:hAnsi="Arial" w:cs="Arial"/>
          <w:color w:val="auto"/>
        </w:rPr>
        <w:t xml:space="preserve"> </w:t>
      </w:r>
      <w:r w:rsidRPr="005E3CF7">
        <w:rPr>
          <w:rFonts w:ascii="Arial" w:hAnsi="Arial" w:cs="Arial"/>
          <w:color w:val="auto"/>
        </w:rPr>
        <w:t xml:space="preserve">was </w:t>
      </w:r>
      <w:r w:rsidR="009C1CC7" w:rsidRPr="005E3CF7">
        <w:rPr>
          <w:rFonts w:ascii="Arial" w:hAnsi="Arial" w:cs="Arial"/>
          <w:color w:val="auto"/>
        </w:rPr>
        <w:t>40</w:t>
      </w:r>
      <w:r w:rsidRPr="005E3CF7">
        <w:rPr>
          <w:rFonts w:ascii="Arial" w:hAnsi="Arial" w:cs="Arial"/>
          <w:color w:val="auto"/>
        </w:rPr>
        <w:t>%. An example of this is shown below:</w:t>
      </w:r>
    </w:p>
    <w:p w14:paraId="54BE2E06" w14:textId="59B2A40D" w:rsidR="00E06D0A" w:rsidRPr="00595CB3" w:rsidRDefault="00E06D0A" w:rsidP="00BC7065">
      <w:pPr>
        <w:pStyle w:val="Caption"/>
        <w:keepNext/>
        <w:outlineLvl w:val="0"/>
        <w:rPr>
          <w:rFonts w:ascii="Arial" w:hAnsi="Arial" w:cs="Arial"/>
          <w:sz w:val="22"/>
          <w:szCs w:val="22"/>
        </w:rPr>
      </w:pPr>
      <w:bookmarkStart w:id="17" w:name="_Toc512547337"/>
      <w:r w:rsidRPr="00595CB3">
        <w:rPr>
          <w:rFonts w:ascii="Arial" w:hAnsi="Arial" w:cs="Arial"/>
          <w:sz w:val="22"/>
          <w:szCs w:val="22"/>
        </w:rPr>
        <w:t xml:space="preserve">Table </w:t>
      </w:r>
      <w:r w:rsidR="00332265">
        <w:rPr>
          <w:rFonts w:ascii="Arial" w:hAnsi="Arial" w:cs="Arial"/>
          <w:sz w:val="22"/>
          <w:szCs w:val="22"/>
        </w:rPr>
        <w:t>5</w:t>
      </w:r>
      <w:r w:rsidRPr="00595CB3">
        <w:rPr>
          <w:rFonts w:ascii="Arial" w:hAnsi="Arial" w:cs="Arial"/>
          <w:sz w:val="22"/>
          <w:szCs w:val="22"/>
        </w:rPr>
        <w:t>. Illustrative tax calculation</w:t>
      </w:r>
      <w:bookmarkEnd w:id="17"/>
    </w:p>
    <w:tbl>
      <w:tblPr>
        <w:tblW w:w="0" w:type="auto"/>
        <w:tblCellMar>
          <w:left w:w="70" w:type="dxa"/>
          <w:right w:w="70" w:type="dxa"/>
        </w:tblCellMar>
        <w:tblLook w:val="04A0" w:firstRow="1" w:lastRow="0" w:firstColumn="1" w:lastColumn="0" w:noHBand="0" w:noVBand="1"/>
        <w:tblCaption w:val="Illustrative tax calculation"/>
        <w:tblDescription w:val="Table 5 shows an illustrative tax calculation using Petroleum Revenue Tax (PRT), Ring Fence Corporation Tax (RFCT) and Supplementary Charge (SC) based on a profit of one thousand pounds."/>
      </w:tblPr>
      <w:tblGrid>
        <w:gridCol w:w="2185"/>
        <w:gridCol w:w="2203"/>
      </w:tblGrid>
      <w:tr w:rsidR="008F47D1" w:rsidRPr="00595CB3" w14:paraId="2557A580" w14:textId="77777777" w:rsidTr="00F75EF8">
        <w:trPr>
          <w:trHeight w:val="283"/>
          <w:tblHeader/>
        </w:trPr>
        <w:tc>
          <w:tcPr>
            <w:tcW w:w="0" w:type="auto"/>
            <w:tcBorders>
              <w:top w:val="nil"/>
              <w:left w:val="nil"/>
              <w:bottom w:val="single" w:sz="12" w:space="0" w:color="4F81BD"/>
              <w:right w:val="nil"/>
            </w:tcBorders>
            <w:shd w:val="clear" w:color="000000" w:fill="1F4E79"/>
            <w:vAlign w:val="bottom"/>
            <w:hideMark/>
          </w:tcPr>
          <w:p w14:paraId="1EF86E01" w14:textId="77777777" w:rsidR="008F47D1" w:rsidRPr="00595CB3" w:rsidRDefault="008F47D1" w:rsidP="003E0B8B">
            <w:pPr>
              <w:keepNext/>
              <w:rPr>
                <w:rFonts w:eastAsia="Times New Roman"/>
                <w:b/>
                <w:bCs/>
                <w:color w:val="FFFFFF"/>
                <w:sz w:val="16"/>
                <w:lang w:eastAsia="fr-FR"/>
              </w:rPr>
            </w:pPr>
            <w:r w:rsidRPr="00595CB3">
              <w:rPr>
                <w:rFonts w:eastAsia="Times New Roman"/>
                <w:b/>
                <w:bCs/>
                <w:color w:val="FFFFFF"/>
                <w:sz w:val="16"/>
                <w:lang w:eastAsia="fr-FR"/>
              </w:rPr>
              <w:t> </w:t>
            </w:r>
          </w:p>
        </w:tc>
        <w:tc>
          <w:tcPr>
            <w:tcW w:w="0" w:type="auto"/>
            <w:tcBorders>
              <w:top w:val="nil"/>
              <w:left w:val="nil"/>
              <w:bottom w:val="single" w:sz="12" w:space="0" w:color="4F81BD"/>
              <w:right w:val="nil"/>
            </w:tcBorders>
            <w:shd w:val="clear" w:color="000000" w:fill="1F4E79"/>
            <w:vAlign w:val="bottom"/>
            <w:hideMark/>
          </w:tcPr>
          <w:p w14:paraId="3BA0DD54" w14:textId="77777777" w:rsidR="008F47D1" w:rsidRPr="00595CB3" w:rsidRDefault="008F47D1" w:rsidP="003E0B8B">
            <w:pPr>
              <w:keepNext/>
              <w:jc w:val="right"/>
              <w:rPr>
                <w:rFonts w:eastAsia="Times New Roman"/>
                <w:b/>
                <w:bCs/>
                <w:color w:val="FFFFFF"/>
                <w:sz w:val="16"/>
                <w:lang w:eastAsia="fr-FR"/>
              </w:rPr>
            </w:pPr>
            <w:r w:rsidRPr="00595CB3">
              <w:rPr>
                <w:rFonts w:eastAsia="Times New Roman"/>
                <w:b/>
                <w:bCs/>
                <w:color w:val="FFFFFF"/>
                <w:sz w:val="16"/>
                <w:lang w:eastAsia="fr-FR"/>
              </w:rPr>
              <w:t>PRT or non-PRT liable field</w:t>
            </w:r>
          </w:p>
        </w:tc>
      </w:tr>
      <w:tr w:rsidR="008F47D1" w:rsidRPr="00595CB3" w14:paraId="39B4ECA5" w14:textId="77777777" w:rsidTr="00F75EF8">
        <w:trPr>
          <w:trHeight w:val="283"/>
        </w:trPr>
        <w:tc>
          <w:tcPr>
            <w:tcW w:w="0" w:type="auto"/>
            <w:tcBorders>
              <w:top w:val="nil"/>
              <w:left w:val="nil"/>
              <w:bottom w:val="nil"/>
              <w:right w:val="nil"/>
            </w:tcBorders>
            <w:shd w:val="clear" w:color="000000" w:fill="BDD6EE"/>
            <w:noWrap/>
            <w:vAlign w:val="center"/>
            <w:hideMark/>
          </w:tcPr>
          <w:p w14:paraId="2E74EC01"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Profit</w:t>
            </w:r>
          </w:p>
        </w:tc>
        <w:tc>
          <w:tcPr>
            <w:tcW w:w="0" w:type="auto"/>
            <w:tcBorders>
              <w:top w:val="nil"/>
              <w:left w:val="nil"/>
              <w:bottom w:val="nil"/>
              <w:right w:val="nil"/>
            </w:tcBorders>
            <w:shd w:val="clear" w:color="000000" w:fill="BDD6EE"/>
            <w:noWrap/>
            <w:vAlign w:val="center"/>
            <w:hideMark/>
          </w:tcPr>
          <w:p w14:paraId="568EA74C"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£1,000</w:t>
            </w:r>
          </w:p>
        </w:tc>
      </w:tr>
      <w:tr w:rsidR="008F47D1" w:rsidRPr="00595CB3" w14:paraId="7FCA2946" w14:textId="77777777" w:rsidTr="00F75EF8">
        <w:trPr>
          <w:trHeight w:val="283"/>
        </w:trPr>
        <w:tc>
          <w:tcPr>
            <w:tcW w:w="0" w:type="auto"/>
            <w:tcBorders>
              <w:top w:val="nil"/>
              <w:left w:val="nil"/>
              <w:bottom w:val="nil"/>
              <w:right w:val="nil"/>
            </w:tcBorders>
            <w:shd w:val="clear" w:color="auto" w:fill="auto"/>
            <w:noWrap/>
            <w:vAlign w:val="center"/>
            <w:hideMark/>
          </w:tcPr>
          <w:p w14:paraId="6CE74E34"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PRT at 0%</w:t>
            </w:r>
          </w:p>
        </w:tc>
        <w:tc>
          <w:tcPr>
            <w:tcW w:w="0" w:type="auto"/>
            <w:tcBorders>
              <w:top w:val="nil"/>
              <w:left w:val="nil"/>
              <w:bottom w:val="nil"/>
              <w:right w:val="nil"/>
            </w:tcBorders>
            <w:shd w:val="clear" w:color="auto" w:fill="auto"/>
            <w:noWrap/>
            <w:vAlign w:val="center"/>
            <w:hideMark/>
          </w:tcPr>
          <w:p w14:paraId="00B0200C"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£0</w:t>
            </w:r>
          </w:p>
        </w:tc>
      </w:tr>
      <w:tr w:rsidR="008F47D1" w:rsidRPr="00595CB3" w14:paraId="24AB306A" w14:textId="77777777" w:rsidTr="00F75EF8">
        <w:trPr>
          <w:trHeight w:val="283"/>
        </w:trPr>
        <w:tc>
          <w:tcPr>
            <w:tcW w:w="0" w:type="auto"/>
            <w:tcBorders>
              <w:top w:val="nil"/>
              <w:left w:val="nil"/>
              <w:bottom w:val="nil"/>
              <w:right w:val="nil"/>
            </w:tcBorders>
            <w:shd w:val="clear" w:color="000000" w:fill="BDD6EE"/>
            <w:noWrap/>
            <w:vAlign w:val="center"/>
            <w:hideMark/>
          </w:tcPr>
          <w:p w14:paraId="099E5620"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Profits after PRT</w:t>
            </w:r>
          </w:p>
        </w:tc>
        <w:tc>
          <w:tcPr>
            <w:tcW w:w="0" w:type="auto"/>
            <w:tcBorders>
              <w:top w:val="nil"/>
              <w:left w:val="nil"/>
              <w:bottom w:val="nil"/>
              <w:right w:val="nil"/>
            </w:tcBorders>
            <w:shd w:val="clear" w:color="000000" w:fill="BDD6EE"/>
            <w:noWrap/>
            <w:vAlign w:val="center"/>
            <w:hideMark/>
          </w:tcPr>
          <w:p w14:paraId="1A5AB3AA"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£1,000</w:t>
            </w:r>
          </w:p>
        </w:tc>
      </w:tr>
      <w:tr w:rsidR="008F47D1" w:rsidRPr="00595CB3" w14:paraId="0394266F" w14:textId="77777777" w:rsidTr="00F75EF8">
        <w:trPr>
          <w:trHeight w:val="283"/>
        </w:trPr>
        <w:tc>
          <w:tcPr>
            <w:tcW w:w="0" w:type="auto"/>
            <w:tcBorders>
              <w:top w:val="nil"/>
              <w:left w:val="nil"/>
              <w:bottom w:val="nil"/>
              <w:right w:val="nil"/>
            </w:tcBorders>
            <w:shd w:val="clear" w:color="auto" w:fill="auto"/>
            <w:noWrap/>
            <w:vAlign w:val="center"/>
            <w:hideMark/>
          </w:tcPr>
          <w:p w14:paraId="566D1A10"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RFCT at 30%</w:t>
            </w:r>
          </w:p>
        </w:tc>
        <w:tc>
          <w:tcPr>
            <w:tcW w:w="0" w:type="auto"/>
            <w:tcBorders>
              <w:top w:val="nil"/>
              <w:left w:val="nil"/>
              <w:bottom w:val="nil"/>
              <w:right w:val="nil"/>
            </w:tcBorders>
            <w:shd w:val="clear" w:color="auto" w:fill="auto"/>
            <w:noWrap/>
            <w:vAlign w:val="center"/>
            <w:hideMark/>
          </w:tcPr>
          <w:p w14:paraId="328DC38F"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£300</w:t>
            </w:r>
          </w:p>
        </w:tc>
      </w:tr>
      <w:tr w:rsidR="008F47D1" w:rsidRPr="00595CB3" w14:paraId="49059A3A" w14:textId="77777777" w:rsidTr="00F75EF8">
        <w:trPr>
          <w:trHeight w:val="283"/>
        </w:trPr>
        <w:tc>
          <w:tcPr>
            <w:tcW w:w="0" w:type="auto"/>
            <w:tcBorders>
              <w:top w:val="nil"/>
              <w:left w:val="nil"/>
              <w:bottom w:val="nil"/>
              <w:right w:val="nil"/>
            </w:tcBorders>
            <w:shd w:val="clear" w:color="000000" w:fill="BDD6EE"/>
            <w:noWrap/>
            <w:vAlign w:val="center"/>
            <w:hideMark/>
          </w:tcPr>
          <w:p w14:paraId="65932FDD"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SC at 10%</w:t>
            </w:r>
          </w:p>
        </w:tc>
        <w:tc>
          <w:tcPr>
            <w:tcW w:w="0" w:type="auto"/>
            <w:tcBorders>
              <w:top w:val="nil"/>
              <w:left w:val="nil"/>
              <w:bottom w:val="nil"/>
              <w:right w:val="nil"/>
            </w:tcBorders>
            <w:shd w:val="clear" w:color="000000" w:fill="BDD6EE"/>
            <w:noWrap/>
            <w:vAlign w:val="center"/>
            <w:hideMark/>
          </w:tcPr>
          <w:p w14:paraId="5AA00C52"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£100</w:t>
            </w:r>
          </w:p>
        </w:tc>
      </w:tr>
      <w:tr w:rsidR="008F47D1" w:rsidRPr="00595CB3" w14:paraId="5F84B9BA" w14:textId="77777777" w:rsidTr="00F75EF8">
        <w:trPr>
          <w:trHeight w:val="283"/>
        </w:trPr>
        <w:tc>
          <w:tcPr>
            <w:tcW w:w="0" w:type="auto"/>
            <w:tcBorders>
              <w:top w:val="nil"/>
              <w:left w:val="nil"/>
              <w:bottom w:val="nil"/>
              <w:right w:val="nil"/>
            </w:tcBorders>
            <w:shd w:val="clear" w:color="000000" w:fill="AEAAAA"/>
            <w:noWrap/>
            <w:vAlign w:val="center"/>
            <w:hideMark/>
          </w:tcPr>
          <w:p w14:paraId="76FA873F" w14:textId="77777777" w:rsidR="008F47D1" w:rsidRPr="00595CB3" w:rsidRDefault="008F47D1" w:rsidP="003E0B8B">
            <w:pPr>
              <w:keepNext/>
              <w:rPr>
                <w:rFonts w:eastAsia="Times New Roman"/>
                <w:b/>
                <w:bCs/>
                <w:sz w:val="16"/>
                <w:lang w:eastAsia="fr-FR"/>
              </w:rPr>
            </w:pPr>
            <w:r w:rsidRPr="00595CB3">
              <w:rPr>
                <w:rFonts w:eastAsia="Times New Roman"/>
                <w:b/>
                <w:bCs/>
                <w:sz w:val="16"/>
                <w:lang w:eastAsia="fr-FR"/>
              </w:rPr>
              <w:t>Total tax (PRT+RFCT+SC)</w:t>
            </w:r>
          </w:p>
        </w:tc>
        <w:tc>
          <w:tcPr>
            <w:tcW w:w="0" w:type="auto"/>
            <w:tcBorders>
              <w:top w:val="nil"/>
              <w:left w:val="nil"/>
              <w:bottom w:val="nil"/>
              <w:right w:val="nil"/>
            </w:tcBorders>
            <w:shd w:val="clear" w:color="000000" w:fill="AEAAAA"/>
            <w:noWrap/>
            <w:vAlign w:val="center"/>
            <w:hideMark/>
          </w:tcPr>
          <w:p w14:paraId="04237679" w14:textId="77777777" w:rsidR="008F47D1" w:rsidRPr="00595CB3" w:rsidRDefault="008F47D1" w:rsidP="003E0B8B">
            <w:pPr>
              <w:keepNext/>
              <w:jc w:val="right"/>
              <w:rPr>
                <w:rFonts w:eastAsia="Times New Roman"/>
                <w:b/>
                <w:bCs/>
                <w:sz w:val="16"/>
                <w:lang w:eastAsia="fr-FR"/>
              </w:rPr>
            </w:pPr>
            <w:r w:rsidRPr="00595CB3">
              <w:rPr>
                <w:rFonts w:eastAsia="Times New Roman"/>
                <w:b/>
                <w:bCs/>
                <w:sz w:val="16"/>
                <w:lang w:eastAsia="fr-FR"/>
              </w:rPr>
              <w:t>(£400)</w:t>
            </w:r>
          </w:p>
        </w:tc>
      </w:tr>
      <w:tr w:rsidR="008F47D1" w:rsidRPr="00595CB3" w14:paraId="0D7AC5CE" w14:textId="77777777" w:rsidTr="00F75EF8">
        <w:trPr>
          <w:trHeight w:val="283"/>
        </w:trPr>
        <w:tc>
          <w:tcPr>
            <w:tcW w:w="0" w:type="auto"/>
            <w:tcBorders>
              <w:top w:val="nil"/>
              <w:left w:val="nil"/>
              <w:bottom w:val="nil"/>
              <w:right w:val="nil"/>
            </w:tcBorders>
            <w:shd w:val="clear" w:color="auto" w:fill="auto"/>
            <w:noWrap/>
            <w:vAlign w:val="center"/>
            <w:hideMark/>
          </w:tcPr>
          <w:p w14:paraId="01D5F023" w14:textId="77777777" w:rsidR="008F47D1" w:rsidRPr="00595CB3" w:rsidRDefault="008F47D1" w:rsidP="003E0B8B">
            <w:pPr>
              <w:keepNext/>
              <w:rPr>
                <w:rFonts w:eastAsia="Times New Roman"/>
                <w:color w:val="000000"/>
                <w:sz w:val="16"/>
                <w:lang w:eastAsia="fr-FR"/>
              </w:rPr>
            </w:pPr>
            <w:r w:rsidRPr="00595CB3">
              <w:rPr>
                <w:rFonts w:eastAsia="Times New Roman"/>
                <w:color w:val="000000"/>
                <w:sz w:val="16"/>
                <w:lang w:eastAsia="fr-FR"/>
              </w:rPr>
              <w:t>Profit after tax</w:t>
            </w:r>
          </w:p>
        </w:tc>
        <w:tc>
          <w:tcPr>
            <w:tcW w:w="0" w:type="auto"/>
            <w:tcBorders>
              <w:top w:val="nil"/>
              <w:left w:val="nil"/>
              <w:bottom w:val="nil"/>
              <w:right w:val="nil"/>
            </w:tcBorders>
            <w:shd w:val="clear" w:color="auto" w:fill="auto"/>
            <w:noWrap/>
            <w:vAlign w:val="center"/>
            <w:hideMark/>
          </w:tcPr>
          <w:p w14:paraId="076A20D8" w14:textId="77777777" w:rsidR="008F47D1" w:rsidRPr="00595CB3" w:rsidRDefault="008F47D1" w:rsidP="003E0B8B">
            <w:pPr>
              <w:keepNext/>
              <w:jc w:val="right"/>
              <w:rPr>
                <w:rFonts w:eastAsia="Times New Roman"/>
                <w:color w:val="000000"/>
                <w:sz w:val="16"/>
                <w:lang w:eastAsia="fr-FR"/>
              </w:rPr>
            </w:pPr>
            <w:r w:rsidRPr="00595CB3">
              <w:rPr>
                <w:rFonts w:eastAsia="Times New Roman"/>
                <w:color w:val="000000"/>
                <w:sz w:val="16"/>
                <w:lang w:eastAsia="fr-FR"/>
              </w:rPr>
              <w:t>£600</w:t>
            </w:r>
          </w:p>
        </w:tc>
      </w:tr>
      <w:tr w:rsidR="008F47D1" w:rsidRPr="00595CB3" w14:paraId="11B55635" w14:textId="77777777" w:rsidTr="00F75EF8">
        <w:trPr>
          <w:trHeight w:val="283"/>
        </w:trPr>
        <w:tc>
          <w:tcPr>
            <w:tcW w:w="0" w:type="auto"/>
            <w:tcBorders>
              <w:top w:val="nil"/>
              <w:left w:val="nil"/>
              <w:bottom w:val="nil"/>
              <w:right w:val="nil"/>
            </w:tcBorders>
            <w:shd w:val="clear" w:color="000000" w:fill="AEAAAA"/>
            <w:noWrap/>
            <w:vAlign w:val="center"/>
            <w:hideMark/>
          </w:tcPr>
          <w:p w14:paraId="3A03374F" w14:textId="77777777" w:rsidR="008F47D1" w:rsidRPr="00595CB3" w:rsidRDefault="008F47D1" w:rsidP="003E0B8B">
            <w:pPr>
              <w:rPr>
                <w:rFonts w:eastAsia="Times New Roman"/>
                <w:b/>
                <w:bCs/>
                <w:sz w:val="16"/>
                <w:lang w:eastAsia="fr-FR"/>
              </w:rPr>
            </w:pPr>
            <w:r w:rsidRPr="00595CB3">
              <w:rPr>
                <w:rFonts w:eastAsia="Times New Roman"/>
                <w:b/>
                <w:bCs/>
                <w:sz w:val="16"/>
                <w:lang w:eastAsia="fr-FR"/>
              </w:rPr>
              <w:t>Tax as a % of pre-tax profit</w:t>
            </w:r>
          </w:p>
        </w:tc>
        <w:tc>
          <w:tcPr>
            <w:tcW w:w="0" w:type="auto"/>
            <w:tcBorders>
              <w:top w:val="nil"/>
              <w:left w:val="nil"/>
              <w:bottom w:val="nil"/>
              <w:right w:val="nil"/>
            </w:tcBorders>
            <w:shd w:val="clear" w:color="000000" w:fill="AEAAAA"/>
            <w:noWrap/>
            <w:vAlign w:val="center"/>
            <w:hideMark/>
          </w:tcPr>
          <w:p w14:paraId="286DA73B" w14:textId="77777777" w:rsidR="008F47D1" w:rsidRPr="00595CB3" w:rsidRDefault="008F47D1" w:rsidP="003E0B8B">
            <w:pPr>
              <w:jc w:val="right"/>
              <w:rPr>
                <w:rFonts w:eastAsia="Times New Roman"/>
                <w:b/>
                <w:bCs/>
                <w:sz w:val="16"/>
                <w:lang w:eastAsia="fr-FR"/>
              </w:rPr>
            </w:pPr>
            <w:r w:rsidRPr="00595CB3">
              <w:rPr>
                <w:rFonts w:eastAsia="Times New Roman"/>
                <w:b/>
                <w:bCs/>
                <w:sz w:val="16"/>
                <w:lang w:eastAsia="fr-FR"/>
              </w:rPr>
              <w:t>40%</w:t>
            </w:r>
          </w:p>
        </w:tc>
      </w:tr>
    </w:tbl>
    <w:p w14:paraId="74B8E593" w14:textId="77777777" w:rsidR="00243255" w:rsidRPr="00C80893" w:rsidRDefault="00243255" w:rsidP="00A46905">
      <w:pPr>
        <w:pStyle w:val="Default"/>
        <w:spacing w:before="180" w:after="180" w:line="276" w:lineRule="auto"/>
        <w:rPr>
          <w:rFonts w:ascii="Arial" w:hAnsi="Arial" w:cs="Arial"/>
          <w:color w:val="auto"/>
        </w:rPr>
      </w:pPr>
      <w:r w:rsidRPr="00C80893">
        <w:rPr>
          <w:rFonts w:ascii="Arial" w:hAnsi="Arial" w:cs="Arial"/>
          <w:color w:val="auto"/>
        </w:rPr>
        <w:t xml:space="preserve">There have been </w:t>
      </w:r>
      <w:r w:rsidR="00C40BC9" w:rsidRPr="00C80893">
        <w:rPr>
          <w:rFonts w:ascii="Arial" w:hAnsi="Arial" w:cs="Arial"/>
          <w:color w:val="auto"/>
        </w:rPr>
        <w:t xml:space="preserve">numerous </w:t>
      </w:r>
      <w:r w:rsidRPr="00C80893">
        <w:rPr>
          <w:rFonts w:ascii="Arial" w:hAnsi="Arial" w:cs="Arial"/>
          <w:color w:val="auto"/>
        </w:rPr>
        <w:t xml:space="preserve">changes to the tax rates for PRT, RFCT and SC. PRT peaked at 75%, was reduced to 50% by Finance Act 1993, and as noted above, was permanently zero-rated at Budget 2016. Mainstream CT rates have been reduced substantially since 2008, but the RFCT rate has remained at 30%, creating a differential between the two. SC has varied between 10% </w:t>
      </w:r>
      <w:r w:rsidR="00BC2C73" w:rsidRPr="00C80893">
        <w:rPr>
          <w:rFonts w:ascii="Arial" w:hAnsi="Arial" w:cs="Arial"/>
          <w:color w:val="auto"/>
        </w:rPr>
        <w:t>and 32% since its introduction.</w:t>
      </w:r>
    </w:p>
    <w:p w14:paraId="744C2CB0" w14:textId="328DAC4F" w:rsidR="00243255"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 xml:space="preserve">Previously, there was also a royalty levied at 12.5% of </w:t>
      </w:r>
      <w:r w:rsidR="00C40BC9" w:rsidRPr="00C80893">
        <w:rPr>
          <w:rFonts w:ascii="Arial" w:hAnsi="Arial" w:cs="Arial"/>
          <w:color w:val="auto"/>
        </w:rPr>
        <w:t xml:space="preserve">the value of petroleum which was generally measured as </w:t>
      </w:r>
      <w:r w:rsidRPr="00C80893">
        <w:rPr>
          <w:rFonts w:ascii="Arial" w:hAnsi="Arial" w:cs="Arial"/>
          <w:color w:val="auto"/>
        </w:rPr>
        <w:t xml:space="preserve">“well head value”. This was abolished </w:t>
      </w:r>
      <w:r w:rsidR="00C40BC9" w:rsidRPr="00C80893">
        <w:rPr>
          <w:rFonts w:ascii="Arial" w:hAnsi="Arial" w:cs="Arial"/>
          <w:color w:val="auto"/>
        </w:rPr>
        <w:t xml:space="preserve">for new fields </w:t>
      </w:r>
      <w:r w:rsidRPr="00C80893">
        <w:rPr>
          <w:rFonts w:ascii="Arial" w:hAnsi="Arial" w:cs="Arial"/>
          <w:color w:val="auto"/>
        </w:rPr>
        <w:t xml:space="preserve">in </w:t>
      </w:r>
      <w:r w:rsidR="00C40BC9" w:rsidRPr="00C80893">
        <w:rPr>
          <w:rFonts w:ascii="Arial" w:hAnsi="Arial" w:cs="Arial"/>
          <w:color w:val="auto"/>
        </w:rPr>
        <w:t xml:space="preserve">phases starting in 1983 with abolition in its entirety with effect from the end of </w:t>
      </w:r>
      <w:r w:rsidRPr="00C80893">
        <w:rPr>
          <w:rFonts w:ascii="Arial" w:hAnsi="Arial" w:cs="Arial"/>
          <w:color w:val="auto"/>
        </w:rPr>
        <w:t xml:space="preserve">2002 as it distorted investment incentives. </w:t>
      </w:r>
      <w:r w:rsidR="00C40BC9" w:rsidRPr="00C80893">
        <w:rPr>
          <w:rFonts w:ascii="Arial" w:hAnsi="Arial" w:cs="Arial"/>
          <w:color w:val="auto"/>
        </w:rPr>
        <w:t xml:space="preserve">In addition, a </w:t>
      </w:r>
      <w:r w:rsidRPr="00C80893">
        <w:rPr>
          <w:rFonts w:ascii="Arial" w:hAnsi="Arial" w:cs="Arial"/>
          <w:color w:val="auto"/>
        </w:rPr>
        <w:t xml:space="preserve">Supplementary Petroleum Duty </w:t>
      </w:r>
      <w:r w:rsidR="00526A4B" w:rsidRPr="00C80893">
        <w:rPr>
          <w:rFonts w:ascii="Arial" w:hAnsi="Arial" w:cs="Arial"/>
          <w:color w:val="auto"/>
        </w:rPr>
        <w:t xml:space="preserve">(SPD) </w:t>
      </w:r>
      <w:r w:rsidR="00C40BC9" w:rsidRPr="00C80893">
        <w:rPr>
          <w:rFonts w:ascii="Arial" w:hAnsi="Arial" w:cs="Arial"/>
          <w:color w:val="auto"/>
        </w:rPr>
        <w:t xml:space="preserve">was in place </w:t>
      </w:r>
      <w:r w:rsidRPr="00C80893">
        <w:rPr>
          <w:rFonts w:ascii="Arial" w:hAnsi="Arial" w:cs="Arial"/>
          <w:color w:val="auto"/>
        </w:rPr>
        <w:t>in 1981 and 1982.</w:t>
      </w:r>
    </w:p>
    <w:p w14:paraId="295B588C" w14:textId="77777777" w:rsidR="00243255" w:rsidRPr="00C80893" w:rsidRDefault="00243255" w:rsidP="00BC7065">
      <w:pPr>
        <w:pStyle w:val="Default"/>
        <w:keepNext/>
        <w:spacing w:after="120" w:line="276" w:lineRule="auto"/>
        <w:outlineLvl w:val="0"/>
        <w:rPr>
          <w:rFonts w:ascii="Arial" w:hAnsi="Arial" w:cs="Arial"/>
          <w:b/>
          <w:color w:val="auto"/>
        </w:rPr>
      </w:pPr>
      <w:r w:rsidRPr="00C80893">
        <w:rPr>
          <w:rFonts w:ascii="Arial" w:hAnsi="Arial" w:cs="Arial"/>
          <w:b/>
          <w:color w:val="auto"/>
        </w:rPr>
        <w:t>Allowances</w:t>
      </w:r>
    </w:p>
    <w:p w14:paraId="3060A909" w14:textId="77777777" w:rsidR="00243255" w:rsidRPr="00C80893" w:rsidRDefault="00243255" w:rsidP="00906E90">
      <w:pPr>
        <w:pStyle w:val="Default"/>
        <w:spacing w:after="180" w:line="276" w:lineRule="auto"/>
        <w:rPr>
          <w:rFonts w:ascii="Arial" w:hAnsi="Arial" w:cs="Arial"/>
          <w:color w:val="auto"/>
        </w:rPr>
      </w:pPr>
      <w:r w:rsidRPr="00C80893">
        <w:rPr>
          <w:rFonts w:ascii="Arial" w:hAnsi="Arial" w:cs="Arial"/>
          <w:color w:val="auto"/>
        </w:rPr>
        <w:t>There are various allowances that apply to reduce the amount of PRT, RFCT or SC that a company has to pay.</w:t>
      </w:r>
    </w:p>
    <w:p w14:paraId="07417E43" w14:textId="77777777" w:rsidR="00243255" w:rsidRPr="00C80893" w:rsidRDefault="00243255" w:rsidP="00BC7065">
      <w:pPr>
        <w:pStyle w:val="Default"/>
        <w:keepNext/>
        <w:spacing w:line="276" w:lineRule="auto"/>
        <w:outlineLvl w:val="0"/>
        <w:rPr>
          <w:rFonts w:ascii="Arial" w:hAnsi="Arial" w:cs="Arial"/>
          <w:b/>
          <w:bCs/>
          <w:color w:val="auto"/>
        </w:rPr>
      </w:pPr>
      <w:r w:rsidRPr="00C80893">
        <w:rPr>
          <w:rFonts w:ascii="Arial" w:hAnsi="Arial" w:cs="Arial"/>
          <w:b/>
          <w:bCs/>
          <w:color w:val="auto"/>
        </w:rPr>
        <w:t>PRT allowances</w:t>
      </w:r>
    </w:p>
    <w:p w14:paraId="76958875" w14:textId="01AA5D7E" w:rsidR="00CD0F4F"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A number of allowances used to be available under the PRT regime to prevent an excessive PRT burden falling on smaller, more economically marginal fields. Allowance was the only one that was still relevant</w:t>
      </w:r>
      <w:r w:rsidR="00431946" w:rsidRPr="00C80893">
        <w:rPr>
          <w:rFonts w:ascii="Arial" w:hAnsi="Arial" w:cs="Arial"/>
          <w:color w:val="auto"/>
        </w:rPr>
        <w:t xml:space="preserve"> to years immediately prior to 2016</w:t>
      </w:r>
      <w:r w:rsidRPr="00C80893">
        <w:rPr>
          <w:rFonts w:ascii="Arial" w:hAnsi="Arial" w:cs="Arial"/>
          <w:color w:val="auto"/>
        </w:rPr>
        <w:t xml:space="preserve">. Oil Allowance ensures that </w:t>
      </w:r>
      <w:r w:rsidR="00431946" w:rsidRPr="00C80893">
        <w:rPr>
          <w:rFonts w:ascii="Arial" w:hAnsi="Arial" w:cs="Arial"/>
          <w:color w:val="auto"/>
        </w:rPr>
        <w:t>many small fields are effectively</w:t>
      </w:r>
      <w:r w:rsidRPr="00C80893">
        <w:rPr>
          <w:rFonts w:ascii="Arial" w:hAnsi="Arial" w:cs="Arial"/>
          <w:color w:val="auto"/>
        </w:rPr>
        <w:t xml:space="preserve"> free from PRT. The available amounts are converted each chargeable period into a “cash equivalent” which then reduces the liability to PRT.</w:t>
      </w:r>
    </w:p>
    <w:p w14:paraId="61A0F294" w14:textId="77777777" w:rsidR="00243255" w:rsidRPr="00C80893" w:rsidRDefault="00243255" w:rsidP="00BC7065">
      <w:pPr>
        <w:pStyle w:val="Default"/>
        <w:keepNext/>
        <w:spacing w:after="180" w:line="276" w:lineRule="auto"/>
        <w:outlineLvl w:val="0"/>
        <w:rPr>
          <w:rFonts w:ascii="Arial" w:hAnsi="Arial" w:cs="Arial"/>
          <w:b/>
          <w:bCs/>
          <w:color w:val="auto"/>
        </w:rPr>
      </w:pPr>
      <w:r w:rsidRPr="00C80893">
        <w:rPr>
          <w:rFonts w:ascii="Arial" w:hAnsi="Arial" w:cs="Arial"/>
          <w:b/>
          <w:bCs/>
          <w:color w:val="auto"/>
        </w:rPr>
        <w:t>RFCT allowances</w:t>
      </w:r>
    </w:p>
    <w:p w14:paraId="7686FE31" w14:textId="77777777" w:rsidR="00243255" w:rsidRPr="00C80893" w:rsidRDefault="00243255" w:rsidP="00BC7065">
      <w:pPr>
        <w:pStyle w:val="Default"/>
        <w:keepNext/>
        <w:spacing w:line="276" w:lineRule="auto"/>
        <w:outlineLvl w:val="0"/>
        <w:rPr>
          <w:rFonts w:ascii="Arial" w:hAnsi="Arial" w:cs="Arial"/>
          <w:bCs/>
          <w:iCs/>
          <w:color w:val="auto"/>
        </w:rPr>
      </w:pPr>
      <w:r w:rsidRPr="00C80893">
        <w:rPr>
          <w:rFonts w:ascii="Arial" w:hAnsi="Arial" w:cs="Arial"/>
          <w:b/>
          <w:bCs/>
          <w:iCs/>
          <w:color w:val="auto"/>
        </w:rPr>
        <w:t>Capital allowances</w:t>
      </w:r>
    </w:p>
    <w:p w14:paraId="33D28341" w14:textId="77777777" w:rsidR="00243255"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 xml:space="preserve">Capital allowances are a feature of </w:t>
      </w:r>
      <w:r w:rsidR="00431946" w:rsidRPr="00C80893">
        <w:rPr>
          <w:rFonts w:ascii="Arial" w:hAnsi="Arial" w:cs="Arial"/>
          <w:color w:val="auto"/>
        </w:rPr>
        <w:t>business taxation in the UK and apply to</w:t>
      </w:r>
      <w:r w:rsidRPr="00C80893">
        <w:rPr>
          <w:rFonts w:ascii="Arial" w:hAnsi="Arial" w:cs="Arial"/>
          <w:color w:val="auto"/>
        </w:rPr>
        <w:t xml:space="preserve"> </w:t>
      </w:r>
      <w:r w:rsidR="00CC6357" w:rsidRPr="00C80893">
        <w:rPr>
          <w:rFonts w:ascii="Arial" w:hAnsi="Arial" w:cs="Arial"/>
          <w:color w:val="auto"/>
        </w:rPr>
        <w:t xml:space="preserve">the </w:t>
      </w:r>
      <w:r w:rsidRPr="00C80893">
        <w:rPr>
          <w:rFonts w:ascii="Arial" w:hAnsi="Arial" w:cs="Arial"/>
          <w:color w:val="auto"/>
        </w:rPr>
        <w:t>mainstream CT regime (</w:t>
      </w:r>
      <w:r w:rsidR="00431946" w:rsidRPr="00C80893">
        <w:rPr>
          <w:rFonts w:ascii="Arial" w:hAnsi="Arial" w:cs="Arial"/>
          <w:color w:val="auto"/>
        </w:rPr>
        <w:t xml:space="preserve">as well as </w:t>
      </w:r>
      <w:r w:rsidRPr="00C80893">
        <w:rPr>
          <w:rFonts w:ascii="Arial" w:hAnsi="Arial" w:cs="Arial"/>
          <w:color w:val="auto"/>
        </w:rPr>
        <w:t>to income tax). For CT purposes, the general rule is that capital expenditure is not allowed as a deduction for tax purposes. This means that profits chargeable to CT cannot be reduced by depreciation or similar expenses. The capital allowance regime exists to provide some relief for capital expenditure incurred.</w:t>
      </w:r>
    </w:p>
    <w:p w14:paraId="2E022C5B" w14:textId="77777777" w:rsidR="00243255" w:rsidRPr="00C80893" w:rsidRDefault="00243255" w:rsidP="00906E90">
      <w:pPr>
        <w:pStyle w:val="Default"/>
        <w:spacing w:after="180" w:line="276" w:lineRule="auto"/>
        <w:rPr>
          <w:rFonts w:ascii="Arial" w:hAnsi="Arial" w:cs="Arial"/>
          <w:color w:val="auto"/>
        </w:rPr>
      </w:pPr>
      <w:r w:rsidRPr="00C80893">
        <w:rPr>
          <w:rFonts w:ascii="Arial" w:hAnsi="Arial" w:cs="Arial"/>
          <w:color w:val="auto"/>
        </w:rPr>
        <w:t xml:space="preserve">There are </w:t>
      </w:r>
      <w:r w:rsidR="008F67D5" w:rsidRPr="00C80893">
        <w:rPr>
          <w:rFonts w:ascii="Arial" w:hAnsi="Arial" w:cs="Arial"/>
          <w:color w:val="auto"/>
        </w:rPr>
        <w:t xml:space="preserve">specific rules and rates of </w:t>
      </w:r>
      <w:r w:rsidRPr="00C80893">
        <w:rPr>
          <w:rFonts w:ascii="Arial" w:hAnsi="Arial" w:cs="Arial"/>
          <w:color w:val="auto"/>
        </w:rPr>
        <w:t>allowances available for companies carrying on a ring fence trade. These allowances mean that in practice, virtually all capital expenditure incurred by oil and gas companies for the purposes of their ring fence trades will qualify.</w:t>
      </w:r>
    </w:p>
    <w:p w14:paraId="246C6D70" w14:textId="77777777" w:rsidR="00243255" w:rsidRPr="00C80893" w:rsidRDefault="00243255" w:rsidP="00906E90">
      <w:pPr>
        <w:pStyle w:val="Default"/>
        <w:spacing w:after="180" w:line="276" w:lineRule="auto"/>
        <w:rPr>
          <w:rFonts w:ascii="Arial" w:hAnsi="Arial" w:cs="Arial"/>
          <w:color w:val="auto"/>
        </w:rPr>
      </w:pPr>
      <w:r w:rsidRPr="00C80893">
        <w:rPr>
          <w:rFonts w:ascii="Arial" w:hAnsi="Arial" w:cs="Arial"/>
          <w:color w:val="auto"/>
        </w:rPr>
        <w:t xml:space="preserve">There are three types of allowance which are commonly relevant for companies carrying on a ring fence trade. Research and Development Allowance (RDA), Mineral Extraction Allowance (MEA) and Plant and Machinery Allowances (PMA). RDA and MEA </w:t>
      </w:r>
      <w:r w:rsidR="008F67D5" w:rsidRPr="00C80893">
        <w:rPr>
          <w:rFonts w:ascii="Arial" w:hAnsi="Arial" w:cs="Arial"/>
          <w:color w:val="auto"/>
        </w:rPr>
        <w:t>are</w:t>
      </w:r>
      <w:r w:rsidR="00CC6357" w:rsidRPr="00C80893">
        <w:rPr>
          <w:rFonts w:ascii="Arial" w:hAnsi="Arial" w:cs="Arial"/>
          <w:color w:val="auto"/>
        </w:rPr>
        <w:t xml:space="preserve"> primarily </w:t>
      </w:r>
      <w:r w:rsidRPr="00C80893">
        <w:rPr>
          <w:rFonts w:ascii="Arial" w:hAnsi="Arial" w:cs="Arial"/>
          <w:color w:val="auto"/>
        </w:rPr>
        <w:t>relevant to companies incurring capit</w:t>
      </w:r>
      <w:r w:rsidR="00063F0C" w:rsidRPr="00C80893">
        <w:rPr>
          <w:rFonts w:ascii="Arial" w:hAnsi="Arial" w:cs="Arial"/>
          <w:color w:val="auto"/>
        </w:rPr>
        <w:t xml:space="preserve">al expenditure on exploring for, </w:t>
      </w:r>
      <w:r w:rsidRPr="00C80893">
        <w:rPr>
          <w:rFonts w:ascii="Arial" w:hAnsi="Arial" w:cs="Arial"/>
          <w:color w:val="auto"/>
        </w:rPr>
        <w:t>appraising and gaining access to oil and gas during the pre-production phase. PMAs are available on capital expenditure on items of plant or machinery used in the ring fence trade. Mostly these are 100% First Year Allowances (FYAs), which allow the full amount of the expenditure to be written off for tax purposes in the accounting period in which the expenditure is incurred.</w:t>
      </w:r>
    </w:p>
    <w:p w14:paraId="6EAF1503" w14:textId="77777777" w:rsidR="00243255" w:rsidRPr="00C80893" w:rsidRDefault="00243255" w:rsidP="00BC7065">
      <w:pPr>
        <w:pStyle w:val="Default"/>
        <w:keepNext/>
        <w:spacing w:line="276" w:lineRule="auto"/>
        <w:outlineLvl w:val="0"/>
        <w:rPr>
          <w:rFonts w:ascii="Arial" w:hAnsi="Arial" w:cs="Arial"/>
          <w:bCs/>
          <w:iCs/>
          <w:color w:val="auto"/>
        </w:rPr>
      </w:pPr>
      <w:r w:rsidRPr="00C80893">
        <w:rPr>
          <w:rFonts w:ascii="Arial" w:hAnsi="Arial" w:cs="Arial"/>
          <w:b/>
          <w:bCs/>
          <w:iCs/>
          <w:color w:val="auto"/>
        </w:rPr>
        <w:t>Ring Fence Expenditure Supplement (RFES)</w:t>
      </w:r>
    </w:p>
    <w:p w14:paraId="4DC5FE30" w14:textId="77777777" w:rsidR="00243255"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RFES is designed to assist companies which do not yet have sufficient RFCT profits against which to set their exploration, appraisal and development costs. The RFES currently increases the value of unused expenditure carried forward from one accounting period to the next by a compound 10% a year for a maximum of 10 years (6 years prior to 2014). The company can elect which periods it wants to claim RFES for. They do not have to be consecutive years.</w:t>
      </w:r>
    </w:p>
    <w:p w14:paraId="3FB55912" w14:textId="77777777" w:rsidR="00243255" w:rsidRPr="00C80893" w:rsidRDefault="00243255" w:rsidP="00BC7065">
      <w:pPr>
        <w:pStyle w:val="Default"/>
        <w:keepNext/>
        <w:spacing w:after="180" w:line="276" w:lineRule="auto"/>
        <w:outlineLvl w:val="0"/>
        <w:rPr>
          <w:rFonts w:ascii="Arial" w:hAnsi="Arial" w:cs="Arial"/>
          <w:color w:val="auto"/>
        </w:rPr>
      </w:pPr>
      <w:r w:rsidRPr="00C80893">
        <w:rPr>
          <w:rFonts w:ascii="Arial" w:hAnsi="Arial" w:cs="Arial"/>
          <w:b/>
          <w:bCs/>
          <w:color w:val="auto"/>
        </w:rPr>
        <w:t>SC allowances</w:t>
      </w:r>
    </w:p>
    <w:p w14:paraId="2B26D504" w14:textId="77777777" w:rsidR="00243255" w:rsidRPr="00C80893" w:rsidRDefault="00243255" w:rsidP="00BC7065">
      <w:pPr>
        <w:pStyle w:val="Default"/>
        <w:keepNext/>
        <w:spacing w:line="276" w:lineRule="auto"/>
        <w:outlineLvl w:val="0"/>
        <w:rPr>
          <w:rFonts w:ascii="Arial" w:hAnsi="Arial" w:cs="Arial"/>
          <w:color w:val="auto"/>
        </w:rPr>
      </w:pPr>
      <w:r w:rsidRPr="00C80893">
        <w:rPr>
          <w:rFonts w:ascii="Arial" w:hAnsi="Arial" w:cs="Arial"/>
          <w:b/>
          <w:bCs/>
          <w:iCs/>
          <w:color w:val="auto"/>
        </w:rPr>
        <w:t>Cluster Area Allowance</w:t>
      </w:r>
    </w:p>
    <w:p w14:paraId="0BC6CD41" w14:textId="529AF64B" w:rsidR="00DA284D" w:rsidRPr="00C80893" w:rsidRDefault="00063F0C" w:rsidP="00A46905">
      <w:pPr>
        <w:pStyle w:val="Default"/>
        <w:spacing w:after="180" w:line="276" w:lineRule="auto"/>
        <w:rPr>
          <w:rFonts w:ascii="Arial" w:hAnsi="Arial" w:cs="Arial"/>
          <w:color w:val="auto"/>
        </w:rPr>
      </w:pPr>
      <w:r w:rsidRPr="00C80893">
        <w:rPr>
          <w:rFonts w:ascii="Arial" w:hAnsi="Arial" w:cs="Arial"/>
          <w:color w:val="auto"/>
        </w:rPr>
        <w:t>Legislation in the Finance Act 2015 introduced a new Cluster Area Allowance, which aims to support large development projects in areas of high pressure and high temperature, encouraging exploration and appraisal in the surrounding area (or “cluster”). The allowance is generated by incurring capital expenditure</w:t>
      </w:r>
      <w:r w:rsidR="00264B18" w:rsidRPr="00C80893">
        <w:rPr>
          <w:rFonts w:ascii="Arial" w:hAnsi="Arial" w:cs="Arial"/>
          <w:color w:val="auto"/>
        </w:rPr>
        <w:t>, and certain types of operating and leasing expenditure</w:t>
      </w:r>
      <w:r w:rsidRPr="00C80893">
        <w:rPr>
          <w:rFonts w:ascii="Arial" w:hAnsi="Arial" w:cs="Arial"/>
          <w:color w:val="auto"/>
        </w:rPr>
        <w:t xml:space="preserve"> within the cluster area. The value of the allowance is 62.5% of the capital expenditure incurred. Any allowance generated is carried forward year on year until it is activated. Allowance is activated by production income from the cluster area. Once the allowance has been activated it is set against profits subject to the SC, so that any such profits are only subject to RFCT at 30%. Cluster areas are determined as such by the OGA, and the only area determined </w:t>
      </w:r>
      <w:r w:rsidR="00436825">
        <w:rPr>
          <w:rFonts w:ascii="Arial" w:hAnsi="Arial" w:cs="Arial"/>
          <w:color w:val="auto"/>
        </w:rPr>
        <w:t xml:space="preserve">to date </w:t>
      </w:r>
      <w:r w:rsidR="006610B2">
        <w:rPr>
          <w:rFonts w:ascii="Arial" w:hAnsi="Arial" w:cs="Arial"/>
          <w:color w:val="auto"/>
        </w:rPr>
        <w:t xml:space="preserve">is </w:t>
      </w:r>
      <w:r w:rsidRPr="00C80893">
        <w:rPr>
          <w:rFonts w:ascii="Arial" w:hAnsi="Arial" w:cs="Arial"/>
          <w:color w:val="auto"/>
        </w:rPr>
        <w:t>the Culzean Cluster Area in the CNS.</w:t>
      </w:r>
    </w:p>
    <w:p w14:paraId="64BCDF13" w14:textId="77777777" w:rsidR="00243255" w:rsidRPr="00C80893" w:rsidRDefault="00243255" w:rsidP="00BC7065">
      <w:pPr>
        <w:pStyle w:val="Default"/>
        <w:keepNext/>
        <w:spacing w:line="276" w:lineRule="auto"/>
        <w:outlineLvl w:val="0"/>
        <w:rPr>
          <w:rFonts w:ascii="Arial" w:hAnsi="Arial" w:cs="Arial"/>
          <w:color w:val="auto"/>
        </w:rPr>
      </w:pPr>
      <w:r w:rsidRPr="00C80893">
        <w:rPr>
          <w:rFonts w:ascii="Arial" w:hAnsi="Arial" w:cs="Arial"/>
          <w:b/>
          <w:bCs/>
          <w:iCs/>
          <w:color w:val="auto"/>
        </w:rPr>
        <w:t>Onshore Allowance</w:t>
      </w:r>
    </w:p>
    <w:p w14:paraId="3CC6B90A" w14:textId="77777777" w:rsidR="00243255"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The Onshore Allowance was introduced in Finance Act 2014 to provide support for the early development of onshore oil and gas projects which were economic but not commercially viable at the prevailing tax rates. The onshore allowance covers both conventional and unconventional hydrocarbons and replaces all existing field allowances for onshore projects. The allowance works in a similar way to Cluster Area Allowance: it is generated by capital expenditure, in an amount equal to 75% of that capital expenditure. Once the allowance is activated by production income in relation to an onshore site, the allowance is used to reduce the adjusted ring fence p</w:t>
      </w:r>
      <w:r w:rsidR="00BC2C73" w:rsidRPr="00C80893">
        <w:rPr>
          <w:rFonts w:ascii="Arial" w:hAnsi="Arial" w:cs="Arial"/>
          <w:color w:val="auto"/>
        </w:rPr>
        <w:t>rofits which are subject to SC.</w:t>
      </w:r>
    </w:p>
    <w:p w14:paraId="2EB58602" w14:textId="77777777" w:rsidR="00243255" w:rsidRPr="00C80893" w:rsidRDefault="00243255" w:rsidP="00BC7065">
      <w:pPr>
        <w:pStyle w:val="Default"/>
        <w:keepNext/>
        <w:spacing w:line="276" w:lineRule="auto"/>
        <w:outlineLvl w:val="0"/>
        <w:rPr>
          <w:rFonts w:ascii="Arial" w:hAnsi="Arial" w:cs="Arial"/>
          <w:color w:val="auto"/>
        </w:rPr>
      </w:pPr>
      <w:r w:rsidRPr="00C80893">
        <w:rPr>
          <w:rFonts w:ascii="Arial" w:hAnsi="Arial" w:cs="Arial"/>
          <w:b/>
          <w:bCs/>
          <w:iCs/>
          <w:color w:val="auto"/>
        </w:rPr>
        <w:t>Investment Allowance</w:t>
      </w:r>
    </w:p>
    <w:p w14:paraId="04E2B83F" w14:textId="58E9F98C" w:rsidR="00893535" w:rsidRPr="00C80893" w:rsidRDefault="00893535" w:rsidP="00A46905">
      <w:pPr>
        <w:pStyle w:val="Default"/>
        <w:spacing w:after="180" w:line="276" w:lineRule="auto"/>
        <w:rPr>
          <w:rFonts w:ascii="Arial" w:hAnsi="Arial" w:cs="Arial"/>
          <w:color w:val="auto"/>
        </w:rPr>
      </w:pPr>
      <w:r w:rsidRPr="00C80893">
        <w:rPr>
          <w:rFonts w:ascii="Arial" w:hAnsi="Arial" w:cs="Arial"/>
          <w:color w:val="auto"/>
        </w:rPr>
        <w:t>The existing system of offshore field allowances was replaced by a single Investment Allowance in Finance Act 2015. Similarly to the Cluster Area and Onshore Allowances, the Investment Allowance is generated by capital expenditure</w:t>
      </w:r>
      <w:r w:rsidR="00063E95" w:rsidRPr="00C80893">
        <w:rPr>
          <w:rFonts w:ascii="Arial" w:hAnsi="Arial" w:cs="Arial"/>
          <w:color w:val="auto"/>
        </w:rPr>
        <w:t>, and certain types of operating and leasing expenditure</w:t>
      </w:r>
      <w:r w:rsidRPr="00C80893">
        <w:rPr>
          <w:rFonts w:ascii="Arial" w:hAnsi="Arial" w:cs="Arial"/>
          <w:color w:val="auto"/>
        </w:rPr>
        <w:t xml:space="preserve"> incurred in relation to a qualifying oil field. The amount of allowance generated is equal to 62.5% of qualifying capital expenditure. Investment Allowance is activated by production income from the field, unlike Cluster Area Allowances, which can be activated by income from any field in a designated cluster. Once activated, it is used to reduce the adjusted ring fence profits chargeable to the SC.</w:t>
      </w:r>
    </w:p>
    <w:p w14:paraId="08C3013D" w14:textId="77777777" w:rsidR="00243255" w:rsidRPr="00C80893" w:rsidRDefault="00243255" w:rsidP="00BC7065">
      <w:pPr>
        <w:pStyle w:val="Default"/>
        <w:keepNext/>
        <w:spacing w:line="276" w:lineRule="auto"/>
        <w:outlineLvl w:val="0"/>
        <w:rPr>
          <w:rFonts w:ascii="Arial" w:hAnsi="Arial" w:cs="Arial"/>
          <w:color w:val="auto"/>
        </w:rPr>
      </w:pPr>
      <w:r w:rsidRPr="00C80893">
        <w:rPr>
          <w:rFonts w:ascii="Arial" w:hAnsi="Arial" w:cs="Arial"/>
          <w:b/>
          <w:color w:val="auto"/>
        </w:rPr>
        <w:t>Losses</w:t>
      </w:r>
    </w:p>
    <w:p w14:paraId="45813DC9" w14:textId="77777777" w:rsidR="00F8654E" w:rsidRPr="00C80893" w:rsidRDefault="00F8654E" w:rsidP="00F8654E">
      <w:pPr>
        <w:pStyle w:val="Default"/>
        <w:spacing w:after="180" w:line="276" w:lineRule="auto"/>
        <w:rPr>
          <w:rFonts w:ascii="Arial" w:hAnsi="Arial" w:cs="Arial"/>
          <w:color w:val="auto"/>
        </w:rPr>
      </w:pPr>
      <w:r w:rsidRPr="00C80893">
        <w:rPr>
          <w:rFonts w:ascii="Arial" w:hAnsi="Arial" w:cs="Arial"/>
          <w:color w:val="auto"/>
        </w:rPr>
        <w:t xml:space="preserve">When a </w:t>
      </w:r>
      <w:r w:rsidR="008F67D5" w:rsidRPr="00C80893">
        <w:rPr>
          <w:rFonts w:ascii="Arial" w:hAnsi="Arial" w:cs="Arial"/>
          <w:color w:val="auto"/>
        </w:rPr>
        <w:t xml:space="preserve">business </w:t>
      </w:r>
      <w:r w:rsidRPr="00C80893">
        <w:rPr>
          <w:rFonts w:ascii="Arial" w:hAnsi="Arial" w:cs="Arial"/>
          <w:color w:val="auto"/>
        </w:rPr>
        <w:t>makes a loss, it may be able to get relief for that loss through the tax system. Loss relief is not unique to the oil and gas regime: it is a feature of income tax, mainstream CT and other regimes too. Broadly, loss relief works by allowing a loss made in one period to be set off, in certain circumstances, against profits in the same or other periods.</w:t>
      </w:r>
    </w:p>
    <w:p w14:paraId="0A2C2E9A" w14:textId="77777777" w:rsidR="00243255" w:rsidRPr="00C80893" w:rsidRDefault="00243255" w:rsidP="00BC7065">
      <w:pPr>
        <w:pStyle w:val="Default"/>
        <w:keepNext/>
        <w:spacing w:line="276" w:lineRule="auto"/>
        <w:outlineLvl w:val="0"/>
        <w:rPr>
          <w:rFonts w:ascii="Arial" w:hAnsi="Arial" w:cs="Arial"/>
          <w:color w:val="auto"/>
        </w:rPr>
      </w:pPr>
      <w:r w:rsidRPr="00C80893">
        <w:rPr>
          <w:rFonts w:ascii="Arial" w:hAnsi="Arial" w:cs="Arial"/>
          <w:b/>
          <w:color w:val="auto"/>
        </w:rPr>
        <w:t>PRT</w:t>
      </w:r>
    </w:p>
    <w:p w14:paraId="5C04709B" w14:textId="77777777" w:rsidR="00417A26" w:rsidRPr="00C80893" w:rsidRDefault="00417A26" w:rsidP="00A46905">
      <w:pPr>
        <w:pStyle w:val="Default"/>
        <w:spacing w:after="180" w:line="276" w:lineRule="auto"/>
        <w:rPr>
          <w:rFonts w:ascii="Arial" w:hAnsi="Arial" w:cs="Arial"/>
          <w:color w:val="auto"/>
        </w:rPr>
      </w:pPr>
      <w:r w:rsidRPr="00C80893">
        <w:rPr>
          <w:rFonts w:ascii="Arial" w:hAnsi="Arial" w:cs="Arial"/>
          <w:color w:val="auto"/>
        </w:rPr>
        <w:t>PRT is a field</w:t>
      </w:r>
      <w:r w:rsidR="00F57CC7" w:rsidRPr="00C80893">
        <w:rPr>
          <w:rFonts w:ascii="Arial" w:hAnsi="Arial" w:cs="Arial"/>
          <w:color w:val="auto"/>
        </w:rPr>
        <w:t>-</w:t>
      </w:r>
      <w:r w:rsidR="00C40BC9" w:rsidRPr="00C80893">
        <w:rPr>
          <w:rFonts w:ascii="Arial" w:hAnsi="Arial" w:cs="Arial"/>
          <w:color w:val="auto"/>
        </w:rPr>
        <w:t xml:space="preserve">based </w:t>
      </w:r>
      <w:r w:rsidRPr="00C80893">
        <w:rPr>
          <w:rFonts w:ascii="Arial" w:hAnsi="Arial" w:cs="Arial"/>
          <w:color w:val="auto"/>
        </w:rPr>
        <w:t xml:space="preserve">tax, so loss relief is normally available </w:t>
      </w:r>
      <w:r w:rsidR="00C40BC9" w:rsidRPr="00C80893">
        <w:rPr>
          <w:rFonts w:ascii="Arial" w:hAnsi="Arial" w:cs="Arial"/>
          <w:color w:val="auto"/>
        </w:rPr>
        <w:t xml:space="preserve">only </w:t>
      </w:r>
      <w:r w:rsidRPr="00C80893">
        <w:rPr>
          <w:rFonts w:ascii="Arial" w:hAnsi="Arial" w:cs="Arial"/>
          <w:color w:val="auto"/>
        </w:rPr>
        <w:t xml:space="preserve">against profits from the same field. </w:t>
      </w:r>
      <w:r w:rsidR="00C40BC9" w:rsidRPr="00C80893">
        <w:rPr>
          <w:rFonts w:ascii="Arial" w:hAnsi="Arial" w:cs="Arial"/>
          <w:color w:val="auto"/>
        </w:rPr>
        <w:t xml:space="preserve">A </w:t>
      </w:r>
      <w:r w:rsidRPr="00C80893">
        <w:rPr>
          <w:rFonts w:ascii="Arial" w:hAnsi="Arial" w:cs="Arial"/>
          <w:color w:val="auto"/>
        </w:rPr>
        <w:t>loss can be carried back and set against profits of the field in previous periods, most recent period first, or carried forward to set against future profits, earliest period first. The loss is set against the profit before Oil Allowance. Only once</w:t>
      </w:r>
      <w:r w:rsidR="004B6A62" w:rsidRPr="00C80893">
        <w:rPr>
          <w:rFonts w:ascii="Arial" w:hAnsi="Arial" w:cs="Arial"/>
          <w:color w:val="auto"/>
        </w:rPr>
        <w:t>, following cessation of production,</w:t>
      </w:r>
      <w:r w:rsidRPr="00C80893">
        <w:rPr>
          <w:rFonts w:ascii="Arial" w:hAnsi="Arial" w:cs="Arial"/>
          <w:color w:val="auto"/>
        </w:rPr>
        <w:t xml:space="preserve"> all carry back and carry forward options are exhausted for that participator and there are no further profits against which the loss can be set, can the loss then be relieved against profits of earlier participators in the field. If there are still any unrelieved losses, they can be relieved against profits from another field.</w:t>
      </w:r>
    </w:p>
    <w:p w14:paraId="3160E006" w14:textId="77777777" w:rsidR="003D48FD" w:rsidRPr="00C80893" w:rsidRDefault="003D48FD" w:rsidP="003D48FD">
      <w:pPr>
        <w:pStyle w:val="Default"/>
        <w:spacing w:after="180" w:line="276" w:lineRule="auto"/>
        <w:rPr>
          <w:rFonts w:ascii="Arial" w:hAnsi="Arial" w:cs="Arial"/>
          <w:color w:val="auto"/>
        </w:rPr>
      </w:pPr>
      <w:r w:rsidRPr="00C80893">
        <w:rPr>
          <w:rFonts w:ascii="Arial" w:hAnsi="Arial" w:cs="Arial"/>
          <w:color w:val="auto"/>
        </w:rPr>
        <w:t>Where a field has made an assessable profit, and paid tax in one period, and then has subsequently made a loss and the participator has chosen to carry the loss back, it could generate a repayment of tax.</w:t>
      </w:r>
    </w:p>
    <w:p w14:paraId="6C7F075D" w14:textId="77777777" w:rsidR="00243255" w:rsidRPr="00C80893" w:rsidRDefault="00243255" w:rsidP="00BC7065">
      <w:pPr>
        <w:pStyle w:val="Default"/>
        <w:keepNext/>
        <w:spacing w:before="200" w:line="276" w:lineRule="auto"/>
        <w:outlineLvl w:val="0"/>
        <w:rPr>
          <w:rFonts w:ascii="Arial" w:hAnsi="Arial" w:cs="Arial"/>
          <w:b/>
          <w:color w:val="auto"/>
        </w:rPr>
      </w:pPr>
      <w:r w:rsidRPr="00C80893">
        <w:rPr>
          <w:rFonts w:ascii="Arial" w:hAnsi="Arial" w:cs="Arial"/>
          <w:b/>
          <w:color w:val="auto"/>
        </w:rPr>
        <w:t>RFCT</w:t>
      </w:r>
    </w:p>
    <w:p w14:paraId="604A7C09" w14:textId="7B9D2F22" w:rsidR="00243255" w:rsidRPr="00C80893" w:rsidRDefault="00243255" w:rsidP="00A46905">
      <w:pPr>
        <w:pStyle w:val="Default"/>
        <w:spacing w:after="180" w:line="276" w:lineRule="auto"/>
        <w:rPr>
          <w:rFonts w:ascii="Arial" w:hAnsi="Arial" w:cs="Arial"/>
          <w:color w:val="auto"/>
        </w:rPr>
      </w:pPr>
      <w:r w:rsidRPr="00C80893">
        <w:rPr>
          <w:rFonts w:ascii="Arial" w:hAnsi="Arial" w:cs="Arial"/>
          <w:color w:val="auto"/>
        </w:rPr>
        <w:t>Where a company makes a loss for RFCT purposes, it can also choose how to treat that loss. The default position is that the loss is carried forward to</w:t>
      </w:r>
      <w:r w:rsidR="005C6D93">
        <w:rPr>
          <w:rFonts w:ascii="Arial" w:hAnsi="Arial" w:cs="Arial"/>
          <w:color w:val="auto"/>
        </w:rPr>
        <w:t xml:space="preserve"> </w:t>
      </w:r>
      <w:r w:rsidRPr="00C80893">
        <w:rPr>
          <w:rFonts w:ascii="Arial" w:hAnsi="Arial" w:cs="Arial"/>
          <w:color w:val="auto"/>
        </w:rPr>
        <w:t>set against future profits of the ring fence trade. However, the loss can also be set off against other (non-ring fence) profits arising in the year, or it can be carried back to set against the profits earned in previous years. Alternatively, where a company is part of a corporate group, it can surrender the loss to another company making a profit in the same period.</w:t>
      </w:r>
    </w:p>
    <w:p w14:paraId="24854BD9" w14:textId="77777777" w:rsidR="00417A26" w:rsidRPr="00C80893" w:rsidRDefault="00417A26" w:rsidP="00417A26">
      <w:pPr>
        <w:pStyle w:val="Default"/>
        <w:spacing w:after="180" w:line="276" w:lineRule="auto"/>
        <w:rPr>
          <w:rFonts w:ascii="Arial" w:hAnsi="Arial" w:cs="Arial"/>
          <w:color w:val="auto"/>
        </w:rPr>
      </w:pPr>
      <w:r w:rsidRPr="00C80893">
        <w:rPr>
          <w:rFonts w:ascii="Arial" w:hAnsi="Arial" w:cs="Arial"/>
          <w:color w:val="auto"/>
        </w:rPr>
        <w:t xml:space="preserve">Under the normal rules, losses can be carried back </w:t>
      </w:r>
      <w:r w:rsidR="00550495" w:rsidRPr="00C80893">
        <w:rPr>
          <w:rFonts w:ascii="Arial" w:hAnsi="Arial" w:cs="Arial"/>
          <w:color w:val="auto"/>
        </w:rPr>
        <w:t xml:space="preserve">only </w:t>
      </w:r>
      <w:r w:rsidRPr="00C80893">
        <w:rPr>
          <w:rFonts w:ascii="Arial" w:hAnsi="Arial" w:cs="Arial"/>
          <w:color w:val="auto"/>
        </w:rPr>
        <w:t>against profits arising in the previous year. However, these time limits are extended where the trade has ceased, in which case the loss may be carried back up to three years. For ring fence trades, this time limit may be extended further where the loss is incurred as a result of decommissioning expenditure. In such situations, the loss may be carried back to any period ending on or after 17 April 2002, regardless of whether trade has ceased.</w:t>
      </w:r>
    </w:p>
    <w:p w14:paraId="28BB90DC" w14:textId="77777777" w:rsidR="00243255" w:rsidRPr="009A52C5" w:rsidRDefault="00243255" w:rsidP="00BC7065">
      <w:pPr>
        <w:pStyle w:val="Default"/>
        <w:keepNext/>
        <w:spacing w:line="276" w:lineRule="auto"/>
        <w:outlineLvl w:val="0"/>
        <w:rPr>
          <w:rFonts w:ascii="Arial" w:hAnsi="Arial" w:cs="Arial"/>
          <w:color w:val="auto"/>
        </w:rPr>
      </w:pPr>
      <w:r w:rsidRPr="009A52C5">
        <w:rPr>
          <w:rFonts w:ascii="Arial" w:hAnsi="Arial" w:cs="Arial"/>
          <w:b/>
          <w:color w:val="auto"/>
        </w:rPr>
        <w:t>SC</w:t>
      </w:r>
    </w:p>
    <w:p w14:paraId="3EB11745" w14:textId="77777777" w:rsidR="00243255" w:rsidRPr="009A52C5" w:rsidRDefault="00243255" w:rsidP="00A46905">
      <w:pPr>
        <w:pStyle w:val="Default"/>
        <w:spacing w:after="180" w:line="276" w:lineRule="auto"/>
        <w:rPr>
          <w:rFonts w:ascii="Arial" w:hAnsi="Arial" w:cs="Arial"/>
          <w:color w:val="auto"/>
        </w:rPr>
      </w:pPr>
      <w:r w:rsidRPr="009A52C5">
        <w:rPr>
          <w:rFonts w:ascii="Arial" w:hAnsi="Arial" w:cs="Arial"/>
          <w:color w:val="auto"/>
        </w:rPr>
        <w:t>SC is calculated on the same basis as RFCT, but with adjustment for finance costs. However, there is no loss relief for SC per se. Rather, if a company makes a RFCT loss, and elects to carry it forward or backward, it will reduce the RFCT profits, and therefore the profit subject to SC of the subsequent or previous period will also be reduced, potentially to nil.</w:t>
      </w:r>
    </w:p>
    <w:p w14:paraId="2AD6999E" w14:textId="77777777" w:rsidR="00740CBA" w:rsidRPr="009A52C5" w:rsidRDefault="00740CBA" w:rsidP="00FD2E49">
      <w:pPr>
        <w:pStyle w:val="Default"/>
        <w:spacing w:after="180" w:line="276" w:lineRule="auto"/>
        <w:rPr>
          <w:rFonts w:ascii="Arial" w:hAnsi="Arial" w:cs="Arial"/>
          <w:color w:val="auto"/>
        </w:rPr>
      </w:pPr>
      <w:r w:rsidRPr="009A52C5">
        <w:rPr>
          <w:rFonts w:ascii="Arial" w:hAnsi="Arial" w:cs="Arial"/>
          <w:color w:val="auto"/>
        </w:rPr>
        <w:t xml:space="preserve">Companies can generate a refund </w:t>
      </w:r>
      <w:r w:rsidR="00550495" w:rsidRPr="009A52C5">
        <w:rPr>
          <w:rFonts w:ascii="Arial" w:hAnsi="Arial" w:cs="Arial"/>
          <w:color w:val="auto"/>
        </w:rPr>
        <w:t xml:space="preserve">only </w:t>
      </w:r>
      <w:r w:rsidRPr="009A52C5">
        <w:rPr>
          <w:rFonts w:ascii="Arial" w:hAnsi="Arial" w:cs="Arial"/>
          <w:color w:val="auto"/>
        </w:rPr>
        <w:t>where tax has already been paid. If a company has not paid tax in a previous year because it has not previously made a profit, it will not be able to carry the loss back, and will have to relieve it in one of the other ways outlined above.</w:t>
      </w:r>
    </w:p>
    <w:p w14:paraId="05D01D4A" w14:textId="77777777" w:rsidR="00243255" w:rsidRPr="009A52C5" w:rsidRDefault="00243255" w:rsidP="00BC7065">
      <w:pPr>
        <w:pStyle w:val="Default"/>
        <w:keepNext/>
        <w:spacing w:line="276" w:lineRule="auto"/>
        <w:outlineLvl w:val="0"/>
        <w:rPr>
          <w:rFonts w:ascii="Arial" w:hAnsi="Arial" w:cs="Arial"/>
          <w:b/>
          <w:bCs/>
          <w:color w:val="auto"/>
        </w:rPr>
      </w:pPr>
      <w:r w:rsidRPr="009A52C5">
        <w:rPr>
          <w:rFonts w:ascii="Arial" w:hAnsi="Arial" w:cs="Arial"/>
          <w:b/>
          <w:bCs/>
          <w:color w:val="auto"/>
        </w:rPr>
        <w:t>Variations in tax payments and repayments</w:t>
      </w:r>
    </w:p>
    <w:p w14:paraId="1C006006" w14:textId="77777777" w:rsidR="00243255" w:rsidRPr="009A52C5" w:rsidRDefault="00243255" w:rsidP="000A2950">
      <w:pPr>
        <w:pStyle w:val="Default"/>
        <w:spacing w:after="180" w:line="276" w:lineRule="auto"/>
        <w:rPr>
          <w:rFonts w:ascii="Arial" w:hAnsi="Arial" w:cs="Arial"/>
          <w:color w:val="auto"/>
        </w:rPr>
      </w:pPr>
      <w:r w:rsidRPr="009A52C5">
        <w:rPr>
          <w:rFonts w:ascii="Arial" w:hAnsi="Arial" w:cs="Arial"/>
          <w:color w:val="auto"/>
        </w:rPr>
        <w:t xml:space="preserve">The amount of tax paid by a company can vary year on year for a number of reasons. Perhaps most obviously, changes in tax rates will affect the amount of tax paid. In recent </w:t>
      </w:r>
      <w:r w:rsidR="009B2E18" w:rsidRPr="009A52C5">
        <w:rPr>
          <w:rFonts w:ascii="Arial" w:hAnsi="Arial" w:cs="Arial"/>
          <w:color w:val="auto"/>
        </w:rPr>
        <w:t>years,</w:t>
      </w:r>
      <w:r w:rsidRPr="009A52C5">
        <w:rPr>
          <w:rFonts w:ascii="Arial" w:hAnsi="Arial" w:cs="Arial"/>
          <w:color w:val="auto"/>
        </w:rPr>
        <w:t xml:space="preserve"> the rates of PRT and SC have both dropped, reducing the amount payable under these taxes. The level of profits (or losses) made by a company will also vary year on year. Factors such as capital expenditure incurred both on decommissioning and on exploration and investment can reduce profits, and variations in the oil price will have a substantial impact on trading receipts. Equally, as explained above, while a company may make a profit in a year, if it has a loss to set against that profit, the amount of tax payable may fall, or indeed lead to a repayment of tax.</w:t>
      </w:r>
    </w:p>
    <w:p w14:paraId="55708C3D" w14:textId="77777777" w:rsidR="00C17CD0" w:rsidRPr="009A52C5" w:rsidRDefault="00243255" w:rsidP="009B2E18">
      <w:pPr>
        <w:pStyle w:val="Default"/>
        <w:spacing w:after="180" w:line="276" w:lineRule="auto"/>
        <w:rPr>
          <w:rFonts w:ascii="Arial" w:hAnsi="Arial" w:cs="Arial"/>
          <w:color w:val="auto"/>
        </w:rPr>
      </w:pPr>
      <w:r w:rsidRPr="009A52C5">
        <w:rPr>
          <w:rFonts w:ascii="Arial" w:hAnsi="Arial" w:cs="Arial"/>
          <w:color w:val="auto"/>
        </w:rPr>
        <w:t>Companies are charged to PRT for chargeable periods of 6 months, running from 1 January to 30 June, and 1 July to 31 December. Companies’ profits are charged to RFCT and SC for accounting periods (APs). APs normally last for one year, although they can sometimes be shorter. Different companies have different APs, although commonly calendar or financial years are used.</w:t>
      </w:r>
    </w:p>
    <w:p w14:paraId="59C0D3A1" w14:textId="77777777" w:rsidR="00EB147A" w:rsidRPr="009A52C5" w:rsidRDefault="00EB147A" w:rsidP="00BC7065">
      <w:pPr>
        <w:keepNext/>
        <w:autoSpaceDE w:val="0"/>
        <w:autoSpaceDN w:val="0"/>
        <w:adjustRightInd w:val="0"/>
        <w:spacing w:line="276" w:lineRule="auto"/>
        <w:outlineLvl w:val="0"/>
        <w:rPr>
          <w:rFonts w:eastAsia="Calibri"/>
          <w:b/>
          <w:bCs/>
          <w:szCs w:val="24"/>
        </w:rPr>
      </w:pPr>
      <w:r w:rsidRPr="009A52C5">
        <w:rPr>
          <w:rFonts w:eastAsia="Calibri"/>
          <w:b/>
          <w:bCs/>
          <w:szCs w:val="24"/>
        </w:rPr>
        <w:t>PRT payments</w:t>
      </w:r>
    </w:p>
    <w:p w14:paraId="5583AEAA" w14:textId="6E391125" w:rsidR="00EB147A" w:rsidRPr="009A52C5" w:rsidRDefault="00EB147A" w:rsidP="00EB147A">
      <w:pPr>
        <w:autoSpaceDE w:val="0"/>
        <w:autoSpaceDN w:val="0"/>
        <w:adjustRightInd w:val="0"/>
        <w:spacing w:after="180" w:line="276" w:lineRule="auto"/>
        <w:rPr>
          <w:rFonts w:eastAsia="Calibri"/>
          <w:szCs w:val="24"/>
        </w:rPr>
      </w:pPr>
      <w:r w:rsidRPr="009A52C5">
        <w:rPr>
          <w:rFonts w:eastAsia="Calibri"/>
          <w:szCs w:val="24"/>
        </w:rPr>
        <w:t xml:space="preserve">PRT instalments </w:t>
      </w:r>
      <w:r w:rsidR="00E9577A">
        <w:rPr>
          <w:rFonts w:eastAsia="Calibri"/>
          <w:szCs w:val="24"/>
        </w:rPr>
        <w:t>are</w:t>
      </w:r>
      <w:r w:rsidRPr="009A52C5">
        <w:rPr>
          <w:rFonts w:eastAsia="Calibri"/>
          <w:szCs w:val="24"/>
        </w:rPr>
        <w:t xml:space="preserve"> due based on the previous chargeable period. From 2016, as the PRT rate </w:t>
      </w:r>
      <w:r w:rsidR="00E9577A">
        <w:rPr>
          <w:rFonts w:eastAsia="Calibri"/>
          <w:szCs w:val="24"/>
        </w:rPr>
        <w:t>was</w:t>
      </w:r>
      <w:r w:rsidRPr="009A52C5">
        <w:rPr>
          <w:rFonts w:eastAsia="Calibri"/>
          <w:szCs w:val="24"/>
        </w:rPr>
        <w:t xml:space="preserve"> reduced to nil, PRT payments were only made to true up previous year’s liabilities or instalments made prior to the announcement of PRT being zero-rated at the 2016 Budget.</w:t>
      </w:r>
    </w:p>
    <w:p w14:paraId="37D08E2B" w14:textId="77777777" w:rsidR="00243255" w:rsidRPr="009A52C5" w:rsidRDefault="00243255" w:rsidP="00BC7065">
      <w:pPr>
        <w:pStyle w:val="Default"/>
        <w:keepNext/>
        <w:spacing w:line="276" w:lineRule="auto"/>
        <w:outlineLvl w:val="0"/>
        <w:rPr>
          <w:rFonts w:ascii="Arial" w:hAnsi="Arial" w:cs="Arial"/>
          <w:b/>
          <w:bCs/>
          <w:color w:val="auto"/>
        </w:rPr>
      </w:pPr>
      <w:r w:rsidRPr="009A52C5">
        <w:rPr>
          <w:rFonts w:ascii="Arial" w:hAnsi="Arial" w:cs="Arial"/>
          <w:b/>
          <w:bCs/>
          <w:color w:val="auto"/>
        </w:rPr>
        <w:t>RFCT/ SC payments</w:t>
      </w:r>
    </w:p>
    <w:p w14:paraId="56EADC5D" w14:textId="2A328019" w:rsidR="00243255" w:rsidRPr="009A52C5" w:rsidRDefault="00243255" w:rsidP="00286FA1">
      <w:pPr>
        <w:pStyle w:val="Default"/>
        <w:spacing w:after="180" w:line="276" w:lineRule="auto"/>
        <w:rPr>
          <w:rFonts w:ascii="Arial" w:hAnsi="Arial" w:cs="Arial"/>
          <w:color w:val="auto"/>
        </w:rPr>
      </w:pPr>
      <w:r w:rsidRPr="009A52C5">
        <w:rPr>
          <w:rFonts w:ascii="Arial" w:hAnsi="Arial" w:cs="Arial"/>
          <w:color w:val="auto"/>
        </w:rPr>
        <w:t xml:space="preserve">The rules for payment of RFCT and SC differ from the payment rules for mainstream CT. Companies paying RFCT and SC, which would otherwise make payments under the mainstream CT quarterly instalment payments (QIPs) regime, instead pay their RFCT/SC in three payments: 6 months and 13 days from the start of the AP, 3 months after the first payment, and 14 days from the end of the AP. This means the payments are due earlier than under mainstream CT rules. </w:t>
      </w:r>
      <w:r w:rsidR="00EB147A" w:rsidRPr="009A52C5">
        <w:rPr>
          <w:rFonts w:ascii="Arial" w:hAnsi="Arial" w:cs="Arial"/>
          <w:color w:val="auto"/>
        </w:rPr>
        <w:t>T</w:t>
      </w:r>
      <w:r w:rsidRPr="009A52C5">
        <w:rPr>
          <w:rFonts w:ascii="Arial" w:hAnsi="Arial" w:cs="Arial"/>
          <w:color w:val="auto"/>
        </w:rPr>
        <w:t xml:space="preserve">he three payments </w:t>
      </w:r>
      <w:r w:rsidR="00EB147A" w:rsidRPr="009A52C5">
        <w:rPr>
          <w:rFonts w:ascii="Arial" w:hAnsi="Arial" w:cs="Arial"/>
          <w:color w:val="auto"/>
        </w:rPr>
        <w:t xml:space="preserve">are </w:t>
      </w:r>
      <w:r w:rsidR="003853C7" w:rsidRPr="003853C7">
        <w:rPr>
          <w:rFonts w:ascii="Arial" w:hAnsi="Arial" w:cs="Arial"/>
          <w:color w:val="auto"/>
          <w:highlight w:val="yellow"/>
        </w:rPr>
        <w:t>by</w:t>
      </w:r>
      <w:r w:rsidR="003853C7">
        <w:rPr>
          <w:rFonts w:ascii="Arial" w:hAnsi="Arial" w:cs="Arial"/>
          <w:color w:val="auto"/>
        </w:rPr>
        <w:t xml:space="preserve"> </w:t>
      </w:r>
      <w:r w:rsidR="00EB147A" w:rsidRPr="009A52C5">
        <w:rPr>
          <w:rFonts w:ascii="Arial" w:hAnsi="Arial" w:cs="Arial"/>
          <w:color w:val="auto"/>
        </w:rPr>
        <w:t>necessity estimates an</w:t>
      </w:r>
      <w:r w:rsidR="003D26C2" w:rsidRPr="009A52C5">
        <w:rPr>
          <w:rFonts w:ascii="Arial" w:hAnsi="Arial" w:cs="Arial"/>
          <w:color w:val="auto"/>
        </w:rPr>
        <w:t>d</w:t>
      </w:r>
      <w:r w:rsidR="00EB147A" w:rsidRPr="009A52C5">
        <w:rPr>
          <w:rFonts w:ascii="Arial" w:hAnsi="Arial" w:cs="Arial"/>
          <w:color w:val="auto"/>
        </w:rPr>
        <w:t xml:space="preserve"> so may not </w:t>
      </w:r>
      <w:r w:rsidRPr="009A52C5">
        <w:rPr>
          <w:rFonts w:ascii="Arial" w:hAnsi="Arial" w:cs="Arial"/>
          <w:color w:val="auto"/>
        </w:rPr>
        <w:t>be of equal amounts.</w:t>
      </w:r>
    </w:p>
    <w:p w14:paraId="37098FF5" w14:textId="77777777" w:rsidR="00243255" w:rsidRPr="009A52C5" w:rsidRDefault="00243255" w:rsidP="00BC7065">
      <w:pPr>
        <w:pStyle w:val="Default"/>
        <w:keepNext/>
        <w:spacing w:line="276" w:lineRule="auto"/>
        <w:outlineLvl w:val="0"/>
        <w:rPr>
          <w:rFonts w:ascii="Arial" w:hAnsi="Arial" w:cs="Arial"/>
          <w:color w:val="auto"/>
        </w:rPr>
      </w:pPr>
      <w:r w:rsidRPr="009A52C5">
        <w:rPr>
          <w:rFonts w:ascii="Arial" w:hAnsi="Arial" w:cs="Arial"/>
          <w:b/>
          <w:color w:val="auto"/>
        </w:rPr>
        <w:t>Decommissioning</w:t>
      </w:r>
    </w:p>
    <w:p w14:paraId="04E4851F" w14:textId="61948E5F" w:rsidR="00243255" w:rsidRPr="009A52C5" w:rsidRDefault="00243255" w:rsidP="000A2950">
      <w:pPr>
        <w:pStyle w:val="Default"/>
        <w:spacing w:after="180" w:line="276" w:lineRule="auto"/>
        <w:rPr>
          <w:rFonts w:ascii="Arial" w:hAnsi="Arial" w:cs="Arial"/>
          <w:color w:val="auto"/>
        </w:rPr>
      </w:pPr>
      <w:r w:rsidRPr="009A52C5">
        <w:rPr>
          <w:rFonts w:ascii="Arial" w:hAnsi="Arial" w:cs="Arial"/>
          <w:color w:val="auto"/>
        </w:rPr>
        <w:t xml:space="preserve">Decommissioning is an inherent cost of doing business in the UKCS. As a result, tax relief is given for decommissioning costs </w:t>
      </w:r>
      <w:r w:rsidR="00EB147A" w:rsidRPr="009A52C5">
        <w:rPr>
          <w:rFonts w:ascii="Arial" w:hAnsi="Arial" w:cs="Arial"/>
          <w:color w:val="auto"/>
        </w:rPr>
        <w:t>but not until</w:t>
      </w:r>
      <w:r w:rsidRPr="009A52C5">
        <w:rPr>
          <w:rFonts w:ascii="Arial" w:hAnsi="Arial" w:cs="Arial"/>
          <w:color w:val="auto"/>
        </w:rPr>
        <w:t xml:space="preserve"> they are incurred and the decommissioning is carried out</w:t>
      </w:r>
      <w:r w:rsidR="006570FF" w:rsidRPr="009A52C5">
        <w:rPr>
          <w:rFonts w:ascii="Arial" w:hAnsi="Arial" w:cs="Arial"/>
          <w:color w:val="auto"/>
        </w:rPr>
        <w:t xml:space="preserve">. </w:t>
      </w:r>
      <w:r w:rsidR="00791E4B" w:rsidRPr="009A52C5">
        <w:rPr>
          <w:rFonts w:ascii="Arial" w:hAnsi="Arial" w:cs="Arial"/>
          <w:color w:val="auto"/>
        </w:rPr>
        <w:t>F</w:t>
      </w:r>
      <w:r w:rsidRPr="009A52C5">
        <w:rPr>
          <w:rFonts w:ascii="Arial" w:hAnsi="Arial" w:cs="Arial"/>
          <w:color w:val="auto"/>
        </w:rPr>
        <w:t xml:space="preserve">or accounting purposes a company </w:t>
      </w:r>
      <w:r w:rsidR="006570FF" w:rsidRPr="009A52C5">
        <w:rPr>
          <w:rFonts w:ascii="Arial" w:hAnsi="Arial" w:cs="Arial"/>
          <w:color w:val="auto"/>
        </w:rPr>
        <w:t xml:space="preserve">is required to </w:t>
      </w:r>
      <w:r w:rsidRPr="009A52C5">
        <w:rPr>
          <w:rFonts w:ascii="Arial" w:hAnsi="Arial" w:cs="Arial"/>
          <w:color w:val="auto"/>
        </w:rPr>
        <w:t>make an annual provision</w:t>
      </w:r>
      <w:r w:rsidR="00791E4B" w:rsidRPr="009A52C5">
        <w:rPr>
          <w:rFonts w:ascii="Arial" w:hAnsi="Arial" w:cs="Arial"/>
          <w:color w:val="auto"/>
        </w:rPr>
        <w:t>. However</w:t>
      </w:r>
      <w:r w:rsidR="00130C1D">
        <w:rPr>
          <w:rFonts w:ascii="Arial" w:hAnsi="Arial" w:cs="Arial"/>
          <w:color w:val="auto"/>
        </w:rPr>
        <w:t>,</w:t>
      </w:r>
      <w:r w:rsidRPr="009A52C5">
        <w:rPr>
          <w:rFonts w:ascii="Arial" w:hAnsi="Arial" w:cs="Arial"/>
          <w:color w:val="auto"/>
        </w:rPr>
        <w:t xml:space="preserve"> this cannot be deducted for tax purposes as the cash has yet to be spent</w:t>
      </w:r>
      <w:r w:rsidR="00791E4B" w:rsidRPr="009A52C5">
        <w:rPr>
          <w:rFonts w:ascii="Arial" w:hAnsi="Arial" w:cs="Arial"/>
          <w:color w:val="auto"/>
        </w:rPr>
        <w:t xml:space="preserve">, and the decommissioning has </w:t>
      </w:r>
      <w:r w:rsidR="00BC4203" w:rsidRPr="009A52C5">
        <w:rPr>
          <w:rFonts w:ascii="Arial" w:hAnsi="Arial" w:cs="Arial"/>
          <w:color w:val="auto"/>
        </w:rPr>
        <w:t>not actually happened</w:t>
      </w:r>
      <w:r w:rsidRPr="009A52C5">
        <w:rPr>
          <w:rFonts w:ascii="Arial" w:hAnsi="Arial" w:cs="Arial"/>
          <w:color w:val="auto"/>
        </w:rPr>
        <w:t>.</w:t>
      </w:r>
    </w:p>
    <w:p w14:paraId="4DD3A4F1" w14:textId="50C8BBD0" w:rsidR="00243255" w:rsidRPr="009A52C5" w:rsidRDefault="00243255" w:rsidP="00B43A21">
      <w:pPr>
        <w:pStyle w:val="Default"/>
        <w:spacing w:after="180" w:line="276" w:lineRule="auto"/>
        <w:rPr>
          <w:rFonts w:ascii="Arial" w:hAnsi="Arial" w:cs="Arial"/>
          <w:color w:val="auto"/>
        </w:rPr>
      </w:pPr>
      <w:r w:rsidRPr="009A52C5">
        <w:rPr>
          <w:rFonts w:ascii="Arial" w:hAnsi="Arial" w:cs="Arial"/>
          <w:color w:val="auto"/>
        </w:rPr>
        <w:t xml:space="preserve">If decommissioning expenditure produces an overall loss for a year then, as explained above, the loss may be carried back against previous ring fence profits of that company, as far as 2002 for RFCT and SC, and almost indefinitely against field profits for PRT. </w:t>
      </w:r>
      <w:r w:rsidR="00E9577A">
        <w:rPr>
          <w:rFonts w:ascii="Arial" w:hAnsi="Arial" w:cs="Arial"/>
          <w:color w:val="auto"/>
        </w:rPr>
        <w:t>L</w:t>
      </w:r>
      <w:r w:rsidRPr="009A52C5">
        <w:rPr>
          <w:rFonts w:ascii="Arial" w:hAnsi="Arial" w:cs="Arial"/>
          <w:color w:val="auto"/>
        </w:rPr>
        <w:t xml:space="preserve">osses generated by decommissioning costs and carried back to be offset against previous profits </w:t>
      </w:r>
      <w:r w:rsidR="00E9577A">
        <w:rPr>
          <w:rFonts w:ascii="Arial" w:hAnsi="Arial" w:cs="Arial"/>
          <w:color w:val="auto"/>
        </w:rPr>
        <w:t xml:space="preserve">are </w:t>
      </w:r>
      <w:r w:rsidRPr="009A52C5">
        <w:rPr>
          <w:rFonts w:ascii="Arial" w:hAnsi="Arial" w:cs="Arial"/>
          <w:color w:val="auto"/>
        </w:rPr>
        <w:t xml:space="preserve">relieved at </w:t>
      </w:r>
      <w:r w:rsidR="00550495" w:rsidRPr="009A52C5">
        <w:rPr>
          <w:rFonts w:ascii="Arial" w:hAnsi="Arial" w:cs="Arial"/>
          <w:color w:val="auto"/>
        </w:rPr>
        <w:t>3</w:t>
      </w:r>
      <w:r w:rsidR="007C3DD3" w:rsidRPr="009A52C5">
        <w:rPr>
          <w:rFonts w:ascii="Arial" w:hAnsi="Arial" w:cs="Arial"/>
          <w:color w:val="auto"/>
        </w:rPr>
        <w:t>2</w:t>
      </w:r>
      <w:r w:rsidRPr="009A52C5">
        <w:rPr>
          <w:rFonts w:ascii="Arial" w:hAnsi="Arial" w:cs="Arial"/>
          <w:color w:val="auto"/>
        </w:rPr>
        <w:t>% for SC and 30% for RFCT</w:t>
      </w:r>
      <w:r w:rsidR="007C3DD3" w:rsidRPr="009A52C5">
        <w:rPr>
          <w:rFonts w:ascii="Arial" w:hAnsi="Arial" w:cs="Arial"/>
          <w:color w:val="auto"/>
        </w:rPr>
        <w:t>.</w:t>
      </w:r>
      <w:r w:rsidRPr="009A52C5">
        <w:rPr>
          <w:rFonts w:ascii="Arial" w:hAnsi="Arial" w:cs="Arial"/>
          <w:color w:val="auto"/>
        </w:rPr>
        <w:t xml:space="preserve"> </w:t>
      </w:r>
      <w:r w:rsidR="007C3DD3" w:rsidRPr="009A52C5">
        <w:rPr>
          <w:rFonts w:ascii="Arial" w:hAnsi="Arial" w:cs="Arial"/>
          <w:color w:val="auto"/>
        </w:rPr>
        <w:t>In most cases, the effective</w:t>
      </w:r>
      <w:r w:rsidRPr="009A52C5">
        <w:rPr>
          <w:rFonts w:ascii="Arial" w:hAnsi="Arial" w:cs="Arial"/>
          <w:color w:val="auto"/>
        </w:rPr>
        <w:t xml:space="preserve"> rate of </w:t>
      </w:r>
      <w:r w:rsidR="007C3DD3" w:rsidRPr="009A52C5">
        <w:rPr>
          <w:rFonts w:ascii="Arial" w:hAnsi="Arial" w:cs="Arial"/>
          <w:color w:val="auto"/>
        </w:rPr>
        <w:t xml:space="preserve">tax </w:t>
      </w:r>
      <w:r w:rsidRPr="009A52C5">
        <w:rPr>
          <w:rFonts w:ascii="Arial" w:hAnsi="Arial" w:cs="Arial"/>
          <w:color w:val="auto"/>
        </w:rPr>
        <w:t xml:space="preserve">relief for PRT fields is </w:t>
      </w:r>
      <w:r w:rsidR="007C3DD3" w:rsidRPr="009A52C5">
        <w:rPr>
          <w:rFonts w:ascii="Arial" w:hAnsi="Arial" w:cs="Arial"/>
          <w:color w:val="auto"/>
        </w:rPr>
        <w:t xml:space="preserve">a maximum </w:t>
      </w:r>
      <w:r w:rsidRPr="009A52C5">
        <w:rPr>
          <w:rFonts w:ascii="Arial" w:hAnsi="Arial" w:cs="Arial"/>
          <w:color w:val="auto"/>
        </w:rPr>
        <w:t>to 75%. The amount of relief available is limited to the taxable profits of the relevant field/company and in economic terms</w:t>
      </w:r>
      <w:r w:rsidR="00550495" w:rsidRPr="009A52C5">
        <w:rPr>
          <w:rFonts w:ascii="Arial" w:hAnsi="Arial" w:cs="Arial"/>
          <w:color w:val="auto"/>
        </w:rPr>
        <w:t>,</w:t>
      </w:r>
      <w:r w:rsidRPr="009A52C5">
        <w:rPr>
          <w:rFonts w:ascii="Arial" w:hAnsi="Arial" w:cs="Arial"/>
          <w:color w:val="auto"/>
        </w:rPr>
        <w:t xml:space="preserve"> represents a repayment of tax that has been overpaid through the profitable life of the company or field.</w:t>
      </w:r>
    </w:p>
    <w:p w14:paraId="4B6B919C" w14:textId="2DF5E8C5" w:rsidR="009F6570" w:rsidRPr="009A52C5" w:rsidRDefault="009F6570" w:rsidP="00B43A21">
      <w:pPr>
        <w:pStyle w:val="Default"/>
        <w:spacing w:after="180" w:line="276" w:lineRule="auto"/>
        <w:rPr>
          <w:rFonts w:ascii="Arial" w:hAnsi="Arial" w:cs="Arial"/>
          <w:color w:val="auto"/>
        </w:rPr>
      </w:pPr>
      <w:r w:rsidRPr="009A52C5">
        <w:rPr>
          <w:rFonts w:ascii="Arial" w:hAnsi="Arial" w:cs="Arial"/>
          <w:color w:val="auto"/>
        </w:rPr>
        <w:t>An estimate of the likely cost to the Exchequer, based on current estimates of decommissioning costs</w:t>
      </w:r>
      <w:r w:rsidR="001677B2">
        <w:rPr>
          <w:rFonts w:ascii="Arial" w:hAnsi="Arial" w:cs="Arial"/>
          <w:color w:val="auto"/>
        </w:rPr>
        <w:t>,</w:t>
      </w:r>
      <w:r w:rsidRPr="009A52C5">
        <w:rPr>
          <w:rFonts w:ascii="Arial" w:hAnsi="Arial" w:cs="Arial"/>
          <w:color w:val="auto"/>
        </w:rPr>
        <w:t xml:space="preserve"> is £24 billion.</w:t>
      </w:r>
      <w:r w:rsidRPr="009A52C5">
        <w:rPr>
          <w:rStyle w:val="FootnoteReference"/>
          <w:rFonts w:ascii="Arial" w:hAnsi="Arial" w:cs="Arial"/>
          <w:color w:val="auto"/>
        </w:rPr>
        <w:footnoteReference w:id="36"/>
      </w:r>
    </w:p>
    <w:p w14:paraId="78BDE243" w14:textId="77777777" w:rsidR="00243255" w:rsidRPr="009A52C5" w:rsidRDefault="00243255" w:rsidP="00BC7065">
      <w:pPr>
        <w:pStyle w:val="Default"/>
        <w:keepNext/>
        <w:spacing w:line="276" w:lineRule="auto"/>
        <w:outlineLvl w:val="0"/>
        <w:rPr>
          <w:rFonts w:ascii="Arial" w:hAnsi="Arial" w:cs="Arial"/>
          <w:b/>
          <w:bCs/>
          <w:color w:val="auto"/>
        </w:rPr>
      </w:pPr>
      <w:r w:rsidRPr="009A52C5">
        <w:rPr>
          <w:rFonts w:ascii="Arial" w:hAnsi="Arial" w:cs="Arial"/>
          <w:b/>
          <w:bCs/>
          <w:color w:val="auto"/>
        </w:rPr>
        <w:t>Decommissioning Relief Deeds (DRDs)</w:t>
      </w:r>
    </w:p>
    <w:p w14:paraId="279E2751" w14:textId="77777777" w:rsidR="00243255" w:rsidRPr="009A52C5" w:rsidRDefault="00243255" w:rsidP="000A2950">
      <w:pPr>
        <w:pStyle w:val="Default"/>
        <w:spacing w:after="180" w:line="276" w:lineRule="auto"/>
        <w:rPr>
          <w:rFonts w:ascii="Arial" w:hAnsi="Arial" w:cs="Arial"/>
          <w:color w:val="auto"/>
        </w:rPr>
      </w:pPr>
      <w:r w:rsidRPr="009A52C5">
        <w:rPr>
          <w:rFonts w:ascii="Arial" w:hAnsi="Arial" w:cs="Arial"/>
          <w:color w:val="auto"/>
        </w:rPr>
        <w:t>In 2013</w:t>
      </w:r>
      <w:r w:rsidR="00E008A6" w:rsidRPr="009A52C5">
        <w:rPr>
          <w:rFonts w:ascii="Arial" w:hAnsi="Arial" w:cs="Arial"/>
          <w:color w:val="auto"/>
        </w:rPr>
        <w:t>,</w:t>
      </w:r>
      <w:r w:rsidRPr="009A52C5">
        <w:rPr>
          <w:rFonts w:ascii="Arial" w:hAnsi="Arial" w:cs="Arial"/>
          <w:color w:val="auto"/>
        </w:rPr>
        <w:t xml:space="preserve"> </w:t>
      </w:r>
      <w:r w:rsidR="00955C26" w:rsidRPr="009A52C5">
        <w:rPr>
          <w:rFonts w:ascii="Arial" w:hAnsi="Arial" w:cs="Arial"/>
          <w:color w:val="auto"/>
        </w:rPr>
        <w:t xml:space="preserve">following </w:t>
      </w:r>
      <w:r w:rsidR="003D26C2" w:rsidRPr="009A52C5">
        <w:rPr>
          <w:rFonts w:ascii="Arial" w:hAnsi="Arial" w:cs="Arial"/>
          <w:color w:val="auto"/>
        </w:rPr>
        <w:t>extensive</w:t>
      </w:r>
      <w:r w:rsidR="00955C26" w:rsidRPr="009A52C5">
        <w:rPr>
          <w:rFonts w:ascii="Arial" w:hAnsi="Arial" w:cs="Arial"/>
          <w:color w:val="auto"/>
        </w:rPr>
        <w:t xml:space="preserve"> discussions with industry, </w:t>
      </w:r>
      <w:r w:rsidRPr="009A52C5">
        <w:rPr>
          <w:rFonts w:ascii="Arial" w:hAnsi="Arial" w:cs="Arial"/>
          <w:color w:val="auto"/>
        </w:rPr>
        <w:t xml:space="preserve">the government introduced legislation giving it the statutory authority to sign contracts (DRDs) with companies operating in the UKCS. The aim of the DRD is to provide certainty over </w:t>
      </w:r>
      <w:r w:rsidR="00E008A6" w:rsidRPr="009A52C5">
        <w:rPr>
          <w:rFonts w:ascii="Arial" w:hAnsi="Arial" w:cs="Arial"/>
          <w:color w:val="auto"/>
        </w:rPr>
        <w:t xml:space="preserve">the availability of </w:t>
      </w:r>
      <w:r w:rsidRPr="009A52C5">
        <w:rPr>
          <w:rFonts w:ascii="Arial" w:hAnsi="Arial" w:cs="Arial"/>
          <w:color w:val="auto"/>
        </w:rPr>
        <w:t>decommissioning tax relief</w:t>
      </w:r>
      <w:r w:rsidR="006570FF" w:rsidRPr="009A52C5">
        <w:rPr>
          <w:rFonts w:ascii="Arial" w:hAnsi="Arial" w:cs="Arial"/>
          <w:color w:val="auto"/>
        </w:rPr>
        <w:t xml:space="preserve"> for the purposes of putting up security against the risk of default.</w:t>
      </w:r>
    </w:p>
    <w:p w14:paraId="79571561" w14:textId="77777777" w:rsidR="00243255" w:rsidRPr="009A52C5" w:rsidRDefault="00243255" w:rsidP="000A2950">
      <w:pPr>
        <w:pStyle w:val="Default"/>
        <w:spacing w:after="180" w:line="276" w:lineRule="auto"/>
        <w:rPr>
          <w:rFonts w:ascii="Arial" w:hAnsi="Arial" w:cs="Arial"/>
          <w:color w:val="auto"/>
        </w:rPr>
      </w:pPr>
      <w:r w:rsidRPr="009A52C5">
        <w:rPr>
          <w:rFonts w:ascii="Arial" w:hAnsi="Arial" w:cs="Arial"/>
          <w:color w:val="auto"/>
        </w:rPr>
        <w:t>The DRD works by guaranteeing the tax relief due on decommissioning expenditure, based on the relief available at Finance Act 2013</w:t>
      </w:r>
      <w:r w:rsidR="00371023" w:rsidRPr="009A52C5">
        <w:rPr>
          <w:rFonts w:ascii="Arial" w:hAnsi="Arial" w:cs="Arial"/>
          <w:color w:val="auto"/>
        </w:rPr>
        <w:t xml:space="preserve"> (FA13)</w:t>
      </w:r>
      <w:r w:rsidRPr="009A52C5">
        <w:rPr>
          <w:rFonts w:ascii="Arial" w:hAnsi="Arial" w:cs="Arial"/>
          <w:color w:val="auto"/>
        </w:rPr>
        <w:t xml:space="preserve">. It </w:t>
      </w:r>
      <w:r w:rsidR="00B85D04" w:rsidRPr="009A52C5">
        <w:rPr>
          <w:rFonts w:ascii="Arial" w:hAnsi="Arial" w:cs="Arial"/>
          <w:color w:val="auto"/>
        </w:rPr>
        <w:t xml:space="preserve">allows </w:t>
      </w:r>
      <w:r w:rsidRPr="009A52C5">
        <w:rPr>
          <w:rFonts w:ascii="Arial" w:hAnsi="Arial" w:cs="Arial"/>
          <w:color w:val="auto"/>
        </w:rPr>
        <w:t>a</w:t>
      </w:r>
      <w:r w:rsidR="00B85D04" w:rsidRPr="009A52C5">
        <w:rPr>
          <w:rFonts w:ascii="Arial" w:hAnsi="Arial" w:cs="Arial"/>
          <w:color w:val="auto"/>
        </w:rPr>
        <w:t xml:space="preserve"> company to claim a</w:t>
      </w:r>
      <w:r w:rsidRPr="009A52C5">
        <w:rPr>
          <w:rFonts w:ascii="Arial" w:hAnsi="Arial" w:cs="Arial"/>
          <w:color w:val="auto"/>
        </w:rPr>
        <w:t xml:space="preserve"> payment from the Exchequer</w:t>
      </w:r>
      <w:r w:rsidR="00371023" w:rsidRPr="009A52C5">
        <w:rPr>
          <w:rFonts w:ascii="Arial" w:hAnsi="Arial" w:cs="Arial"/>
          <w:color w:val="auto"/>
        </w:rPr>
        <w:t xml:space="preserve"> if</w:t>
      </w:r>
      <w:r w:rsidR="002E2753" w:rsidRPr="009A52C5">
        <w:rPr>
          <w:rFonts w:ascii="Arial" w:hAnsi="Arial" w:cs="Arial"/>
          <w:color w:val="auto"/>
        </w:rPr>
        <w:t xml:space="preserve">, as a result of </w:t>
      </w:r>
      <w:r w:rsidRPr="009A52C5">
        <w:rPr>
          <w:rFonts w:ascii="Arial" w:hAnsi="Arial" w:cs="Arial"/>
          <w:color w:val="auto"/>
        </w:rPr>
        <w:t xml:space="preserve">changes to the tax </w:t>
      </w:r>
      <w:r w:rsidR="002E2753" w:rsidRPr="009A52C5">
        <w:rPr>
          <w:rFonts w:ascii="Arial" w:hAnsi="Arial" w:cs="Arial"/>
          <w:color w:val="auto"/>
        </w:rPr>
        <w:t xml:space="preserve">system, the </w:t>
      </w:r>
      <w:r w:rsidRPr="009A52C5">
        <w:rPr>
          <w:rFonts w:ascii="Arial" w:hAnsi="Arial" w:cs="Arial"/>
          <w:color w:val="auto"/>
        </w:rPr>
        <w:t>relief available</w:t>
      </w:r>
      <w:r w:rsidR="002E2753" w:rsidRPr="009A52C5">
        <w:rPr>
          <w:rFonts w:ascii="Arial" w:hAnsi="Arial" w:cs="Arial"/>
          <w:color w:val="auto"/>
        </w:rPr>
        <w:t xml:space="preserve"> to the company on its</w:t>
      </w:r>
      <w:r w:rsidRPr="009A52C5">
        <w:rPr>
          <w:rFonts w:ascii="Arial" w:hAnsi="Arial" w:cs="Arial"/>
          <w:color w:val="auto"/>
        </w:rPr>
        <w:t xml:space="preserve"> decommissioning expenditure</w:t>
      </w:r>
      <w:r w:rsidR="002E2753" w:rsidRPr="009A52C5">
        <w:rPr>
          <w:rFonts w:ascii="Arial" w:hAnsi="Arial" w:cs="Arial"/>
          <w:color w:val="auto"/>
        </w:rPr>
        <w:t xml:space="preserve"> is less than that which would have been due </w:t>
      </w:r>
      <w:r w:rsidR="00D202DC" w:rsidRPr="009A52C5">
        <w:rPr>
          <w:rFonts w:ascii="Arial" w:hAnsi="Arial" w:cs="Arial"/>
          <w:color w:val="auto"/>
        </w:rPr>
        <w:t xml:space="preserve">under the rules as </w:t>
      </w:r>
      <w:r w:rsidR="002E2753" w:rsidRPr="009A52C5">
        <w:rPr>
          <w:rFonts w:ascii="Arial" w:hAnsi="Arial" w:cs="Arial"/>
          <w:color w:val="auto"/>
        </w:rPr>
        <w:t>at FA13</w:t>
      </w:r>
      <w:r w:rsidRPr="009A52C5">
        <w:rPr>
          <w:rFonts w:ascii="Arial" w:hAnsi="Arial" w:cs="Arial"/>
          <w:color w:val="auto"/>
        </w:rPr>
        <w:t xml:space="preserve"> (</w:t>
      </w:r>
      <w:r w:rsidR="002E2753" w:rsidRPr="009A52C5">
        <w:rPr>
          <w:rFonts w:ascii="Arial" w:hAnsi="Arial" w:cs="Arial"/>
          <w:color w:val="auto"/>
        </w:rPr>
        <w:t xml:space="preserve">However, this does not apply if the relief is less </w:t>
      </w:r>
      <w:r w:rsidRPr="009A52C5">
        <w:rPr>
          <w:rFonts w:ascii="Arial" w:hAnsi="Arial" w:cs="Arial"/>
          <w:color w:val="auto"/>
        </w:rPr>
        <w:t>due to changes in tax rates</w:t>
      </w:r>
      <w:r w:rsidR="00371023" w:rsidRPr="009A52C5">
        <w:rPr>
          <w:rFonts w:ascii="Arial" w:hAnsi="Arial" w:cs="Arial"/>
          <w:color w:val="auto"/>
        </w:rPr>
        <w:t>.</w:t>
      </w:r>
      <w:r w:rsidRPr="009A52C5">
        <w:rPr>
          <w:rFonts w:ascii="Arial" w:hAnsi="Arial" w:cs="Arial"/>
          <w:color w:val="auto"/>
        </w:rPr>
        <w:t>) The DRD will also pay out to a company that picks up the decommissioning liabilities of another company that has defaulted under its Petroleum Act 1988 obligations</w:t>
      </w:r>
      <w:r w:rsidR="00D202DC" w:rsidRPr="009A52C5">
        <w:rPr>
          <w:rFonts w:ascii="Arial" w:hAnsi="Arial" w:cs="Arial"/>
          <w:color w:val="auto"/>
        </w:rPr>
        <w:t xml:space="preserve"> –</w:t>
      </w:r>
      <w:r w:rsidR="008F37BC" w:rsidRPr="009A52C5">
        <w:rPr>
          <w:rFonts w:ascii="Arial" w:hAnsi="Arial" w:cs="Arial"/>
          <w:color w:val="auto"/>
        </w:rPr>
        <w:t xml:space="preserve"> for example if the company becomes insolvent</w:t>
      </w:r>
      <w:r w:rsidRPr="009A52C5">
        <w:rPr>
          <w:rFonts w:ascii="Arial" w:hAnsi="Arial" w:cs="Arial"/>
          <w:color w:val="auto"/>
        </w:rPr>
        <w:t xml:space="preserve"> </w:t>
      </w:r>
      <w:r w:rsidR="00D202DC" w:rsidRPr="009A52C5">
        <w:rPr>
          <w:rFonts w:ascii="Arial" w:hAnsi="Arial" w:cs="Arial"/>
          <w:color w:val="auto"/>
        </w:rPr>
        <w:t xml:space="preserve">– </w:t>
      </w:r>
      <w:r w:rsidRPr="009A52C5">
        <w:rPr>
          <w:rFonts w:ascii="Arial" w:hAnsi="Arial" w:cs="Arial"/>
          <w:color w:val="auto"/>
        </w:rPr>
        <w:t xml:space="preserve">to ensure </w:t>
      </w:r>
      <w:r w:rsidR="00D202DC" w:rsidRPr="009A52C5">
        <w:rPr>
          <w:rFonts w:ascii="Arial" w:hAnsi="Arial" w:cs="Arial"/>
          <w:color w:val="auto"/>
        </w:rPr>
        <w:t xml:space="preserve">that </w:t>
      </w:r>
      <w:r w:rsidRPr="009A52C5">
        <w:rPr>
          <w:rFonts w:ascii="Arial" w:hAnsi="Arial" w:cs="Arial"/>
          <w:color w:val="auto"/>
        </w:rPr>
        <w:t xml:space="preserve">the company incurring the default expenditure is able to get relief. This provides industry with certainty over the availability of decommissioning tax relief in future years and has unlocked additional </w:t>
      </w:r>
      <w:r w:rsidR="00B43A21" w:rsidRPr="009A52C5">
        <w:rPr>
          <w:rFonts w:ascii="Arial" w:hAnsi="Arial" w:cs="Arial"/>
          <w:color w:val="auto"/>
        </w:rPr>
        <w:t>investment capital in the UKCS</w:t>
      </w:r>
      <w:r w:rsidR="008F37BC" w:rsidRPr="009A52C5">
        <w:rPr>
          <w:rFonts w:ascii="Arial" w:hAnsi="Arial" w:cs="Arial"/>
          <w:color w:val="auto"/>
        </w:rPr>
        <w:t xml:space="preserve"> by allowing companies to provide </w:t>
      </w:r>
      <w:r w:rsidR="002D47B9" w:rsidRPr="009A52C5">
        <w:rPr>
          <w:rFonts w:ascii="Arial" w:hAnsi="Arial" w:cs="Arial"/>
          <w:color w:val="auto"/>
        </w:rPr>
        <w:t xml:space="preserve">security </w:t>
      </w:r>
      <w:r w:rsidR="008F37BC" w:rsidRPr="009A52C5">
        <w:rPr>
          <w:rFonts w:ascii="Arial" w:hAnsi="Arial" w:cs="Arial"/>
          <w:color w:val="auto"/>
        </w:rPr>
        <w:t>for their decommissioning liabilities on a post-tax basis</w:t>
      </w:r>
      <w:r w:rsidR="00B43A21" w:rsidRPr="009A52C5">
        <w:rPr>
          <w:rFonts w:ascii="Arial" w:hAnsi="Arial" w:cs="Arial"/>
          <w:color w:val="auto"/>
        </w:rPr>
        <w:t>.</w:t>
      </w:r>
    </w:p>
    <w:p w14:paraId="1CDC2AF8" w14:textId="4DEFAC33" w:rsidR="008F37BC" w:rsidRPr="009A52C5" w:rsidRDefault="002D47B9" w:rsidP="00B43A21">
      <w:pPr>
        <w:pStyle w:val="Default"/>
        <w:spacing w:after="180" w:line="276" w:lineRule="auto"/>
        <w:rPr>
          <w:rFonts w:ascii="Arial" w:hAnsi="Arial" w:cs="Arial"/>
          <w:color w:val="auto"/>
        </w:rPr>
      </w:pPr>
      <w:r w:rsidRPr="009A52C5">
        <w:rPr>
          <w:rFonts w:ascii="Arial" w:hAnsi="Arial" w:cs="Arial"/>
          <w:color w:val="auto"/>
        </w:rPr>
        <w:t xml:space="preserve">Each </w:t>
      </w:r>
      <w:r w:rsidR="008F37BC" w:rsidRPr="009A52C5">
        <w:rPr>
          <w:rFonts w:ascii="Arial" w:hAnsi="Arial" w:cs="Arial"/>
          <w:color w:val="auto"/>
        </w:rPr>
        <w:t xml:space="preserve">year the Treasury reports to Parliament the number of </w:t>
      </w:r>
      <w:r w:rsidRPr="009A52C5">
        <w:rPr>
          <w:rFonts w:ascii="Arial" w:hAnsi="Arial" w:cs="Arial"/>
          <w:color w:val="auto"/>
        </w:rPr>
        <w:t xml:space="preserve">Deeds </w:t>
      </w:r>
      <w:r w:rsidR="008F37BC" w:rsidRPr="009A52C5">
        <w:rPr>
          <w:rFonts w:ascii="Arial" w:hAnsi="Arial" w:cs="Arial"/>
          <w:color w:val="auto"/>
        </w:rPr>
        <w:t xml:space="preserve">it has entered into that year, the total number of DRDs in force, the number </w:t>
      </w:r>
      <w:r w:rsidR="00277187" w:rsidRPr="009A52C5">
        <w:rPr>
          <w:rFonts w:ascii="Arial" w:hAnsi="Arial" w:cs="Arial"/>
          <w:color w:val="auto"/>
        </w:rPr>
        <w:t xml:space="preserve">and amounts </w:t>
      </w:r>
      <w:r w:rsidRPr="009A52C5">
        <w:rPr>
          <w:rFonts w:ascii="Arial" w:hAnsi="Arial" w:cs="Arial"/>
          <w:color w:val="auto"/>
        </w:rPr>
        <w:t xml:space="preserve">of any payments </w:t>
      </w:r>
      <w:r w:rsidR="00277187" w:rsidRPr="009A52C5">
        <w:rPr>
          <w:rFonts w:ascii="Arial" w:hAnsi="Arial" w:cs="Arial"/>
          <w:color w:val="auto"/>
        </w:rPr>
        <w:t>made</w:t>
      </w:r>
      <w:r w:rsidRPr="009A52C5">
        <w:rPr>
          <w:rFonts w:ascii="Arial" w:hAnsi="Arial" w:cs="Arial"/>
          <w:color w:val="auto"/>
        </w:rPr>
        <w:t xml:space="preserve"> under the Deeds</w:t>
      </w:r>
      <w:r w:rsidR="00277187" w:rsidRPr="009A52C5">
        <w:rPr>
          <w:rFonts w:ascii="Arial" w:hAnsi="Arial" w:cs="Arial"/>
          <w:color w:val="auto"/>
        </w:rPr>
        <w:t xml:space="preserve"> and an estimate of the maximum amount liable to be paid</w:t>
      </w:r>
      <w:r w:rsidR="00D11E74">
        <w:rPr>
          <w:rFonts w:ascii="Arial" w:hAnsi="Arial" w:cs="Arial"/>
          <w:color w:val="auto"/>
        </w:rPr>
        <w:t>.</w:t>
      </w:r>
      <w:r w:rsidR="003E506E" w:rsidRPr="009A52C5">
        <w:rPr>
          <w:rStyle w:val="FootnoteReference"/>
          <w:rFonts w:ascii="Arial" w:hAnsi="Arial" w:cs="Arial"/>
          <w:color w:val="auto"/>
        </w:rPr>
        <w:footnoteReference w:id="37"/>
      </w:r>
    </w:p>
    <w:p w14:paraId="456921F8" w14:textId="77777777" w:rsidR="00243255" w:rsidRPr="009A52C5" w:rsidRDefault="00243255" w:rsidP="00BC7065">
      <w:pPr>
        <w:pStyle w:val="Default"/>
        <w:keepNext/>
        <w:spacing w:line="276" w:lineRule="auto"/>
        <w:outlineLvl w:val="0"/>
        <w:rPr>
          <w:rFonts w:ascii="Arial" w:hAnsi="Arial" w:cs="Arial"/>
          <w:color w:val="auto"/>
        </w:rPr>
      </w:pPr>
      <w:r w:rsidRPr="009A52C5">
        <w:rPr>
          <w:rFonts w:ascii="Arial" w:hAnsi="Arial" w:cs="Arial"/>
          <w:b/>
          <w:bCs/>
          <w:color w:val="auto"/>
        </w:rPr>
        <w:t xml:space="preserve">Looking </w:t>
      </w:r>
      <w:r w:rsidR="006C752F" w:rsidRPr="009A52C5">
        <w:rPr>
          <w:rFonts w:ascii="Arial" w:hAnsi="Arial" w:cs="Arial"/>
          <w:b/>
          <w:bCs/>
          <w:color w:val="auto"/>
        </w:rPr>
        <w:t>ahead</w:t>
      </w:r>
    </w:p>
    <w:p w14:paraId="6D48F192" w14:textId="77777777" w:rsidR="006C752F" w:rsidRPr="009A52C5" w:rsidRDefault="006C752F" w:rsidP="006C752F">
      <w:pPr>
        <w:pStyle w:val="Default"/>
        <w:spacing w:after="180" w:line="276" w:lineRule="auto"/>
        <w:rPr>
          <w:rFonts w:ascii="Arial" w:hAnsi="Arial" w:cs="Arial"/>
          <w:color w:val="auto"/>
        </w:rPr>
      </w:pPr>
      <w:r w:rsidRPr="009A52C5">
        <w:rPr>
          <w:rFonts w:ascii="Arial" w:hAnsi="Arial" w:cs="Arial"/>
          <w:color w:val="auto"/>
        </w:rPr>
        <w:t xml:space="preserve">In December 2014, the government published </w:t>
      </w:r>
      <w:r w:rsidRPr="009A52C5">
        <w:rPr>
          <w:rFonts w:ascii="Arial" w:hAnsi="Arial" w:cs="Arial"/>
          <w:i/>
          <w:color w:val="auto"/>
        </w:rPr>
        <w:t>Driving Investment</w:t>
      </w:r>
      <w:r w:rsidRPr="009A52C5">
        <w:rPr>
          <w:rFonts w:ascii="Arial" w:hAnsi="Arial" w:cs="Arial"/>
          <w:color w:val="auto"/>
        </w:rPr>
        <w:t xml:space="preserve"> – </w:t>
      </w:r>
      <w:r w:rsidRPr="009A52C5">
        <w:rPr>
          <w:rFonts w:ascii="Arial" w:hAnsi="Arial" w:cs="Arial"/>
          <w:i/>
          <w:color w:val="auto"/>
        </w:rPr>
        <w:t>a long-term plan to reform the oil and gas fiscal regime.</w:t>
      </w:r>
      <w:r w:rsidRPr="009A52C5">
        <w:rPr>
          <w:rStyle w:val="FootnoteReference"/>
          <w:rFonts w:ascii="Arial" w:hAnsi="Arial" w:cs="Arial"/>
          <w:color w:val="auto"/>
        </w:rPr>
        <w:footnoteReference w:id="38"/>
      </w:r>
      <w:r w:rsidRPr="009A52C5">
        <w:rPr>
          <w:rFonts w:ascii="Arial" w:hAnsi="Arial" w:cs="Arial"/>
          <w:color w:val="auto"/>
        </w:rPr>
        <w:t xml:space="preserve"> The conclusion was that, although the fundamentals of the fiscal regime remained sound, significant change was needed within the ring fence in order to continue to attract investment. Some of the highlights from the plan are set out below:</w:t>
      </w:r>
    </w:p>
    <w:p w14:paraId="22685D03" w14:textId="77777777" w:rsidR="00243255" w:rsidRPr="00906EBE" w:rsidRDefault="00243255" w:rsidP="00BC7065">
      <w:pPr>
        <w:pStyle w:val="Default"/>
        <w:keepNext/>
        <w:spacing w:line="276" w:lineRule="auto"/>
        <w:outlineLvl w:val="0"/>
        <w:rPr>
          <w:rFonts w:ascii="Arial" w:hAnsi="Arial" w:cs="Arial"/>
          <w:b/>
          <w:bCs/>
          <w:iCs/>
          <w:color w:val="auto"/>
        </w:rPr>
      </w:pPr>
      <w:r w:rsidRPr="00906EBE">
        <w:rPr>
          <w:rFonts w:ascii="Arial" w:hAnsi="Arial" w:cs="Arial"/>
          <w:b/>
          <w:bCs/>
          <w:iCs/>
          <w:color w:val="auto"/>
        </w:rPr>
        <w:t>Policy-making principles</w:t>
      </w:r>
    </w:p>
    <w:p w14:paraId="18C4F005" w14:textId="77777777" w:rsidR="001E6D4B" w:rsidRPr="00906EBE" w:rsidRDefault="001E6D4B" w:rsidP="000A2950">
      <w:pPr>
        <w:pStyle w:val="Default"/>
        <w:spacing w:after="180" w:line="276" w:lineRule="auto"/>
        <w:rPr>
          <w:rFonts w:ascii="Arial" w:hAnsi="Arial" w:cs="Arial"/>
          <w:color w:val="auto"/>
        </w:rPr>
      </w:pPr>
      <w:r w:rsidRPr="00906EBE">
        <w:rPr>
          <w:rFonts w:ascii="Arial" w:hAnsi="Arial" w:cs="Arial"/>
          <w:i/>
          <w:color w:val="auto"/>
        </w:rPr>
        <w:t>Driving Investment</w:t>
      </w:r>
      <w:r w:rsidRPr="00906EBE">
        <w:rPr>
          <w:rFonts w:ascii="Arial" w:hAnsi="Arial" w:cs="Arial"/>
          <w:color w:val="auto"/>
        </w:rPr>
        <w:t xml:space="preserve"> established three principles for future policy-making, in order to balance the government’s twin objectives of maximising economic recovery of its hydrocarbon resources and achieving a fair return for the nation on those resources. Firstly, the overall tax burden would need to fall as the basin matured and new projects became ever more marginal. Secondly, when making judgments about fiscal policy, the government would consider the wider economic benefits of oil and gas production, such as jobs, investment and exports, in addition to revenues. Finally, when judging what constitutes a fair return for the nation, the government would take account of the global competitiveness of commercial opportunities in the UK and UKCS and take account of both commodity prices and costs. The government reaffirmed its commitment to these principles at Autumn Statement 2016.</w:t>
      </w:r>
      <w:r w:rsidRPr="00906EBE">
        <w:rPr>
          <w:rStyle w:val="FootnoteReference"/>
          <w:rFonts w:ascii="Arial" w:hAnsi="Arial" w:cs="Arial"/>
          <w:color w:val="auto"/>
        </w:rPr>
        <w:footnoteReference w:id="39"/>
      </w:r>
    </w:p>
    <w:p w14:paraId="56389E92" w14:textId="77777777" w:rsidR="00243255" w:rsidRPr="00906EBE" w:rsidRDefault="00243255" w:rsidP="000A2950">
      <w:pPr>
        <w:pStyle w:val="Default"/>
        <w:spacing w:after="180" w:line="276" w:lineRule="auto"/>
        <w:rPr>
          <w:rFonts w:ascii="Arial" w:hAnsi="Arial" w:cs="Arial"/>
          <w:color w:val="auto"/>
        </w:rPr>
      </w:pPr>
      <w:r w:rsidRPr="00906EBE">
        <w:rPr>
          <w:rFonts w:ascii="Arial" w:hAnsi="Arial" w:cs="Arial"/>
          <w:b/>
          <w:color w:val="auto"/>
        </w:rPr>
        <w:t>Exploration</w:t>
      </w:r>
      <w:r w:rsidRPr="00906EBE">
        <w:rPr>
          <w:rFonts w:ascii="Arial" w:hAnsi="Arial" w:cs="Arial"/>
          <w:color w:val="auto"/>
        </w:rPr>
        <w:t xml:space="preserve"> - </w:t>
      </w:r>
      <w:r w:rsidRPr="00906EBE">
        <w:rPr>
          <w:rFonts w:ascii="Arial" w:hAnsi="Arial" w:cs="Arial"/>
          <w:i/>
          <w:color w:val="auto"/>
        </w:rPr>
        <w:t>Driving Investment</w:t>
      </w:r>
      <w:r w:rsidRPr="00906EBE">
        <w:rPr>
          <w:rFonts w:ascii="Arial" w:hAnsi="Arial" w:cs="Arial"/>
          <w:color w:val="auto"/>
        </w:rPr>
        <w:t xml:space="preserve"> noted that exploration activity in the UKCS had been falling for some time. In </w:t>
      </w:r>
      <w:r w:rsidR="008B7F05" w:rsidRPr="00906EBE">
        <w:rPr>
          <w:rFonts w:ascii="Arial" w:hAnsi="Arial" w:cs="Arial"/>
          <w:color w:val="auto"/>
        </w:rPr>
        <w:t>2016</w:t>
      </w:r>
      <w:r w:rsidRPr="00906EBE">
        <w:rPr>
          <w:rFonts w:ascii="Arial" w:hAnsi="Arial" w:cs="Arial"/>
          <w:color w:val="auto"/>
        </w:rPr>
        <w:t>, the government announced £20 million funding for seismic surveys, in order to improve understanding of under-explored areas of the UKCS. The data from these surveys has been made available to industry and academia.</w:t>
      </w:r>
      <w:r w:rsidRPr="00906EBE">
        <w:rPr>
          <w:rFonts w:ascii="Arial" w:hAnsi="Arial" w:cs="Arial"/>
          <w:vertAlign w:val="superscript"/>
        </w:rPr>
        <w:footnoteReference w:id="40"/>
      </w:r>
    </w:p>
    <w:p w14:paraId="55282E11" w14:textId="77777777" w:rsidR="00FC56DB" w:rsidRPr="00906EBE" w:rsidRDefault="00FC56DB" w:rsidP="000A2950">
      <w:pPr>
        <w:pStyle w:val="Default"/>
        <w:spacing w:after="180" w:line="276" w:lineRule="auto"/>
        <w:rPr>
          <w:rFonts w:ascii="Arial" w:hAnsi="Arial" w:cs="Arial"/>
          <w:color w:val="auto"/>
        </w:rPr>
      </w:pPr>
      <w:r w:rsidRPr="00906EBE">
        <w:rPr>
          <w:rFonts w:ascii="Arial" w:hAnsi="Arial" w:cs="Arial"/>
          <w:b/>
          <w:color w:val="auto"/>
        </w:rPr>
        <w:t xml:space="preserve">Infrastructure </w:t>
      </w:r>
      <w:r w:rsidRPr="00906EBE">
        <w:rPr>
          <w:rFonts w:ascii="Arial" w:hAnsi="Arial" w:cs="Arial"/>
          <w:color w:val="auto"/>
        </w:rPr>
        <w:t xml:space="preserve">- </w:t>
      </w:r>
      <w:r w:rsidR="00D1692C" w:rsidRPr="00906EBE">
        <w:rPr>
          <w:rFonts w:ascii="Arial" w:hAnsi="Arial" w:cs="Arial"/>
          <w:color w:val="auto"/>
        </w:rPr>
        <w:t>The government considered options for reforming the fiscal treatment of infrastructure and consulted with industry in 2015. The government announced at Budget 2016 that it would extend the investment and cluster area allowances to cover tariff income.</w:t>
      </w:r>
    </w:p>
    <w:p w14:paraId="017C12A7" w14:textId="77777777" w:rsidR="00094ACB" w:rsidRPr="00906EBE" w:rsidRDefault="00904D2F" w:rsidP="000A2950">
      <w:pPr>
        <w:pStyle w:val="Default"/>
        <w:spacing w:after="180" w:line="276" w:lineRule="auto"/>
        <w:rPr>
          <w:rFonts w:ascii="Arial" w:hAnsi="Arial" w:cs="Arial"/>
          <w:color w:val="auto"/>
        </w:rPr>
      </w:pPr>
      <w:r w:rsidRPr="00906EBE">
        <w:rPr>
          <w:rFonts w:ascii="Arial" w:hAnsi="Arial" w:cs="Arial"/>
          <w:b/>
          <w:color w:val="auto"/>
        </w:rPr>
        <w:t>Decommissioning</w:t>
      </w:r>
      <w:r w:rsidRPr="00906EBE">
        <w:rPr>
          <w:rFonts w:ascii="Arial" w:hAnsi="Arial" w:cs="Arial"/>
          <w:color w:val="auto"/>
        </w:rPr>
        <w:t xml:space="preserve"> - </w:t>
      </w:r>
      <w:r w:rsidR="00B64D2A" w:rsidRPr="00906EBE">
        <w:rPr>
          <w:rFonts w:ascii="Arial" w:hAnsi="Arial" w:cs="Arial"/>
          <w:color w:val="auto"/>
        </w:rPr>
        <w:t>At Budget 2016, the government provided certainty that companies will be able to access tax relief on their costs when they retain decommissioning liabilities for an asset after a sale, to encourage new entrants for late-life assets and the development of late-life business models. This was provided by an HMRC technical note,</w:t>
      </w:r>
      <w:r w:rsidR="00A33005" w:rsidRPr="00906EBE">
        <w:rPr>
          <w:rStyle w:val="FootnoteReference"/>
          <w:rFonts w:ascii="Arial" w:hAnsi="Arial" w:cs="Arial"/>
          <w:color w:val="auto"/>
        </w:rPr>
        <w:footnoteReference w:id="41"/>
      </w:r>
      <w:r w:rsidR="00B64D2A" w:rsidRPr="00906EBE">
        <w:rPr>
          <w:rFonts w:ascii="Arial" w:hAnsi="Arial" w:cs="Arial"/>
          <w:color w:val="auto"/>
        </w:rPr>
        <w:t xml:space="preserve"> published alongside the Budget. The government also announced it would build on the new decommissioning powers of the Oil and Gas Authority (OGA) by undertaking further work with the OGA and industry to reduce overall decommissioning costs, to deliver significant savings for industry and the Exchequer. If significant progress could be made, the government would explore whether decommissioning tax relief could better encourage transfers of late-life assets.</w:t>
      </w:r>
    </w:p>
    <w:p w14:paraId="0FE4474B" w14:textId="77777777" w:rsidR="000932E4" w:rsidRPr="0059555C" w:rsidRDefault="00C2480F"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The OGA Levy</w:t>
      </w:r>
    </w:p>
    <w:p w14:paraId="438FCBAF" w14:textId="4470CDAF" w:rsidR="00D06FA4" w:rsidRPr="00906EBE" w:rsidRDefault="00D06FA4" w:rsidP="000A2950">
      <w:pPr>
        <w:pStyle w:val="Default"/>
        <w:spacing w:after="180" w:line="276" w:lineRule="auto"/>
        <w:rPr>
          <w:rFonts w:ascii="Arial" w:hAnsi="Arial" w:cs="Arial"/>
        </w:rPr>
      </w:pPr>
      <w:r w:rsidRPr="00906EBE">
        <w:rPr>
          <w:rFonts w:ascii="Arial" w:hAnsi="Arial" w:cs="Arial"/>
        </w:rPr>
        <w:t xml:space="preserve">The OGA </w:t>
      </w:r>
      <w:r w:rsidR="00D11E74">
        <w:rPr>
          <w:rFonts w:ascii="Arial" w:hAnsi="Arial" w:cs="Arial"/>
        </w:rPr>
        <w:t xml:space="preserve">is a </w:t>
      </w:r>
      <w:r w:rsidRPr="00906EBE">
        <w:rPr>
          <w:rFonts w:ascii="Arial" w:hAnsi="Arial" w:cs="Arial"/>
        </w:rPr>
        <w:t xml:space="preserve">Government-owned not-for-profit company largely funded by fees </w:t>
      </w:r>
      <w:r w:rsidR="00C2480F" w:rsidRPr="00906EBE">
        <w:rPr>
          <w:rFonts w:ascii="Arial" w:hAnsi="Arial" w:cs="Arial"/>
        </w:rPr>
        <w:t xml:space="preserve">for specific activities </w:t>
      </w:r>
      <w:r w:rsidRPr="00906EBE">
        <w:rPr>
          <w:rFonts w:ascii="Arial" w:hAnsi="Arial" w:cs="Arial"/>
        </w:rPr>
        <w:t xml:space="preserve">and </w:t>
      </w:r>
      <w:r w:rsidR="00C2480F" w:rsidRPr="00906EBE">
        <w:rPr>
          <w:rFonts w:ascii="Arial" w:hAnsi="Arial" w:cs="Arial"/>
        </w:rPr>
        <w:t xml:space="preserve">by </w:t>
      </w:r>
      <w:r w:rsidRPr="00906EBE">
        <w:rPr>
          <w:rFonts w:ascii="Arial" w:hAnsi="Arial" w:cs="Arial"/>
        </w:rPr>
        <w:t xml:space="preserve">a </w:t>
      </w:r>
      <w:r w:rsidR="00C2480F" w:rsidRPr="00906EBE">
        <w:rPr>
          <w:rFonts w:ascii="Arial" w:hAnsi="Arial" w:cs="Arial"/>
        </w:rPr>
        <w:t xml:space="preserve">per-licence </w:t>
      </w:r>
      <w:r w:rsidRPr="00906EBE">
        <w:rPr>
          <w:rFonts w:ascii="Arial" w:hAnsi="Arial" w:cs="Arial"/>
        </w:rPr>
        <w:t xml:space="preserve">levy, known as the OGA Levy, on </w:t>
      </w:r>
      <w:r w:rsidR="00B57213" w:rsidRPr="00906EBE">
        <w:rPr>
          <w:rFonts w:ascii="Arial" w:hAnsi="Arial" w:cs="Arial"/>
        </w:rPr>
        <w:t>offshore licence holders apportioned between in-production (89%) and pre-production (11%) licence holders</w:t>
      </w:r>
      <w:r w:rsidRPr="00906EBE">
        <w:rPr>
          <w:rFonts w:ascii="Arial" w:hAnsi="Arial" w:cs="Arial"/>
        </w:rPr>
        <w:t>. The OGA Levy was introduced with effect from 1 October 2015</w:t>
      </w:r>
      <w:r w:rsidR="00D11E74">
        <w:rPr>
          <w:rFonts w:ascii="Arial" w:hAnsi="Arial" w:cs="Arial"/>
        </w:rPr>
        <w:t>.</w:t>
      </w:r>
      <w:r w:rsidRPr="00906EBE">
        <w:rPr>
          <w:rStyle w:val="FootnoteReference"/>
          <w:rFonts w:ascii="Arial" w:hAnsi="Arial" w:cs="Arial"/>
        </w:rPr>
        <w:footnoteReference w:id="42"/>
      </w:r>
      <w:r w:rsidRPr="00906EBE">
        <w:rPr>
          <w:rFonts w:ascii="Arial" w:hAnsi="Arial" w:cs="Arial"/>
        </w:rPr>
        <w:t xml:space="preserve"> </w:t>
      </w:r>
      <w:r w:rsidR="00156EC6">
        <w:rPr>
          <w:rFonts w:ascii="Arial" w:hAnsi="Arial" w:cs="Arial"/>
        </w:rPr>
        <w:t>The OGA reports on Levy income in its annual accounts.</w:t>
      </w:r>
    </w:p>
    <w:p w14:paraId="7E85C9D5" w14:textId="24832FDC" w:rsidR="000932E4" w:rsidRPr="00DE1059" w:rsidRDefault="000932E4"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 xml:space="preserve">Payments to </w:t>
      </w:r>
      <w:r w:rsidR="000E7763" w:rsidRPr="0059555C">
        <w:rPr>
          <w:rFonts w:cs="Arial"/>
          <w:szCs w:val="24"/>
        </w:rPr>
        <w:t>The Crown Estate</w:t>
      </w:r>
      <w:r w:rsidR="005774C4" w:rsidRPr="0059555C">
        <w:rPr>
          <w:rFonts w:cs="Arial"/>
          <w:szCs w:val="24"/>
        </w:rPr>
        <w:t xml:space="preserve"> (TCE)</w:t>
      </w:r>
      <w:r w:rsidR="005C6313">
        <w:rPr>
          <w:rFonts w:cs="Arial"/>
          <w:szCs w:val="24"/>
        </w:rPr>
        <w:t xml:space="preserve"> and Crown Estate Scotland (CES)</w:t>
      </w:r>
    </w:p>
    <w:p w14:paraId="6D9CDD06" w14:textId="0CB8E14D" w:rsidR="000932E4" w:rsidRPr="00906EBE" w:rsidRDefault="005774C4" w:rsidP="000932E4">
      <w:pPr>
        <w:spacing w:after="180" w:line="276" w:lineRule="auto"/>
        <w:rPr>
          <w:szCs w:val="24"/>
        </w:rPr>
      </w:pPr>
      <w:r w:rsidRPr="00906EBE">
        <w:rPr>
          <w:szCs w:val="24"/>
        </w:rPr>
        <w:t>Oil and gas companies make payments to TCE</w:t>
      </w:r>
      <w:r w:rsidR="005C6313">
        <w:rPr>
          <w:szCs w:val="24"/>
        </w:rPr>
        <w:t xml:space="preserve"> and CES</w:t>
      </w:r>
      <w:r w:rsidRPr="00906EBE">
        <w:rPr>
          <w:szCs w:val="24"/>
        </w:rPr>
        <w:t xml:space="preserve"> for pipeline easements</w:t>
      </w:r>
      <w:r w:rsidR="000932E4" w:rsidRPr="00906EBE">
        <w:rPr>
          <w:szCs w:val="24"/>
        </w:rPr>
        <w:t>.</w:t>
      </w:r>
    </w:p>
    <w:p w14:paraId="35D817B5" w14:textId="77777777" w:rsidR="000932E4" w:rsidRPr="00DE1059" w:rsidRDefault="000932E4" w:rsidP="00E0694A">
      <w:pPr>
        <w:pStyle w:val="Heading2"/>
        <w:keepLines w:val="0"/>
        <w:numPr>
          <w:ilvl w:val="1"/>
          <w:numId w:val="43"/>
        </w:numPr>
        <w:shd w:val="clear" w:color="auto" w:fill="BFBFBF"/>
        <w:tabs>
          <w:tab w:val="clear" w:pos="567"/>
        </w:tabs>
        <w:spacing w:after="180" w:line="276" w:lineRule="auto"/>
        <w:ind w:left="567" w:hanging="567"/>
        <w:rPr>
          <w:szCs w:val="24"/>
        </w:rPr>
      </w:pPr>
      <w:r w:rsidRPr="0059555C">
        <w:rPr>
          <w:rFonts w:cs="Arial"/>
          <w:szCs w:val="24"/>
        </w:rPr>
        <w:t>Shale gas</w:t>
      </w:r>
    </w:p>
    <w:p w14:paraId="3E123D37" w14:textId="77777777" w:rsidR="00243255" w:rsidRPr="00906EBE" w:rsidRDefault="00243255" w:rsidP="000A2950">
      <w:pPr>
        <w:pStyle w:val="Default"/>
        <w:spacing w:after="180" w:line="276" w:lineRule="auto"/>
        <w:rPr>
          <w:rFonts w:ascii="Arial" w:hAnsi="Arial" w:cs="Arial"/>
          <w:color w:val="auto"/>
        </w:rPr>
      </w:pPr>
      <w:r w:rsidRPr="00906EBE">
        <w:rPr>
          <w:rFonts w:ascii="Arial" w:hAnsi="Arial" w:cs="Arial"/>
          <w:color w:val="auto"/>
        </w:rPr>
        <w:t xml:space="preserve">Research by the </w:t>
      </w:r>
      <w:r w:rsidR="00074500" w:rsidRPr="00906EBE">
        <w:rPr>
          <w:rFonts w:ascii="Arial" w:hAnsi="Arial" w:cs="Arial"/>
          <w:color w:val="auto"/>
        </w:rPr>
        <w:t>BGS</w:t>
      </w:r>
      <w:r w:rsidRPr="00906EBE">
        <w:rPr>
          <w:rFonts w:ascii="Arial" w:hAnsi="Arial" w:cs="Arial"/>
          <w:color w:val="auto"/>
        </w:rPr>
        <w:t xml:space="preserve"> indicates that there are potentially large volumes of shale gas beneath the UK. Further exploration is required before the full extent of these resources is known and the amount of gas that is technically and commerciall</w:t>
      </w:r>
      <w:r w:rsidR="006952FF" w:rsidRPr="00906EBE">
        <w:rPr>
          <w:rFonts w:ascii="Arial" w:hAnsi="Arial" w:cs="Arial"/>
          <w:color w:val="auto"/>
        </w:rPr>
        <w:t>y recoverable can be estimated.</w:t>
      </w:r>
    </w:p>
    <w:p w14:paraId="5CC3453D" w14:textId="77777777" w:rsidR="00243255" w:rsidRPr="00906EBE" w:rsidRDefault="00243255" w:rsidP="006952FF">
      <w:pPr>
        <w:pStyle w:val="Default"/>
        <w:spacing w:after="180" w:line="276" w:lineRule="auto"/>
        <w:rPr>
          <w:rFonts w:ascii="Arial" w:hAnsi="Arial" w:cs="Arial"/>
          <w:color w:val="auto"/>
        </w:rPr>
      </w:pPr>
      <w:r w:rsidRPr="00906EBE">
        <w:rPr>
          <w:rFonts w:ascii="Arial" w:hAnsi="Arial" w:cs="Arial"/>
          <w:color w:val="auto"/>
        </w:rPr>
        <w:t xml:space="preserve">UK licence and fiscal terms do not generally differentiate between conventional and unconventional hydrocarbon activities. For example, the Onshore Allowance (an allowance against the </w:t>
      </w:r>
      <w:r w:rsidR="005D36F4" w:rsidRPr="00906EBE">
        <w:rPr>
          <w:rFonts w:ascii="Arial" w:hAnsi="Arial" w:cs="Arial"/>
          <w:color w:val="auto"/>
        </w:rPr>
        <w:t>SC</w:t>
      </w:r>
      <w:r w:rsidRPr="00906EBE">
        <w:rPr>
          <w:rFonts w:ascii="Arial" w:hAnsi="Arial" w:cs="Arial"/>
          <w:color w:val="auto"/>
        </w:rPr>
        <w:t xml:space="preserve"> which ensures that otherwise economic developments are not uncommercial) is applicable to both new conventional oil and gas as well as to shale gas developments. As </w:t>
      </w:r>
      <w:r w:rsidR="0093103E" w:rsidRPr="00906EBE">
        <w:rPr>
          <w:rFonts w:ascii="Arial" w:hAnsi="Arial" w:cs="Arial"/>
          <w:color w:val="auto"/>
        </w:rPr>
        <w:t>PEDLs</w:t>
      </w:r>
      <w:r w:rsidRPr="00906EBE">
        <w:rPr>
          <w:rFonts w:ascii="Arial" w:hAnsi="Arial" w:cs="Arial"/>
          <w:color w:val="auto"/>
        </w:rPr>
        <w:t xml:space="preserve"> do not grant automatic rights to operations such as drilling or hydraulic fracturing, any company looking to develop shale will also need to obtain all necessary permissions, like plan</w:t>
      </w:r>
      <w:r w:rsidR="006952FF" w:rsidRPr="00906EBE">
        <w:rPr>
          <w:rFonts w:ascii="Arial" w:hAnsi="Arial" w:cs="Arial"/>
          <w:color w:val="auto"/>
        </w:rPr>
        <w:t>ning and environmental permits.</w:t>
      </w:r>
    </w:p>
    <w:p w14:paraId="4A442255" w14:textId="77777777" w:rsidR="00243255" w:rsidRPr="00906EBE" w:rsidRDefault="00243255" w:rsidP="000A2950">
      <w:pPr>
        <w:pStyle w:val="Default"/>
        <w:spacing w:after="180" w:line="276" w:lineRule="auto"/>
        <w:rPr>
          <w:rFonts w:ascii="Arial" w:hAnsi="Arial" w:cs="Arial"/>
          <w:color w:val="auto"/>
        </w:rPr>
      </w:pPr>
      <w:r w:rsidRPr="00906EBE">
        <w:rPr>
          <w:rFonts w:ascii="Arial" w:hAnsi="Arial" w:cs="Arial"/>
          <w:color w:val="auto"/>
        </w:rPr>
        <w:t>In addition, a further range of measures specific to hydraulic fracturing and the shale industry have been put in place to ensure that exploration is safe and environmentally sound. The Infrastructure Act 2015 specifies thirteen conditions that need to be met before a hydraulic fracturing consent will be issued, including public notification and a scheme to provide financial or other benefit for the local area. The government has also put in place regulations which ensure that high-volume hydraulic fracturing cannot take place within 1,200 metres beneath the surface of National Parks, the Broads, Areas of Outstanding Natural Beauty, World Heritage Sites and areas that are most vulnerable t</w:t>
      </w:r>
      <w:r w:rsidR="006952FF" w:rsidRPr="00906EBE">
        <w:rPr>
          <w:rFonts w:ascii="Arial" w:hAnsi="Arial" w:cs="Arial"/>
          <w:color w:val="auto"/>
        </w:rPr>
        <w:t>o groundwater pollution.</w:t>
      </w:r>
    </w:p>
    <w:p w14:paraId="32E5E34F" w14:textId="2C27D35A" w:rsidR="00243255" w:rsidRPr="00906EBE" w:rsidRDefault="00243255" w:rsidP="00FD2E49">
      <w:pPr>
        <w:pStyle w:val="Default"/>
        <w:spacing w:after="180" w:line="276" w:lineRule="auto"/>
        <w:rPr>
          <w:rFonts w:ascii="Arial" w:hAnsi="Arial" w:cs="Arial"/>
          <w:color w:val="auto"/>
        </w:rPr>
      </w:pPr>
      <w:r w:rsidRPr="00906EBE">
        <w:rPr>
          <w:rFonts w:ascii="Arial" w:hAnsi="Arial" w:cs="Arial"/>
          <w:color w:val="auto"/>
        </w:rPr>
        <w:t xml:space="preserve">A number of companies holding PEDLs in England are </w:t>
      </w:r>
      <w:r w:rsidR="005C6313">
        <w:rPr>
          <w:rFonts w:ascii="Arial" w:hAnsi="Arial" w:cs="Arial"/>
          <w:color w:val="auto"/>
        </w:rPr>
        <w:t>exp</w:t>
      </w:r>
      <w:r w:rsidR="00EC7255">
        <w:rPr>
          <w:rFonts w:ascii="Arial" w:hAnsi="Arial" w:cs="Arial"/>
          <w:color w:val="auto"/>
        </w:rPr>
        <w:t>lo</w:t>
      </w:r>
      <w:r w:rsidR="005C6313">
        <w:rPr>
          <w:rFonts w:ascii="Arial" w:hAnsi="Arial" w:cs="Arial"/>
          <w:color w:val="auto"/>
        </w:rPr>
        <w:t>ring</w:t>
      </w:r>
      <w:r w:rsidR="005C6313" w:rsidRPr="00906EBE">
        <w:rPr>
          <w:rFonts w:ascii="Arial" w:hAnsi="Arial" w:cs="Arial"/>
          <w:color w:val="auto"/>
        </w:rPr>
        <w:t xml:space="preserve"> </w:t>
      </w:r>
      <w:r w:rsidR="00094ACB" w:rsidRPr="00906EBE">
        <w:rPr>
          <w:rFonts w:ascii="Arial" w:hAnsi="Arial" w:cs="Arial"/>
          <w:color w:val="auto"/>
        </w:rPr>
        <w:t xml:space="preserve">shale gas projects. </w:t>
      </w:r>
      <w:r w:rsidRPr="00906EBE">
        <w:rPr>
          <w:rFonts w:ascii="Arial" w:hAnsi="Arial" w:cs="Arial"/>
          <w:color w:val="auto"/>
        </w:rPr>
        <w:t>North Yorkshire County Council has granted Third Energy permission to hydraulically fracture an existing vertical well at its Kirby Misperton site, to give an early indication of flow rates.</w:t>
      </w:r>
      <w:r w:rsidRPr="00906EBE">
        <w:rPr>
          <w:rFonts w:ascii="Arial" w:hAnsi="Arial" w:cs="Arial"/>
          <w:vertAlign w:val="superscript"/>
        </w:rPr>
        <w:footnoteReference w:id="43"/>
      </w:r>
      <w:r w:rsidRPr="00906EBE">
        <w:rPr>
          <w:rFonts w:ascii="Arial" w:hAnsi="Arial" w:cs="Arial"/>
          <w:color w:val="auto"/>
        </w:rPr>
        <w:t xml:space="preserve"> On 6 October 2016, the Secretary of State for Communities and Local Government published his decision on Cuadrilla’s appeals relating to exploratory wells, hydraulic fracturing and monitoring works at Preston New Road and Roseacre Wood, Lancashire.</w:t>
      </w:r>
      <w:r w:rsidRPr="00906EBE">
        <w:rPr>
          <w:rFonts w:ascii="Arial" w:hAnsi="Arial" w:cs="Arial"/>
          <w:vertAlign w:val="superscript"/>
        </w:rPr>
        <w:footnoteReference w:id="44"/>
      </w:r>
      <w:r w:rsidRPr="00906EBE">
        <w:rPr>
          <w:rFonts w:ascii="Arial" w:hAnsi="Arial" w:cs="Arial"/>
          <w:color w:val="auto"/>
        </w:rPr>
        <w:t xml:space="preserve"> Nottinghamshire County Council has approved an application to drill an exploratory well at the Springs Road site.</w:t>
      </w:r>
      <w:r w:rsidRPr="00906EBE">
        <w:rPr>
          <w:rFonts w:ascii="Arial" w:hAnsi="Arial" w:cs="Arial"/>
          <w:vertAlign w:val="superscript"/>
        </w:rPr>
        <w:footnoteReference w:id="45"/>
      </w:r>
      <w:r w:rsidRPr="00906EBE">
        <w:rPr>
          <w:rFonts w:ascii="Arial" w:hAnsi="Arial" w:cs="Arial"/>
          <w:color w:val="auto"/>
        </w:rPr>
        <w:t xml:space="preserve"> The application did not include plans for hydraulic fracturing.</w:t>
      </w:r>
    </w:p>
    <w:p w14:paraId="384E0BAA" w14:textId="77777777" w:rsidR="009C042B" w:rsidRPr="00906EBE" w:rsidRDefault="009C042B" w:rsidP="009C042B">
      <w:pPr>
        <w:pStyle w:val="Default"/>
        <w:spacing w:after="180" w:line="276" w:lineRule="auto"/>
        <w:rPr>
          <w:rFonts w:ascii="Arial" w:hAnsi="Arial" w:cs="Arial"/>
          <w:color w:val="auto"/>
        </w:rPr>
      </w:pPr>
      <w:r w:rsidRPr="00906EBE">
        <w:rPr>
          <w:rFonts w:ascii="Arial" w:hAnsi="Arial" w:cs="Arial"/>
          <w:color w:val="auto"/>
        </w:rPr>
        <w:t>The government has announced that it will create a Shale Wealth Fund to ensure that communities which host shale sites can share the benefits of shale development. Funding for the Shale Wealth Fund will consist of up to 10% of tax revenues arising from shale gas production.</w:t>
      </w:r>
      <w:r w:rsidRPr="00906EBE">
        <w:rPr>
          <w:rFonts w:ascii="Arial" w:hAnsi="Arial" w:cs="Arial"/>
          <w:color w:val="auto"/>
          <w:vertAlign w:val="superscript"/>
        </w:rPr>
        <w:footnoteReference w:id="46"/>
      </w:r>
      <w:r w:rsidRPr="00906EBE">
        <w:rPr>
          <w:rFonts w:ascii="Arial" w:hAnsi="Arial" w:cs="Arial"/>
          <w:color w:val="auto"/>
        </w:rPr>
        <w:t xml:space="preserve"> On 25 October 2016, the government </w:t>
      </w:r>
      <w:r w:rsidR="00DB2264" w:rsidRPr="00906EBE">
        <w:rPr>
          <w:rFonts w:ascii="Arial" w:hAnsi="Arial" w:cs="Arial"/>
          <w:color w:val="auto"/>
        </w:rPr>
        <w:t xml:space="preserve">opened </w:t>
      </w:r>
      <w:r w:rsidRPr="00906EBE">
        <w:rPr>
          <w:rFonts w:ascii="Arial" w:hAnsi="Arial" w:cs="Arial"/>
          <w:color w:val="auto"/>
        </w:rPr>
        <w:t>a consultation seeking views on the delivery method and priorities of the Shale Wealth Fund.</w:t>
      </w:r>
      <w:r w:rsidRPr="00906EBE">
        <w:rPr>
          <w:rFonts w:ascii="Arial" w:hAnsi="Arial" w:cs="Arial"/>
          <w:vertAlign w:val="superscript"/>
        </w:rPr>
        <w:footnoteReference w:id="47"/>
      </w:r>
    </w:p>
    <w:p w14:paraId="25225AEA" w14:textId="77777777" w:rsidR="001B2FC6" w:rsidRPr="00906EBE" w:rsidRDefault="001B2FC6" w:rsidP="001B2FC6">
      <w:pPr>
        <w:pStyle w:val="Default"/>
        <w:spacing w:after="180" w:line="276" w:lineRule="auto"/>
        <w:rPr>
          <w:rFonts w:ascii="Arial" w:hAnsi="Arial" w:cs="Arial"/>
          <w:color w:val="auto"/>
        </w:rPr>
      </w:pPr>
      <w:r w:rsidRPr="00906EBE">
        <w:rPr>
          <w:rFonts w:ascii="Arial" w:hAnsi="Arial" w:cs="Arial"/>
          <w:color w:val="auto"/>
        </w:rPr>
        <w:t>In the Autumn Statement 2016, it was announced that the Shale Wealth Fund will provide up to £1 billion of additional resources to local communities, over and above industry schemes and other sources of government funding. Local communities will benefit first and determine how the money is spent in their area.</w:t>
      </w:r>
    </w:p>
    <w:p w14:paraId="167FB19E" w14:textId="51667528" w:rsidR="0030523C" w:rsidRDefault="0030523C" w:rsidP="00AD33C7">
      <w:pPr>
        <w:rPr>
          <w:sz w:val="2"/>
          <w:szCs w:val="22"/>
          <w:highlight w:val="yellow"/>
          <w:lang w:bidi="ar-TN"/>
        </w:rPr>
      </w:pPr>
    </w:p>
    <w:p w14:paraId="6108722F" w14:textId="0EE3F645" w:rsidR="006D63E2" w:rsidRDefault="006D63E2" w:rsidP="006D63E2">
      <w:pPr>
        <w:pStyle w:val="Default"/>
        <w:spacing w:after="180" w:line="276" w:lineRule="auto"/>
        <w:rPr>
          <w:rFonts w:ascii="Arial" w:hAnsi="Arial" w:cs="Arial"/>
          <w:color w:val="auto"/>
        </w:rPr>
      </w:pPr>
    </w:p>
    <w:p w14:paraId="5089E144" w14:textId="5493D481" w:rsidR="0019687F" w:rsidRDefault="0019687F" w:rsidP="006D63E2">
      <w:pPr>
        <w:pStyle w:val="Default"/>
        <w:spacing w:after="180" w:line="276" w:lineRule="auto"/>
        <w:rPr>
          <w:rFonts w:ascii="Arial" w:hAnsi="Arial" w:cs="Arial"/>
          <w:color w:val="auto"/>
        </w:rPr>
      </w:pPr>
    </w:p>
    <w:p w14:paraId="75786718" w14:textId="77777777" w:rsidR="0019687F" w:rsidRPr="008B6862" w:rsidRDefault="0019687F" w:rsidP="0019687F">
      <w:pPr>
        <w:pStyle w:val="Heading1"/>
        <w:keepNext w:val="0"/>
        <w:keepLines w:val="0"/>
        <w:pageBreakBefore/>
        <w:shd w:val="clear" w:color="auto" w:fill="1F4E79"/>
        <w:tabs>
          <w:tab w:val="clear" w:pos="567"/>
        </w:tabs>
        <w:spacing w:line="276" w:lineRule="auto"/>
        <w:rPr>
          <w:rFonts w:cs="Arial"/>
          <w:color w:val="FFFFFF" w:themeColor="background1"/>
          <w:szCs w:val="24"/>
          <w:lang w:val="en-GB"/>
        </w:rPr>
      </w:pPr>
      <w:r w:rsidRPr="008B6862">
        <w:rPr>
          <w:rFonts w:cs="Arial"/>
          <w:color w:val="FFFFFF" w:themeColor="background1"/>
          <w:szCs w:val="24"/>
          <w:lang w:val="en-GB"/>
        </w:rPr>
        <w:t>Glossary of abbreviations FOR OIL AND GAS BACKGROUND INFORMATION</w:t>
      </w:r>
    </w:p>
    <w:p w14:paraId="2717EC65" w14:textId="77777777" w:rsidR="0019687F" w:rsidRDefault="0019687F" w:rsidP="0019687F">
      <w:pPr>
        <w:pStyle w:val="Default"/>
        <w:keepNext/>
        <w:rPr>
          <w:rFonts w:ascii="Arial" w:hAnsi="Arial" w:cs="Arial"/>
          <w:b/>
          <w:bCs/>
          <w:sz w:val="22"/>
          <w:szCs w:val="22"/>
          <w:highlight w:val="yellow"/>
        </w:rPr>
      </w:pPr>
    </w:p>
    <w:tbl>
      <w:tblPr>
        <w:tblW w:w="5000" w:type="pct"/>
        <w:tblCellMar>
          <w:left w:w="70" w:type="dxa"/>
          <w:right w:w="70" w:type="dxa"/>
        </w:tblCellMar>
        <w:tblLook w:val="04A0" w:firstRow="1" w:lastRow="0" w:firstColumn="1" w:lastColumn="0" w:noHBand="0" w:noVBand="1"/>
      </w:tblPr>
      <w:tblGrid>
        <w:gridCol w:w="1042"/>
        <w:gridCol w:w="7985"/>
      </w:tblGrid>
      <w:tr w:rsidR="0019687F" w:rsidRPr="00E00A31" w14:paraId="0AE5B96F" w14:textId="77777777" w:rsidTr="00110236">
        <w:trPr>
          <w:trHeight w:val="340"/>
        </w:trPr>
        <w:tc>
          <w:tcPr>
            <w:tcW w:w="577" w:type="pct"/>
            <w:tcBorders>
              <w:top w:val="nil"/>
              <w:left w:val="nil"/>
              <w:bottom w:val="nil"/>
              <w:right w:val="nil"/>
            </w:tcBorders>
            <w:shd w:val="clear" w:color="000000" w:fill="BDD7EE"/>
            <w:vAlign w:val="center"/>
            <w:hideMark/>
          </w:tcPr>
          <w:p w14:paraId="5BD4AF17"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AP</w:t>
            </w:r>
          </w:p>
        </w:tc>
        <w:tc>
          <w:tcPr>
            <w:tcW w:w="4423" w:type="pct"/>
            <w:tcBorders>
              <w:top w:val="nil"/>
              <w:left w:val="nil"/>
              <w:bottom w:val="nil"/>
              <w:right w:val="nil"/>
            </w:tcBorders>
            <w:shd w:val="clear" w:color="000000" w:fill="BDD7EE"/>
            <w:vAlign w:val="center"/>
            <w:hideMark/>
          </w:tcPr>
          <w:p w14:paraId="094DDB60"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Accounting Period</w:t>
            </w:r>
          </w:p>
        </w:tc>
      </w:tr>
      <w:tr w:rsidR="0019687F" w:rsidRPr="00E00A31" w14:paraId="6AE9BCB2" w14:textId="77777777" w:rsidTr="00110236">
        <w:trPr>
          <w:trHeight w:val="340"/>
        </w:trPr>
        <w:tc>
          <w:tcPr>
            <w:tcW w:w="577" w:type="pct"/>
            <w:tcBorders>
              <w:top w:val="nil"/>
              <w:left w:val="nil"/>
              <w:bottom w:val="nil"/>
              <w:right w:val="nil"/>
            </w:tcBorders>
            <w:shd w:val="clear" w:color="auto" w:fill="auto"/>
            <w:vAlign w:val="center"/>
            <w:hideMark/>
          </w:tcPr>
          <w:p w14:paraId="2A079CB6"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APRT</w:t>
            </w:r>
          </w:p>
        </w:tc>
        <w:tc>
          <w:tcPr>
            <w:tcW w:w="4423" w:type="pct"/>
            <w:tcBorders>
              <w:top w:val="nil"/>
              <w:left w:val="nil"/>
              <w:bottom w:val="nil"/>
              <w:right w:val="nil"/>
            </w:tcBorders>
            <w:shd w:val="clear" w:color="auto" w:fill="auto"/>
            <w:vAlign w:val="center"/>
            <w:hideMark/>
          </w:tcPr>
          <w:p w14:paraId="0113AD3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Advance Petroleum Revenue Tax</w:t>
            </w:r>
          </w:p>
        </w:tc>
      </w:tr>
      <w:tr w:rsidR="0019687F" w:rsidRPr="00E00A31" w14:paraId="4DD20362" w14:textId="77777777" w:rsidTr="00110236">
        <w:trPr>
          <w:trHeight w:val="340"/>
        </w:trPr>
        <w:tc>
          <w:tcPr>
            <w:tcW w:w="577" w:type="pct"/>
            <w:tcBorders>
              <w:top w:val="nil"/>
              <w:left w:val="nil"/>
              <w:bottom w:val="nil"/>
              <w:right w:val="nil"/>
            </w:tcBorders>
            <w:shd w:val="clear" w:color="000000" w:fill="BDD7EE"/>
            <w:vAlign w:val="center"/>
            <w:hideMark/>
          </w:tcPr>
          <w:p w14:paraId="23F8FA12"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boe</w:t>
            </w:r>
          </w:p>
        </w:tc>
        <w:tc>
          <w:tcPr>
            <w:tcW w:w="4423" w:type="pct"/>
            <w:tcBorders>
              <w:top w:val="nil"/>
              <w:left w:val="nil"/>
              <w:bottom w:val="nil"/>
              <w:right w:val="nil"/>
            </w:tcBorders>
            <w:shd w:val="clear" w:color="000000" w:fill="BDD7EE"/>
            <w:vAlign w:val="center"/>
            <w:hideMark/>
          </w:tcPr>
          <w:p w14:paraId="219E37DE" w14:textId="3006E772" w:rsidR="0019687F" w:rsidRPr="00E00A31" w:rsidRDefault="007F7578" w:rsidP="00110236">
            <w:pPr>
              <w:rPr>
                <w:rFonts w:eastAsia="Times New Roman"/>
                <w:color w:val="000000"/>
                <w:sz w:val="18"/>
                <w:szCs w:val="18"/>
                <w:lang w:val="fr-FR" w:eastAsia="fr-FR"/>
              </w:rPr>
            </w:pPr>
            <w:r w:rsidRPr="00E00A31">
              <w:rPr>
                <w:rFonts w:eastAsia="Times New Roman"/>
                <w:color w:val="000000"/>
                <w:sz w:val="18"/>
                <w:szCs w:val="18"/>
                <w:lang w:val="fr-FR" w:eastAsia="fr-FR"/>
              </w:rPr>
              <w:t>B</w:t>
            </w:r>
            <w:r w:rsidR="0019687F" w:rsidRPr="00E00A31">
              <w:rPr>
                <w:rFonts w:eastAsia="Times New Roman"/>
                <w:color w:val="000000"/>
                <w:sz w:val="18"/>
                <w:szCs w:val="18"/>
                <w:lang w:val="fr-FR" w:eastAsia="fr-FR"/>
              </w:rPr>
              <w:t>arrel</w:t>
            </w:r>
            <w:r w:rsidRPr="007F7578">
              <w:rPr>
                <w:rFonts w:eastAsia="Times New Roman"/>
                <w:color w:val="000000"/>
                <w:sz w:val="18"/>
                <w:szCs w:val="18"/>
                <w:highlight w:val="yellow"/>
                <w:lang w:val="fr-FR" w:eastAsia="fr-FR"/>
              </w:rPr>
              <w:t>(s)</w:t>
            </w:r>
            <w:r w:rsidR="0019687F" w:rsidRPr="00E00A31">
              <w:rPr>
                <w:rFonts w:eastAsia="Times New Roman"/>
                <w:color w:val="000000"/>
                <w:sz w:val="18"/>
                <w:szCs w:val="18"/>
                <w:lang w:val="fr-FR" w:eastAsia="fr-FR"/>
              </w:rPr>
              <w:t xml:space="preserve"> of oil equivalent</w:t>
            </w:r>
          </w:p>
        </w:tc>
      </w:tr>
      <w:tr w:rsidR="0019687F" w:rsidRPr="00E00A31" w14:paraId="1047F73B" w14:textId="77777777" w:rsidTr="00110236">
        <w:trPr>
          <w:trHeight w:val="567"/>
        </w:trPr>
        <w:tc>
          <w:tcPr>
            <w:tcW w:w="577" w:type="pct"/>
            <w:tcBorders>
              <w:top w:val="nil"/>
              <w:left w:val="nil"/>
              <w:bottom w:val="nil"/>
              <w:right w:val="nil"/>
            </w:tcBorders>
            <w:shd w:val="clear" w:color="auto" w:fill="auto"/>
            <w:vAlign w:val="center"/>
            <w:hideMark/>
          </w:tcPr>
          <w:p w14:paraId="0CD8A83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Brent</w:t>
            </w:r>
          </w:p>
        </w:tc>
        <w:tc>
          <w:tcPr>
            <w:tcW w:w="4423" w:type="pct"/>
            <w:tcBorders>
              <w:top w:val="nil"/>
              <w:left w:val="nil"/>
              <w:bottom w:val="nil"/>
              <w:right w:val="nil"/>
            </w:tcBorders>
            <w:shd w:val="clear" w:color="auto" w:fill="auto"/>
            <w:vAlign w:val="center"/>
            <w:hideMark/>
          </w:tcPr>
          <w:p w14:paraId="6EBAD345"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as applied to trading, the standard quality of oil in Europe and elsewhere comprising a blend of four North Sea crudes from the Brent, Ekofisk, Forties and Oseberg fields</w:t>
            </w:r>
          </w:p>
        </w:tc>
      </w:tr>
      <w:tr w:rsidR="0019687F" w:rsidRPr="00E00A31" w14:paraId="6D5B11C7" w14:textId="77777777" w:rsidTr="00110236">
        <w:trPr>
          <w:trHeight w:val="340"/>
        </w:trPr>
        <w:tc>
          <w:tcPr>
            <w:tcW w:w="577" w:type="pct"/>
            <w:tcBorders>
              <w:top w:val="nil"/>
              <w:left w:val="nil"/>
              <w:bottom w:val="nil"/>
              <w:right w:val="nil"/>
            </w:tcBorders>
            <w:shd w:val="clear" w:color="000000" w:fill="BDD7EE"/>
            <w:vAlign w:val="center"/>
            <w:hideMark/>
          </w:tcPr>
          <w:p w14:paraId="33E43AF9"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CNS</w:t>
            </w:r>
          </w:p>
        </w:tc>
        <w:tc>
          <w:tcPr>
            <w:tcW w:w="4423" w:type="pct"/>
            <w:tcBorders>
              <w:top w:val="nil"/>
              <w:left w:val="nil"/>
              <w:bottom w:val="nil"/>
              <w:right w:val="nil"/>
            </w:tcBorders>
            <w:shd w:val="clear" w:color="000000" w:fill="BDD7EE"/>
            <w:vAlign w:val="center"/>
            <w:hideMark/>
          </w:tcPr>
          <w:p w14:paraId="55B72032"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Central North Sea</w:t>
            </w:r>
          </w:p>
        </w:tc>
      </w:tr>
      <w:tr w:rsidR="0019687F" w:rsidRPr="00E00A31" w14:paraId="6E19611C" w14:textId="77777777" w:rsidTr="00110236">
        <w:trPr>
          <w:trHeight w:val="340"/>
        </w:trPr>
        <w:tc>
          <w:tcPr>
            <w:tcW w:w="577" w:type="pct"/>
            <w:tcBorders>
              <w:top w:val="nil"/>
              <w:left w:val="nil"/>
              <w:bottom w:val="nil"/>
              <w:right w:val="nil"/>
            </w:tcBorders>
            <w:shd w:val="clear" w:color="auto" w:fill="auto"/>
            <w:vAlign w:val="center"/>
            <w:hideMark/>
          </w:tcPr>
          <w:p w14:paraId="59C5E38C"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CT</w:t>
            </w:r>
          </w:p>
        </w:tc>
        <w:tc>
          <w:tcPr>
            <w:tcW w:w="4423" w:type="pct"/>
            <w:tcBorders>
              <w:top w:val="nil"/>
              <w:left w:val="nil"/>
              <w:bottom w:val="nil"/>
              <w:right w:val="nil"/>
            </w:tcBorders>
            <w:shd w:val="clear" w:color="auto" w:fill="auto"/>
            <w:vAlign w:val="center"/>
            <w:hideMark/>
          </w:tcPr>
          <w:p w14:paraId="17B74D3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Corporation Tax</w:t>
            </w:r>
          </w:p>
        </w:tc>
      </w:tr>
      <w:tr w:rsidR="0019687F" w:rsidRPr="00E00A31" w14:paraId="58E1D415" w14:textId="77777777" w:rsidTr="00110236">
        <w:trPr>
          <w:trHeight w:val="340"/>
        </w:trPr>
        <w:tc>
          <w:tcPr>
            <w:tcW w:w="577" w:type="pct"/>
            <w:tcBorders>
              <w:top w:val="nil"/>
              <w:left w:val="nil"/>
              <w:bottom w:val="nil"/>
              <w:right w:val="nil"/>
            </w:tcBorders>
            <w:shd w:val="clear" w:color="000000" w:fill="BDD7EE"/>
            <w:vAlign w:val="center"/>
            <w:hideMark/>
          </w:tcPr>
          <w:p w14:paraId="5EAF693B"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DECC</w:t>
            </w:r>
          </w:p>
        </w:tc>
        <w:tc>
          <w:tcPr>
            <w:tcW w:w="4423" w:type="pct"/>
            <w:tcBorders>
              <w:top w:val="nil"/>
              <w:left w:val="nil"/>
              <w:bottom w:val="nil"/>
              <w:right w:val="nil"/>
            </w:tcBorders>
            <w:shd w:val="clear" w:color="000000" w:fill="BDD7EE"/>
            <w:vAlign w:val="center"/>
            <w:hideMark/>
          </w:tcPr>
          <w:p w14:paraId="0A64D23B"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Department of Energy &amp; Climate Change (now part of BEIS)</w:t>
            </w:r>
          </w:p>
        </w:tc>
      </w:tr>
      <w:tr w:rsidR="0019687F" w:rsidRPr="00E00A31" w14:paraId="44AFF9EC" w14:textId="77777777" w:rsidTr="00110236">
        <w:trPr>
          <w:trHeight w:val="340"/>
        </w:trPr>
        <w:tc>
          <w:tcPr>
            <w:tcW w:w="577" w:type="pct"/>
            <w:tcBorders>
              <w:top w:val="nil"/>
              <w:left w:val="nil"/>
              <w:bottom w:val="nil"/>
              <w:right w:val="nil"/>
            </w:tcBorders>
            <w:shd w:val="clear" w:color="auto" w:fill="auto"/>
            <w:vAlign w:val="center"/>
            <w:hideMark/>
          </w:tcPr>
          <w:p w14:paraId="6A9221B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DfE</w:t>
            </w:r>
          </w:p>
        </w:tc>
        <w:tc>
          <w:tcPr>
            <w:tcW w:w="4423" w:type="pct"/>
            <w:tcBorders>
              <w:top w:val="nil"/>
              <w:left w:val="nil"/>
              <w:bottom w:val="nil"/>
              <w:right w:val="nil"/>
            </w:tcBorders>
            <w:shd w:val="clear" w:color="auto" w:fill="auto"/>
            <w:vAlign w:val="center"/>
            <w:hideMark/>
          </w:tcPr>
          <w:p w14:paraId="03253006"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Department for the Economy</w:t>
            </w:r>
          </w:p>
        </w:tc>
      </w:tr>
      <w:tr w:rsidR="0019687F" w:rsidRPr="00E00A31" w14:paraId="59795999" w14:textId="77777777" w:rsidTr="00110236">
        <w:trPr>
          <w:trHeight w:val="340"/>
        </w:trPr>
        <w:tc>
          <w:tcPr>
            <w:tcW w:w="577" w:type="pct"/>
            <w:tcBorders>
              <w:top w:val="nil"/>
              <w:left w:val="nil"/>
              <w:bottom w:val="nil"/>
              <w:right w:val="nil"/>
            </w:tcBorders>
            <w:shd w:val="clear" w:color="000000" w:fill="BDD7EE"/>
            <w:vAlign w:val="center"/>
            <w:hideMark/>
          </w:tcPr>
          <w:p w14:paraId="2E139EDE"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DRD</w:t>
            </w:r>
          </w:p>
        </w:tc>
        <w:tc>
          <w:tcPr>
            <w:tcW w:w="4423" w:type="pct"/>
            <w:tcBorders>
              <w:top w:val="nil"/>
              <w:left w:val="nil"/>
              <w:bottom w:val="nil"/>
              <w:right w:val="nil"/>
            </w:tcBorders>
            <w:shd w:val="clear" w:color="000000" w:fill="BDD7EE"/>
            <w:vAlign w:val="center"/>
            <w:hideMark/>
          </w:tcPr>
          <w:p w14:paraId="41C263BE"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Decommissioning Relief Deed</w:t>
            </w:r>
          </w:p>
        </w:tc>
      </w:tr>
      <w:tr w:rsidR="0019687F" w:rsidRPr="00E00A31" w14:paraId="49011F7F" w14:textId="77777777" w:rsidTr="00110236">
        <w:trPr>
          <w:trHeight w:val="340"/>
        </w:trPr>
        <w:tc>
          <w:tcPr>
            <w:tcW w:w="577" w:type="pct"/>
            <w:tcBorders>
              <w:top w:val="nil"/>
              <w:left w:val="nil"/>
              <w:bottom w:val="nil"/>
              <w:right w:val="nil"/>
            </w:tcBorders>
            <w:shd w:val="clear" w:color="auto" w:fill="auto"/>
            <w:vAlign w:val="center"/>
            <w:hideMark/>
          </w:tcPr>
          <w:p w14:paraId="1F6F19C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EITI</w:t>
            </w:r>
          </w:p>
        </w:tc>
        <w:tc>
          <w:tcPr>
            <w:tcW w:w="4423" w:type="pct"/>
            <w:tcBorders>
              <w:top w:val="nil"/>
              <w:left w:val="nil"/>
              <w:bottom w:val="nil"/>
              <w:right w:val="nil"/>
            </w:tcBorders>
            <w:shd w:val="clear" w:color="auto" w:fill="auto"/>
            <w:vAlign w:val="center"/>
            <w:hideMark/>
          </w:tcPr>
          <w:p w14:paraId="043D9170"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Extractive Industries Transparency Initiative</w:t>
            </w:r>
          </w:p>
        </w:tc>
      </w:tr>
      <w:tr w:rsidR="0019687F" w:rsidRPr="00E00A31" w14:paraId="67856F43" w14:textId="77777777" w:rsidTr="00110236">
        <w:trPr>
          <w:trHeight w:val="340"/>
        </w:trPr>
        <w:tc>
          <w:tcPr>
            <w:tcW w:w="577" w:type="pct"/>
            <w:tcBorders>
              <w:top w:val="nil"/>
              <w:left w:val="nil"/>
              <w:bottom w:val="nil"/>
              <w:right w:val="nil"/>
            </w:tcBorders>
            <w:shd w:val="clear" w:color="000000" w:fill="BDD7EE"/>
            <w:vAlign w:val="center"/>
            <w:hideMark/>
          </w:tcPr>
          <w:p w14:paraId="4B22329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FA</w:t>
            </w:r>
          </w:p>
        </w:tc>
        <w:tc>
          <w:tcPr>
            <w:tcW w:w="4423" w:type="pct"/>
            <w:tcBorders>
              <w:top w:val="nil"/>
              <w:left w:val="nil"/>
              <w:bottom w:val="nil"/>
              <w:right w:val="nil"/>
            </w:tcBorders>
            <w:shd w:val="clear" w:color="000000" w:fill="BDD7EE"/>
            <w:vAlign w:val="center"/>
            <w:hideMark/>
          </w:tcPr>
          <w:p w14:paraId="79FC84F4"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Finance Act</w:t>
            </w:r>
          </w:p>
        </w:tc>
      </w:tr>
      <w:tr w:rsidR="0019687F" w:rsidRPr="00E00A31" w14:paraId="0205C351" w14:textId="77777777" w:rsidTr="00110236">
        <w:trPr>
          <w:trHeight w:val="340"/>
        </w:trPr>
        <w:tc>
          <w:tcPr>
            <w:tcW w:w="577" w:type="pct"/>
            <w:tcBorders>
              <w:top w:val="nil"/>
              <w:left w:val="nil"/>
              <w:bottom w:val="nil"/>
              <w:right w:val="nil"/>
            </w:tcBorders>
            <w:shd w:val="clear" w:color="auto" w:fill="auto"/>
            <w:vAlign w:val="center"/>
            <w:hideMark/>
          </w:tcPr>
          <w:p w14:paraId="050A4977"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FYAs</w:t>
            </w:r>
          </w:p>
        </w:tc>
        <w:tc>
          <w:tcPr>
            <w:tcW w:w="4423" w:type="pct"/>
            <w:tcBorders>
              <w:top w:val="nil"/>
              <w:left w:val="nil"/>
              <w:bottom w:val="nil"/>
              <w:right w:val="nil"/>
            </w:tcBorders>
            <w:shd w:val="clear" w:color="auto" w:fill="auto"/>
            <w:vAlign w:val="center"/>
            <w:hideMark/>
          </w:tcPr>
          <w:p w14:paraId="76B111D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First Year Allowances</w:t>
            </w:r>
          </w:p>
        </w:tc>
      </w:tr>
      <w:tr w:rsidR="0019687F" w:rsidRPr="00E00A31" w14:paraId="275918A8" w14:textId="77777777" w:rsidTr="00110236">
        <w:trPr>
          <w:trHeight w:val="340"/>
        </w:trPr>
        <w:tc>
          <w:tcPr>
            <w:tcW w:w="577" w:type="pct"/>
            <w:tcBorders>
              <w:top w:val="nil"/>
              <w:left w:val="nil"/>
              <w:bottom w:val="nil"/>
              <w:right w:val="nil"/>
            </w:tcBorders>
            <w:shd w:val="clear" w:color="000000" w:fill="BDD7EE"/>
            <w:vAlign w:val="center"/>
            <w:hideMark/>
          </w:tcPr>
          <w:p w14:paraId="3222B10D"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LNG</w:t>
            </w:r>
          </w:p>
        </w:tc>
        <w:tc>
          <w:tcPr>
            <w:tcW w:w="4423" w:type="pct"/>
            <w:tcBorders>
              <w:top w:val="nil"/>
              <w:left w:val="nil"/>
              <w:bottom w:val="nil"/>
              <w:right w:val="nil"/>
            </w:tcBorders>
            <w:shd w:val="clear" w:color="000000" w:fill="BDD7EE"/>
            <w:vAlign w:val="center"/>
            <w:hideMark/>
          </w:tcPr>
          <w:p w14:paraId="77EF0328"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 xml:space="preserve">Liquefied Natural Gas </w:t>
            </w:r>
          </w:p>
        </w:tc>
      </w:tr>
      <w:tr w:rsidR="0019687F" w:rsidRPr="00E00A31" w14:paraId="4B0693F6" w14:textId="77777777" w:rsidTr="00110236">
        <w:trPr>
          <w:trHeight w:val="340"/>
        </w:trPr>
        <w:tc>
          <w:tcPr>
            <w:tcW w:w="577" w:type="pct"/>
            <w:tcBorders>
              <w:top w:val="nil"/>
              <w:left w:val="nil"/>
              <w:bottom w:val="nil"/>
              <w:right w:val="nil"/>
            </w:tcBorders>
            <w:shd w:val="clear" w:color="auto" w:fill="auto"/>
            <w:vAlign w:val="center"/>
            <w:hideMark/>
          </w:tcPr>
          <w:p w14:paraId="2013BA14"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MEA</w:t>
            </w:r>
          </w:p>
        </w:tc>
        <w:tc>
          <w:tcPr>
            <w:tcW w:w="4423" w:type="pct"/>
            <w:tcBorders>
              <w:top w:val="nil"/>
              <w:left w:val="nil"/>
              <w:bottom w:val="nil"/>
              <w:right w:val="nil"/>
            </w:tcBorders>
            <w:shd w:val="clear" w:color="auto" w:fill="auto"/>
            <w:vAlign w:val="center"/>
            <w:hideMark/>
          </w:tcPr>
          <w:p w14:paraId="2FD64AF6"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Mineral Extraction Allowance</w:t>
            </w:r>
          </w:p>
        </w:tc>
      </w:tr>
      <w:tr w:rsidR="0019687F" w:rsidRPr="00E00A31" w14:paraId="50D0B371" w14:textId="77777777" w:rsidTr="00110236">
        <w:trPr>
          <w:trHeight w:val="340"/>
        </w:trPr>
        <w:tc>
          <w:tcPr>
            <w:tcW w:w="577" w:type="pct"/>
            <w:tcBorders>
              <w:top w:val="nil"/>
              <w:left w:val="nil"/>
              <w:bottom w:val="nil"/>
              <w:right w:val="nil"/>
            </w:tcBorders>
            <w:shd w:val="clear" w:color="000000" w:fill="BDD7EE"/>
            <w:vAlign w:val="center"/>
            <w:hideMark/>
          </w:tcPr>
          <w:p w14:paraId="566720FA"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NBP</w:t>
            </w:r>
          </w:p>
        </w:tc>
        <w:tc>
          <w:tcPr>
            <w:tcW w:w="4423" w:type="pct"/>
            <w:tcBorders>
              <w:top w:val="nil"/>
              <w:left w:val="nil"/>
              <w:bottom w:val="nil"/>
              <w:right w:val="nil"/>
            </w:tcBorders>
            <w:shd w:val="clear" w:color="000000" w:fill="BDD7EE"/>
            <w:vAlign w:val="center"/>
            <w:hideMark/>
          </w:tcPr>
          <w:p w14:paraId="4D690424"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National Balancing Point</w:t>
            </w:r>
          </w:p>
        </w:tc>
      </w:tr>
      <w:tr w:rsidR="0019687F" w:rsidRPr="00E00A31" w14:paraId="08CF839D" w14:textId="77777777" w:rsidTr="00110236">
        <w:trPr>
          <w:trHeight w:val="340"/>
        </w:trPr>
        <w:tc>
          <w:tcPr>
            <w:tcW w:w="577" w:type="pct"/>
            <w:tcBorders>
              <w:top w:val="nil"/>
              <w:left w:val="nil"/>
              <w:bottom w:val="nil"/>
              <w:right w:val="nil"/>
            </w:tcBorders>
            <w:shd w:val="clear" w:color="auto" w:fill="auto"/>
            <w:vAlign w:val="center"/>
            <w:hideMark/>
          </w:tcPr>
          <w:p w14:paraId="7180D22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OBR</w:t>
            </w:r>
          </w:p>
        </w:tc>
        <w:tc>
          <w:tcPr>
            <w:tcW w:w="4423" w:type="pct"/>
            <w:tcBorders>
              <w:top w:val="nil"/>
              <w:left w:val="nil"/>
              <w:bottom w:val="nil"/>
              <w:right w:val="nil"/>
            </w:tcBorders>
            <w:shd w:val="clear" w:color="auto" w:fill="auto"/>
            <w:vAlign w:val="center"/>
            <w:hideMark/>
          </w:tcPr>
          <w:p w14:paraId="760A6B9E"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Office for Budget Responsibility</w:t>
            </w:r>
          </w:p>
        </w:tc>
      </w:tr>
      <w:tr w:rsidR="0019687F" w:rsidRPr="00E00A31" w14:paraId="25821C2B" w14:textId="77777777" w:rsidTr="00110236">
        <w:trPr>
          <w:trHeight w:val="340"/>
        </w:trPr>
        <w:tc>
          <w:tcPr>
            <w:tcW w:w="577" w:type="pct"/>
            <w:tcBorders>
              <w:top w:val="nil"/>
              <w:left w:val="nil"/>
              <w:bottom w:val="nil"/>
              <w:right w:val="nil"/>
            </w:tcBorders>
            <w:shd w:val="clear" w:color="000000" w:fill="BDD7EE"/>
            <w:vAlign w:val="center"/>
            <w:hideMark/>
          </w:tcPr>
          <w:p w14:paraId="1BF8D137"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OGA</w:t>
            </w:r>
          </w:p>
        </w:tc>
        <w:tc>
          <w:tcPr>
            <w:tcW w:w="4423" w:type="pct"/>
            <w:tcBorders>
              <w:top w:val="nil"/>
              <w:left w:val="nil"/>
              <w:bottom w:val="nil"/>
              <w:right w:val="nil"/>
            </w:tcBorders>
            <w:shd w:val="clear" w:color="000000" w:fill="BDD7EE"/>
            <w:vAlign w:val="center"/>
            <w:hideMark/>
          </w:tcPr>
          <w:p w14:paraId="337EE0C8"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Oil and Gas Authority</w:t>
            </w:r>
          </w:p>
        </w:tc>
      </w:tr>
      <w:tr w:rsidR="0019687F" w:rsidRPr="00E00A31" w14:paraId="050313A9" w14:textId="77777777" w:rsidTr="00110236">
        <w:trPr>
          <w:trHeight w:val="340"/>
        </w:trPr>
        <w:tc>
          <w:tcPr>
            <w:tcW w:w="577" w:type="pct"/>
            <w:tcBorders>
              <w:top w:val="nil"/>
              <w:left w:val="nil"/>
              <w:bottom w:val="nil"/>
              <w:right w:val="nil"/>
            </w:tcBorders>
            <w:shd w:val="clear" w:color="auto" w:fill="auto"/>
            <w:vAlign w:val="center"/>
            <w:hideMark/>
          </w:tcPr>
          <w:p w14:paraId="0B7F6A5A"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PEDL</w:t>
            </w:r>
          </w:p>
        </w:tc>
        <w:tc>
          <w:tcPr>
            <w:tcW w:w="4423" w:type="pct"/>
            <w:tcBorders>
              <w:top w:val="nil"/>
              <w:left w:val="nil"/>
              <w:bottom w:val="nil"/>
              <w:right w:val="nil"/>
            </w:tcBorders>
            <w:shd w:val="clear" w:color="auto" w:fill="auto"/>
            <w:vAlign w:val="center"/>
            <w:hideMark/>
          </w:tcPr>
          <w:p w14:paraId="321FB22C"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Petroleum Exploration and Development Licence</w:t>
            </w:r>
          </w:p>
        </w:tc>
      </w:tr>
      <w:tr w:rsidR="0019687F" w:rsidRPr="00E00A31" w14:paraId="4864789F" w14:textId="77777777" w:rsidTr="00110236">
        <w:trPr>
          <w:trHeight w:val="340"/>
        </w:trPr>
        <w:tc>
          <w:tcPr>
            <w:tcW w:w="577" w:type="pct"/>
            <w:tcBorders>
              <w:top w:val="nil"/>
              <w:left w:val="nil"/>
              <w:bottom w:val="nil"/>
              <w:right w:val="nil"/>
            </w:tcBorders>
            <w:shd w:val="clear" w:color="000000" w:fill="BDD7EE"/>
            <w:vAlign w:val="center"/>
            <w:hideMark/>
          </w:tcPr>
          <w:p w14:paraId="6215ED6B"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PMA</w:t>
            </w:r>
          </w:p>
        </w:tc>
        <w:tc>
          <w:tcPr>
            <w:tcW w:w="4423" w:type="pct"/>
            <w:tcBorders>
              <w:top w:val="nil"/>
              <w:left w:val="nil"/>
              <w:bottom w:val="nil"/>
              <w:right w:val="nil"/>
            </w:tcBorders>
            <w:shd w:val="clear" w:color="000000" w:fill="BDD7EE"/>
            <w:vAlign w:val="center"/>
            <w:hideMark/>
          </w:tcPr>
          <w:p w14:paraId="7E421675"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Plant and Machinery Allowances</w:t>
            </w:r>
          </w:p>
        </w:tc>
      </w:tr>
      <w:tr w:rsidR="0019687F" w:rsidRPr="00E00A31" w14:paraId="4ECBC8E8" w14:textId="77777777" w:rsidTr="00110236">
        <w:trPr>
          <w:trHeight w:val="340"/>
        </w:trPr>
        <w:tc>
          <w:tcPr>
            <w:tcW w:w="577" w:type="pct"/>
            <w:tcBorders>
              <w:top w:val="nil"/>
              <w:left w:val="nil"/>
              <w:bottom w:val="nil"/>
              <w:right w:val="nil"/>
            </w:tcBorders>
            <w:shd w:val="clear" w:color="auto" w:fill="auto"/>
            <w:vAlign w:val="center"/>
            <w:hideMark/>
          </w:tcPr>
          <w:p w14:paraId="517437D0"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PRT</w:t>
            </w:r>
          </w:p>
        </w:tc>
        <w:tc>
          <w:tcPr>
            <w:tcW w:w="4423" w:type="pct"/>
            <w:tcBorders>
              <w:top w:val="nil"/>
              <w:left w:val="nil"/>
              <w:bottom w:val="nil"/>
              <w:right w:val="nil"/>
            </w:tcBorders>
            <w:shd w:val="clear" w:color="auto" w:fill="auto"/>
            <w:vAlign w:val="center"/>
            <w:hideMark/>
          </w:tcPr>
          <w:p w14:paraId="728E0E69"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Petroleum Revenue Tax</w:t>
            </w:r>
          </w:p>
        </w:tc>
      </w:tr>
      <w:tr w:rsidR="0019687F" w:rsidRPr="00E00A31" w14:paraId="768FCFAD" w14:textId="77777777" w:rsidTr="00110236">
        <w:trPr>
          <w:trHeight w:val="340"/>
        </w:trPr>
        <w:tc>
          <w:tcPr>
            <w:tcW w:w="577" w:type="pct"/>
            <w:tcBorders>
              <w:top w:val="nil"/>
              <w:left w:val="nil"/>
              <w:bottom w:val="nil"/>
              <w:right w:val="nil"/>
            </w:tcBorders>
            <w:shd w:val="clear" w:color="000000" w:fill="BDD7EE"/>
            <w:vAlign w:val="center"/>
            <w:hideMark/>
          </w:tcPr>
          <w:p w14:paraId="7AE7425F"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QIP</w:t>
            </w:r>
          </w:p>
        </w:tc>
        <w:tc>
          <w:tcPr>
            <w:tcW w:w="4423" w:type="pct"/>
            <w:tcBorders>
              <w:top w:val="nil"/>
              <w:left w:val="nil"/>
              <w:bottom w:val="nil"/>
              <w:right w:val="nil"/>
            </w:tcBorders>
            <w:shd w:val="clear" w:color="000000" w:fill="BDD7EE"/>
            <w:vAlign w:val="center"/>
            <w:hideMark/>
          </w:tcPr>
          <w:p w14:paraId="14EA2B67"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Quarterly Instalment Payment</w:t>
            </w:r>
          </w:p>
        </w:tc>
      </w:tr>
      <w:tr w:rsidR="0019687F" w:rsidRPr="00E00A31" w14:paraId="6115521F" w14:textId="77777777" w:rsidTr="00110236">
        <w:trPr>
          <w:trHeight w:val="340"/>
        </w:trPr>
        <w:tc>
          <w:tcPr>
            <w:tcW w:w="577" w:type="pct"/>
            <w:tcBorders>
              <w:top w:val="nil"/>
              <w:left w:val="nil"/>
              <w:bottom w:val="nil"/>
              <w:right w:val="nil"/>
            </w:tcBorders>
            <w:shd w:val="clear" w:color="auto" w:fill="auto"/>
            <w:vAlign w:val="center"/>
            <w:hideMark/>
          </w:tcPr>
          <w:p w14:paraId="061F2812"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RDA</w:t>
            </w:r>
          </w:p>
        </w:tc>
        <w:tc>
          <w:tcPr>
            <w:tcW w:w="4423" w:type="pct"/>
            <w:tcBorders>
              <w:top w:val="nil"/>
              <w:left w:val="nil"/>
              <w:bottom w:val="nil"/>
              <w:right w:val="nil"/>
            </w:tcBorders>
            <w:shd w:val="clear" w:color="auto" w:fill="auto"/>
            <w:vAlign w:val="center"/>
            <w:hideMark/>
          </w:tcPr>
          <w:p w14:paraId="7450F6B4"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Research and Development Allowance</w:t>
            </w:r>
          </w:p>
        </w:tc>
      </w:tr>
      <w:tr w:rsidR="0019687F" w:rsidRPr="00E00A31" w14:paraId="2618A68D" w14:textId="77777777" w:rsidTr="00110236">
        <w:trPr>
          <w:trHeight w:val="340"/>
        </w:trPr>
        <w:tc>
          <w:tcPr>
            <w:tcW w:w="577" w:type="pct"/>
            <w:tcBorders>
              <w:top w:val="nil"/>
              <w:left w:val="nil"/>
              <w:bottom w:val="nil"/>
              <w:right w:val="nil"/>
            </w:tcBorders>
            <w:shd w:val="clear" w:color="000000" w:fill="BDD7EE"/>
            <w:vAlign w:val="center"/>
            <w:hideMark/>
          </w:tcPr>
          <w:p w14:paraId="09FC5D7C"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RFCT</w:t>
            </w:r>
          </w:p>
        </w:tc>
        <w:tc>
          <w:tcPr>
            <w:tcW w:w="4423" w:type="pct"/>
            <w:tcBorders>
              <w:top w:val="nil"/>
              <w:left w:val="nil"/>
              <w:bottom w:val="nil"/>
              <w:right w:val="nil"/>
            </w:tcBorders>
            <w:shd w:val="clear" w:color="000000" w:fill="BDD7EE"/>
            <w:vAlign w:val="center"/>
            <w:hideMark/>
          </w:tcPr>
          <w:p w14:paraId="319B18F1"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Ring Fence Corporation Tax</w:t>
            </w:r>
          </w:p>
        </w:tc>
      </w:tr>
      <w:tr w:rsidR="0019687F" w:rsidRPr="00E00A31" w14:paraId="17EDD0A1" w14:textId="77777777" w:rsidTr="00110236">
        <w:trPr>
          <w:trHeight w:val="340"/>
        </w:trPr>
        <w:tc>
          <w:tcPr>
            <w:tcW w:w="577" w:type="pct"/>
            <w:tcBorders>
              <w:top w:val="nil"/>
              <w:left w:val="nil"/>
              <w:bottom w:val="nil"/>
              <w:right w:val="nil"/>
            </w:tcBorders>
            <w:shd w:val="clear" w:color="auto" w:fill="auto"/>
            <w:vAlign w:val="center"/>
            <w:hideMark/>
          </w:tcPr>
          <w:p w14:paraId="1ABA304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RFES</w:t>
            </w:r>
          </w:p>
        </w:tc>
        <w:tc>
          <w:tcPr>
            <w:tcW w:w="4423" w:type="pct"/>
            <w:tcBorders>
              <w:top w:val="nil"/>
              <w:left w:val="nil"/>
              <w:bottom w:val="nil"/>
              <w:right w:val="nil"/>
            </w:tcBorders>
            <w:shd w:val="clear" w:color="auto" w:fill="auto"/>
            <w:vAlign w:val="center"/>
            <w:hideMark/>
          </w:tcPr>
          <w:p w14:paraId="73DA474A"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Ring Fence Expenditure Supplement</w:t>
            </w:r>
          </w:p>
        </w:tc>
      </w:tr>
      <w:tr w:rsidR="0019687F" w:rsidRPr="00E00A31" w14:paraId="62ADAA91" w14:textId="77777777" w:rsidTr="00110236">
        <w:trPr>
          <w:trHeight w:val="340"/>
        </w:trPr>
        <w:tc>
          <w:tcPr>
            <w:tcW w:w="577" w:type="pct"/>
            <w:tcBorders>
              <w:top w:val="nil"/>
              <w:left w:val="nil"/>
              <w:bottom w:val="nil"/>
              <w:right w:val="nil"/>
            </w:tcBorders>
            <w:shd w:val="clear" w:color="000000" w:fill="BDD7EE"/>
            <w:vAlign w:val="center"/>
            <w:hideMark/>
          </w:tcPr>
          <w:p w14:paraId="196975F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SC</w:t>
            </w:r>
          </w:p>
        </w:tc>
        <w:tc>
          <w:tcPr>
            <w:tcW w:w="4423" w:type="pct"/>
            <w:tcBorders>
              <w:top w:val="nil"/>
              <w:left w:val="nil"/>
              <w:bottom w:val="nil"/>
              <w:right w:val="nil"/>
            </w:tcBorders>
            <w:shd w:val="clear" w:color="000000" w:fill="BDD7EE"/>
            <w:vAlign w:val="center"/>
            <w:hideMark/>
          </w:tcPr>
          <w:p w14:paraId="7DDEAD5C"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Supplementary Charge</w:t>
            </w:r>
          </w:p>
        </w:tc>
      </w:tr>
      <w:tr w:rsidR="0019687F" w:rsidRPr="00E00A31" w14:paraId="405E081C" w14:textId="77777777" w:rsidTr="00110236">
        <w:trPr>
          <w:trHeight w:val="340"/>
        </w:trPr>
        <w:tc>
          <w:tcPr>
            <w:tcW w:w="577" w:type="pct"/>
            <w:tcBorders>
              <w:top w:val="nil"/>
              <w:left w:val="nil"/>
              <w:bottom w:val="nil"/>
              <w:right w:val="nil"/>
            </w:tcBorders>
            <w:shd w:val="clear" w:color="auto" w:fill="auto"/>
            <w:vAlign w:val="center"/>
            <w:hideMark/>
          </w:tcPr>
          <w:p w14:paraId="3B75582A"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SPD</w:t>
            </w:r>
          </w:p>
        </w:tc>
        <w:tc>
          <w:tcPr>
            <w:tcW w:w="4423" w:type="pct"/>
            <w:tcBorders>
              <w:top w:val="nil"/>
              <w:left w:val="nil"/>
              <w:bottom w:val="nil"/>
              <w:right w:val="nil"/>
            </w:tcBorders>
            <w:shd w:val="clear" w:color="auto" w:fill="auto"/>
            <w:vAlign w:val="center"/>
            <w:hideMark/>
          </w:tcPr>
          <w:p w14:paraId="1FC414C8"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Supplementary Petroleum Duty</w:t>
            </w:r>
          </w:p>
        </w:tc>
      </w:tr>
      <w:tr w:rsidR="0019687F" w:rsidRPr="00E00A31" w14:paraId="1F07BD3A" w14:textId="77777777" w:rsidTr="00110236">
        <w:trPr>
          <w:trHeight w:val="340"/>
        </w:trPr>
        <w:tc>
          <w:tcPr>
            <w:tcW w:w="577" w:type="pct"/>
            <w:tcBorders>
              <w:top w:val="nil"/>
              <w:left w:val="nil"/>
              <w:bottom w:val="nil"/>
              <w:right w:val="nil"/>
            </w:tcBorders>
            <w:shd w:val="clear" w:color="000000" w:fill="BDD7EE"/>
            <w:vAlign w:val="center"/>
            <w:hideMark/>
          </w:tcPr>
          <w:p w14:paraId="7269F0A3"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TCE</w:t>
            </w:r>
          </w:p>
        </w:tc>
        <w:tc>
          <w:tcPr>
            <w:tcW w:w="4423" w:type="pct"/>
            <w:tcBorders>
              <w:top w:val="nil"/>
              <w:left w:val="nil"/>
              <w:bottom w:val="nil"/>
              <w:right w:val="nil"/>
            </w:tcBorders>
            <w:shd w:val="clear" w:color="000000" w:fill="BDD7EE"/>
            <w:vAlign w:val="center"/>
            <w:hideMark/>
          </w:tcPr>
          <w:p w14:paraId="65418E94"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The Crown Estate</w:t>
            </w:r>
          </w:p>
        </w:tc>
      </w:tr>
      <w:tr w:rsidR="0019687F" w:rsidRPr="00E00A31" w14:paraId="7F019D31" w14:textId="77777777" w:rsidTr="00110236">
        <w:trPr>
          <w:trHeight w:val="340"/>
        </w:trPr>
        <w:tc>
          <w:tcPr>
            <w:tcW w:w="577" w:type="pct"/>
            <w:tcBorders>
              <w:top w:val="nil"/>
              <w:left w:val="nil"/>
              <w:bottom w:val="nil"/>
              <w:right w:val="nil"/>
            </w:tcBorders>
            <w:shd w:val="clear" w:color="auto" w:fill="auto"/>
            <w:vAlign w:val="center"/>
            <w:hideMark/>
          </w:tcPr>
          <w:p w14:paraId="06F31E69"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UK</w:t>
            </w:r>
          </w:p>
        </w:tc>
        <w:tc>
          <w:tcPr>
            <w:tcW w:w="4423" w:type="pct"/>
            <w:tcBorders>
              <w:top w:val="nil"/>
              <w:left w:val="nil"/>
              <w:bottom w:val="nil"/>
              <w:right w:val="nil"/>
            </w:tcBorders>
            <w:shd w:val="clear" w:color="auto" w:fill="auto"/>
            <w:vAlign w:val="center"/>
            <w:hideMark/>
          </w:tcPr>
          <w:p w14:paraId="37E2486F" w14:textId="77777777" w:rsidR="0019687F" w:rsidRPr="00E00A31" w:rsidRDefault="0019687F" w:rsidP="00110236">
            <w:pPr>
              <w:rPr>
                <w:rFonts w:eastAsia="Times New Roman"/>
                <w:color w:val="000000"/>
                <w:sz w:val="18"/>
                <w:szCs w:val="18"/>
                <w:lang w:val="fr-FR" w:eastAsia="fr-FR"/>
              </w:rPr>
            </w:pPr>
            <w:r w:rsidRPr="00E00A31">
              <w:rPr>
                <w:rFonts w:eastAsia="Times New Roman"/>
                <w:color w:val="000000"/>
                <w:sz w:val="18"/>
                <w:szCs w:val="18"/>
                <w:lang w:val="fr-FR" w:eastAsia="fr-FR"/>
              </w:rPr>
              <w:t>United Kingdom</w:t>
            </w:r>
          </w:p>
        </w:tc>
      </w:tr>
      <w:tr w:rsidR="0019687F" w:rsidRPr="002639CD" w14:paraId="2D5DFD83" w14:textId="77777777" w:rsidTr="00110236">
        <w:trPr>
          <w:trHeight w:val="340"/>
        </w:trPr>
        <w:tc>
          <w:tcPr>
            <w:tcW w:w="577" w:type="pct"/>
            <w:tcBorders>
              <w:top w:val="nil"/>
              <w:left w:val="nil"/>
              <w:bottom w:val="nil"/>
              <w:right w:val="nil"/>
            </w:tcBorders>
            <w:shd w:val="clear" w:color="000000" w:fill="BDD7EE"/>
            <w:vAlign w:val="center"/>
            <w:hideMark/>
          </w:tcPr>
          <w:p w14:paraId="7BF85CF4" w14:textId="77777777" w:rsidR="0019687F" w:rsidRPr="002639CD" w:rsidRDefault="0019687F" w:rsidP="00110236">
            <w:pPr>
              <w:rPr>
                <w:rFonts w:eastAsia="Times New Roman"/>
                <w:color w:val="000000"/>
                <w:sz w:val="18"/>
                <w:szCs w:val="18"/>
                <w:lang w:val="fr-FR" w:eastAsia="fr-FR"/>
              </w:rPr>
            </w:pPr>
            <w:r w:rsidRPr="002639CD">
              <w:rPr>
                <w:rFonts w:eastAsia="Times New Roman"/>
                <w:color w:val="000000"/>
                <w:sz w:val="18"/>
                <w:szCs w:val="18"/>
                <w:lang w:val="fr-FR" w:eastAsia="fr-FR"/>
              </w:rPr>
              <w:t>UKCS</w:t>
            </w:r>
          </w:p>
        </w:tc>
        <w:tc>
          <w:tcPr>
            <w:tcW w:w="4423" w:type="pct"/>
            <w:tcBorders>
              <w:top w:val="nil"/>
              <w:left w:val="nil"/>
              <w:bottom w:val="nil"/>
              <w:right w:val="nil"/>
            </w:tcBorders>
            <w:shd w:val="clear" w:color="000000" w:fill="BDD7EE"/>
            <w:vAlign w:val="center"/>
            <w:hideMark/>
          </w:tcPr>
          <w:p w14:paraId="0212FC19" w14:textId="77777777" w:rsidR="0019687F" w:rsidRPr="002639CD" w:rsidRDefault="0019687F" w:rsidP="00110236">
            <w:pPr>
              <w:rPr>
                <w:rFonts w:eastAsia="Times New Roman"/>
                <w:color w:val="000000"/>
                <w:sz w:val="18"/>
                <w:szCs w:val="18"/>
                <w:lang w:val="fr-FR" w:eastAsia="fr-FR"/>
              </w:rPr>
            </w:pPr>
            <w:r w:rsidRPr="002639CD">
              <w:rPr>
                <w:rFonts w:eastAsia="Times New Roman"/>
                <w:color w:val="000000"/>
                <w:sz w:val="18"/>
                <w:szCs w:val="18"/>
                <w:lang w:val="fr-FR" w:eastAsia="fr-FR"/>
              </w:rPr>
              <w:t>UK Continental Shelf</w:t>
            </w:r>
          </w:p>
        </w:tc>
      </w:tr>
      <w:tr w:rsidR="0019687F" w:rsidRPr="00E00A31" w14:paraId="010601DB" w14:textId="77777777" w:rsidTr="00110236">
        <w:trPr>
          <w:trHeight w:val="340"/>
        </w:trPr>
        <w:tc>
          <w:tcPr>
            <w:tcW w:w="577" w:type="pct"/>
            <w:tcBorders>
              <w:top w:val="nil"/>
              <w:left w:val="nil"/>
              <w:bottom w:val="nil"/>
              <w:right w:val="nil"/>
            </w:tcBorders>
            <w:shd w:val="clear" w:color="auto" w:fill="auto"/>
            <w:vAlign w:val="center"/>
            <w:hideMark/>
          </w:tcPr>
          <w:p w14:paraId="09D34770" w14:textId="77777777" w:rsidR="0019687F" w:rsidRPr="002639CD" w:rsidRDefault="0019687F" w:rsidP="00110236">
            <w:pPr>
              <w:rPr>
                <w:rFonts w:eastAsia="Times New Roman"/>
                <w:color w:val="000000"/>
                <w:sz w:val="18"/>
                <w:szCs w:val="18"/>
                <w:lang w:val="fr-FR" w:eastAsia="fr-FR"/>
              </w:rPr>
            </w:pPr>
            <w:r w:rsidRPr="002639CD">
              <w:rPr>
                <w:rFonts w:eastAsia="Times New Roman"/>
                <w:color w:val="000000"/>
                <w:sz w:val="18"/>
                <w:szCs w:val="18"/>
                <w:lang w:val="fr-FR" w:eastAsia="fr-FR"/>
              </w:rPr>
              <w:t>US</w:t>
            </w:r>
          </w:p>
        </w:tc>
        <w:tc>
          <w:tcPr>
            <w:tcW w:w="4423" w:type="pct"/>
            <w:tcBorders>
              <w:top w:val="nil"/>
              <w:left w:val="nil"/>
              <w:bottom w:val="nil"/>
              <w:right w:val="nil"/>
            </w:tcBorders>
            <w:shd w:val="clear" w:color="auto" w:fill="auto"/>
            <w:vAlign w:val="center"/>
            <w:hideMark/>
          </w:tcPr>
          <w:p w14:paraId="09684AB0" w14:textId="77777777" w:rsidR="0019687F" w:rsidRPr="00E00A31" w:rsidRDefault="0019687F" w:rsidP="00110236">
            <w:pPr>
              <w:rPr>
                <w:rFonts w:eastAsia="Times New Roman"/>
                <w:color w:val="000000"/>
                <w:sz w:val="18"/>
                <w:szCs w:val="18"/>
                <w:lang w:val="fr-FR" w:eastAsia="fr-FR"/>
              </w:rPr>
            </w:pPr>
            <w:r w:rsidRPr="002639CD">
              <w:rPr>
                <w:rFonts w:eastAsia="Times New Roman"/>
                <w:color w:val="000000"/>
                <w:sz w:val="18"/>
                <w:szCs w:val="18"/>
                <w:lang w:val="fr-FR" w:eastAsia="fr-FR"/>
              </w:rPr>
              <w:t>United States</w:t>
            </w:r>
          </w:p>
        </w:tc>
      </w:tr>
    </w:tbl>
    <w:p w14:paraId="5E81DFB6" w14:textId="77777777" w:rsidR="0019687F" w:rsidRPr="00595CB3" w:rsidRDefault="0019687F" w:rsidP="0019687F">
      <w:pPr>
        <w:pStyle w:val="Default"/>
        <w:keepNext/>
        <w:rPr>
          <w:rFonts w:ascii="Arial" w:hAnsi="Arial" w:cs="Arial"/>
          <w:b/>
          <w:bCs/>
          <w:sz w:val="22"/>
          <w:szCs w:val="22"/>
          <w:highlight w:val="yellow"/>
        </w:rPr>
      </w:pPr>
    </w:p>
    <w:p w14:paraId="464C3ACB" w14:textId="5D9CE6EB" w:rsidR="0019687F" w:rsidRPr="0092706C" w:rsidRDefault="0092706C" w:rsidP="0092706C">
      <w:pPr>
        <w:rPr>
          <w:rFonts w:eastAsia="Times New Roman"/>
          <w:color w:val="000000"/>
          <w:sz w:val="18"/>
          <w:szCs w:val="18"/>
          <w:highlight w:val="yellow"/>
          <w:lang w:val="fr-FR" w:eastAsia="fr-FR"/>
        </w:rPr>
      </w:pPr>
      <w:r w:rsidRPr="0092706C">
        <w:rPr>
          <w:rFonts w:eastAsia="Times New Roman"/>
          <w:color w:val="000000"/>
          <w:sz w:val="18"/>
          <w:szCs w:val="18"/>
          <w:highlight w:val="yellow"/>
          <w:lang w:val="fr-FR" w:eastAsia="fr-FR"/>
        </w:rPr>
        <w:t>CES</w:t>
      </w:r>
      <w:r w:rsidRPr="0092706C">
        <w:rPr>
          <w:rFonts w:eastAsia="Times New Roman"/>
          <w:color w:val="000000"/>
          <w:sz w:val="18"/>
          <w:szCs w:val="18"/>
          <w:highlight w:val="yellow"/>
          <w:lang w:val="fr-FR" w:eastAsia="fr-FR"/>
        </w:rPr>
        <w:tab/>
      </w:r>
      <w:r>
        <w:rPr>
          <w:rFonts w:eastAsia="Times New Roman"/>
          <w:color w:val="000000"/>
          <w:sz w:val="18"/>
          <w:szCs w:val="18"/>
          <w:highlight w:val="yellow"/>
          <w:lang w:val="fr-FR" w:eastAsia="fr-FR"/>
        </w:rPr>
        <w:t xml:space="preserve">       </w:t>
      </w:r>
      <w:r w:rsidRPr="0092706C">
        <w:rPr>
          <w:rFonts w:eastAsia="Times New Roman"/>
          <w:color w:val="000000"/>
          <w:sz w:val="18"/>
          <w:szCs w:val="18"/>
          <w:highlight w:val="yellow"/>
          <w:lang w:val="fr-FR" w:eastAsia="fr-FR"/>
        </w:rPr>
        <w:t>Crown Estate Scotland</w:t>
      </w:r>
    </w:p>
    <w:p w14:paraId="54ECFEE7" w14:textId="4027694C" w:rsidR="0092706C" w:rsidRPr="0092706C" w:rsidRDefault="0092706C" w:rsidP="0092706C">
      <w:pPr>
        <w:rPr>
          <w:rFonts w:eastAsia="Times New Roman"/>
          <w:color w:val="000000"/>
          <w:sz w:val="18"/>
          <w:szCs w:val="18"/>
          <w:lang w:val="fr-FR" w:eastAsia="fr-FR"/>
        </w:rPr>
      </w:pPr>
      <w:r w:rsidRPr="0092706C">
        <w:rPr>
          <w:rFonts w:eastAsia="Times New Roman"/>
          <w:color w:val="000000"/>
          <w:sz w:val="18"/>
          <w:szCs w:val="18"/>
          <w:highlight w:val="yellow"/>
          <w:lang w:val="fr-FR" w:eastAsia="fr-FR"/>
        </w:rPr>
        <w:t>BGS</w:t>
      </w:r>
      <w:r w:rsidRPr="0092706C">
        <w:rPr>
          <w:rFonts w:eastAsia="Times New Roman"/>
          <w:color w:val="000000"/>
          <w:sz w:val="18"/>
          <w:szCs w:val="18"/>
          <w:highlight w:val="yellow"/>
          <w:lang w:val="fr-FR" w:eastAsia="fr-FR"/>
        </w:rPr>
        <w:tab/>
      </w:r>
      <w:r>
        <w:rPr>
          <w:rFonts w:eastAsia="Times New Roman"/>
          <w:color w:val="000000"/>
          <w:sz w:val="18"/>
          <w:szCs w:val="18"/>
          <w:highlight w:val="yellow"/>
          <w:lang w:val="fr-FR" w:eastAsia="fr-FR"/>
        </w:rPr>
        <w:t xml:space="preserve">       </w:t>
      </w:r>
      <w:r w:rsidRPr="0092706C">
        <w:rPr>
          <w:rFonts w:eastAsia="Times New Roman"/>
          <w:color w:val="000000"/>
          <w:sz w:val="18"/>
          <w:szCs w:val="18"/>
          <w:highlight w:val="yellow"/>
          <w:lang w:val="fr-FR" w:eastAsia="fr-FR"/>
        </w:rPr>
        <w:t>British Geological Survey</w:t>
      </w:r>
    </w:p>
    <w:p w14:paraId="62A9595E" w14:textId="77777777" w:rsidR="00F10F42" w:rsidRPr="00EF510A" w:rsidRDefault="00F10F42" w:rsidP="00AD33C7">
      <w:pPr>
        <w:rPr>
          <w:sz w:val="2"/>
          <w:szCs w:val="22"/>
          <w:highlight w:val="yellow"/>
          <w:lang w:bidi="ar-TN"/>
        </w:rPr>
      </w:pPr>
    </w:p>
    <w:sectPr w:rsidR="00F10F42" w:rsidRPr="00EF510A" w:rsidSect="00F53E8A">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7" w:h="16840" w:code="9"/>
      <w:pgMar w:top="1440" w:right="1440" w:bottom="1440" w:left="144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A502B" w14:textId="77777777" w:rsidR="003B7AE0" w:rsidRDefault="003B7AE0" w:rsidP="0030523C">
      <w:r>
        <w:separator/>
      </w:r>
    </w:p>
  </w:endnote>
  <w:endnote w:type="continuationSeparator" w:id="0">
    <w:p w14:paraId="763702CB" w14:textId="77777777" w:rsidR="003B7AE0" w:rsidRDefault="003B7AE0" w:rsidP="0030523C">
      <w:r>
        <w:continuationSeparator/>
      </w:r>
    </w:p>
  </w:endnote>
  <w:endnote w:type="continuationNotice" w:id="1">
    <w:p w14:paraId="53D7B73D" w14:textId="77777777" w:rsidR="003B7AE0" w:rsidRDefault="003B7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umnst777 Lt BT">
    <w:altName w:val="Calibri"/>
    <w:charset w:val="00"/>
    <w:family w:val="swiss"/>
    <w:pitch w:val="variable"/>
    <w:sig w:usb0="800000AF" w:usb1="1000204A" w:usb2="00000000" w:usb3="00000000" w:csb0="00000011" w:csb1="00000000"/>
  </w:font>
  <w:font w:name="Humnst777 BT">
    <w:charset w:val="00"/>
    <w:family w:val="swiss"/>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nivers 55">
    <w:altName w:val="Bell MT"/>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auto"/>
    <w:pitch w:val="variable"/>
    <w:sig w:usb0="00000003" w:usb1="00000000" w:usb2="00000000" w:usb3="00000000" w:csb0="00000001" w:csb1="00000000"/>
  </w:font>
  <w:font w:name="ヒラギノ角ゴ Pro W3">
    <w:altName w:val="Arial Unicode MS"/>
    <w:charset w:val="80"/>
    <w:family w:val="swiss"/>
    <w:pitch w:val="variable"/>
    <w:sig w:usb0="E00002FF" w:usb1="7AC7FFFF" w:usb2="00000012" w:usb3="00000000" w:csb0="0002000D"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ITC Charter Com">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63B8" w14:textId="77777777" w:rsidR="00004416" w:rsidRDefault="00004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756BE" w14:textId="77777777" w:rsidR="00641701" w:rsidRPr="00F67DB3" w:rsidRDefault="00641701" w:rsidP="0052688B">
    <w:pPr>
      <w:pStyle w:val="Footer"/>
      <w:pBdr>
        <w:top w:val="single" w:sz="4" w:space="1" w:color="0070C0"/>
      </w:pBdr>
      <w:tabs>
        <w:tab w:val="clear" w:pos="4513"/>
        <w:tab w:val="left" w:pos="0"/>
        <w:tab w:val="right" w:pos="8931"/>
      </w:tabs>
      <w:jc w:val="right"/>
      <w:rPr>
        <w:bCs/>
        <w:sz w:val="16"/>
      </w:rPr>
    </w:pPr>
    <w:r w:rsidRPr="00F67DB3">
      <w:rPr>
        <w:sz w:val="16"/>
      </w:rPr>
      <w:t>|</w:t>
    </w:r>
    <w:r w:rsidRPr="00F67DB3">
      <w:rPr>
        <w:color w:val="0070C0"/>
        <w:sz w:val="16"/>
      </w:rPr>
      <w:t xml:space="preserve"> </w:t>
    </w:r>
    <w:r w:rsidRPr="00F67DB3">
      <w:rPr>
        <w:color w:val="0070C0"/>
        <w:spacing w:val="60"/>
        <w:sz w:val="16"/>
        <w:lang w:val="fr-FR" w:eastAsia="fr-FR"/>
      </w:rPr>
      <w:t>Page</w:t>
    </w:r>
    <w:r w:rsidRPr="00F67DB3">
      <w:rPr>
        <w:color w:val="0070C0"/>
        <w:spacing w:val="60"/>
        <w:sz w:val="16"/>
      </w:rPr>
      <w:t xml:space="preserve"> </w:t>
    </w:r>
    <w:r w:rsidRPr="00F67DB3">
      <w:rPr>
        <w:sz w:val="16"/>
      </w:rPr>
      <w:fldChar w:fldCharType="begin"/>
    </w:r>
    <w:r w:rsidRPr="00F67DB3">
      <w:rPr>
        <w:sz w:val="16"/>
      </w:rPr>
      <w:instrText xml:space="preserve"> PAGE   \* MERGEFORMAT </w:instrText>
    </w:r>
    <w:r w:rsidRPr="00F67DB3">
      <w:rPr>
        <w:sz w:val="16"/>
      </w:rPr>
      <w:fldChar w:fldCharType="separate"/>
    </w:r>
    <w:r w:rsidRPr="00F67DB3">
      <w:rPr>
        <w:noProof/>
        <w:sz w:val="16"/>
      </w:rPr>
      <w:t>88</w:t>
    </w:r>
    <w:r w:rsidRPr="00F67DB3">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7516" w14:textId="7217AD5C" w:rsidR="00641701" w:rsidRPr="00E0694A" w:rsidRDefault="00641701" w:rsidP="00E0694A">
    <w:pPr>
      <w:pStyle w:val="Footer"/>
      <w:pBdr>
        <w:top w:val="single" w:sz="4" w:space="1" w:color="0070C0"/>
      </w:pBdr>
      <w:tabs>
        <w:tab w:val="clear" w:pos="4513"/>
        <w:tab w:val="left" w:pos="0"/>
        <w:tab w:val="right" w:pos="8931"/>
      </w:tabs>
      <w:jc w:val="right"/>
      <w:rPr>
        <w:bCs/>
        <w:sz w:val="16"/>
      </w:rPr>
    </w:pPr>
    <w:r w:rsidRPr="00F67DB3">
      <w:rPr>
        <w:sz w:val="16"/>
      </w:rPr>
      <w:t>|</w:t>
    </w:r>
    <w:r w:rsidRPr="00F67DB3">
      <w:rPr>
        <w:color w:val="0070C0"/>
        <w:sz w:val="16"/>
      </w:rPr>
      <w:t xml:space="preserve"> </w:t>
    </w:r>
    <w:r w:rsidRPr="00F67DB3">
      <w:rPr>
        <w:color w:val="0070C0"/>
        <w:spacing w:val="60"/>
        <w:sz w:val="16"/>
        <w:lang w:val="fr-FR" w:eastAsia="fr-FR"/>
      </w:rPr>
      <w:t>Page</w:t>
    </w:r>
    <w:r w:rsidRPr="00F67DB3">
      <w:rPr>
        <w:color w:val="0070C0"/>
        <w:spacing w:val="60"/>
        <w:sz w:val="16"/>
      </w:rPr>
      <w:t xml:space="preserve"> </w:t>
    </w:r>
    <w:r w:rsidRPr="00F67DB3">
      <w:rPr>
        <w:sz w:val="16"/>
      </w:rPr>
      <w:fldChar w:fldCharType="begin"/>
    </w:r>
    <w:r w:rsidRPr="00F67DB3">
      <w:rPr>
        <w:sz w:val="16"/>
      </w:rPr>
      <w:instrText xml:space="preserve"> PAGE   \* MERGEFORMAT </w:instrText>
    </w:r>
    <w:r w:rsidRPr="00F67DB3">
      <w:rPr>
        <w:sz w:val="16"/>
      </w:rPr>
      <w:fldChar w:fldCharType="separate"/>
    </w:r>
    <w:r>
      <w:rPr>
        <w:sz w:val="16"/>
      </w:rPr>
      <w:t>2</w:t>
    </w:r>
    <w:r w:rsidRPr="00F67DB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5ACD7" w14:textId="77777777" w:rsidR="003B7AE0" w:rsidRDefault="003B7AE0" w:rsidP="0030523C">
      <w:r>
        <w:separator/>
      </w:r>
    </w:p>
  </w:footnote>
  <w:footnote w:type="continuationSeparator" w:id="0">
    <w:p w14:paraId="40DFCC00" w14:textId="77777777" w:rsidR="003B7AE0" w:rsidRDefault="003B7AE0" w:rsidP="0030523C">
      <w:r>
        <w:continuationSeparator/>
      </w:r>
    </w:p>
  </w:footnote>
  <w:footnote w:type="continuationNotice" w:id="1">
    <w:p w14:paraId="33755562" w14:textId="77777777" w:rsidR="003B7AE0" w:rsidRDefault="003B7AE0"/>
  </w:footnote>
  <w:footnote w:id="2">
    <w:p w14:paraId="091455CC" w14:textId="77777777" w:rsidR="00641701" w:rsidRPr="008E706A" w:rsidRDefault="00641701" w:rsidP="00FE1750">
      <w:pPr>
        <w:pStyle w:val="Default"/>
        <w:keepLines/>
        <w:widowControl w:val="0"/>
        <w:spacing w:before="120" w:line="276" w:lineRule="auto"/>
        <w:rPr>
          <w:rFonts w:ascii="Arial" w:hAnsi="Arial" w:cs="Arial"/>
          <w:sz w:val="20"/>
          <w:szCs w:val="20"/>
        </w:rPr>
      </w:pPr>
      <w:r w:rsidRPr="008E706A">
        <w:rPr>
          <w:rStyle w:val="FootnoteReference"/>
          <w:rFonts w:ascii="Arial" w:hAnsi="Arial" w:cs="Arial"/>
          <w:color w:val="auto"/>
          <w:sz w:val="20"/>
          <w:szCs w:val="20"/>
        </w:rPr>
        <w:footnoteRef/>
      </w:r>
      <w:r w:rsidRPr="008E706A">
        <w:rPr>
          <w:rFonts w:ascii="Arial" w:hAnsi="Arial" w:cs="Arial"/>
          <w:sz w:val="20"/>
          <w:szCs w:val="20"/>
        </w:rPr>
        <w:t xml:space="preserve"> Wytch Farm in Dorset, England, is the only substantial onshore field and is partly covered by a “seaward” licence; the drilling sites are onshore, but some of the wells extend under Poole Harbour. Wytch Farm is here treated as offshore.</w:t>
      </w:r>
    </w:p>
  </w:footnote>
  <w:footnote w:id="3">
    <w:p w14:paraId="6C2C1F77" w14:textId="77777777" w:rsidR="00641701" w:rsidRPr="008E706A" w:rsidRDefault="00641701" w:rsidP="00FE1750">
      <w:pPr>
        <w:pStyle w:val="FootnoteText"/>
        <w:keepLines/>
        <w:spacing w:before="120" w:line="276" w:lineRule="auto"/>
        <w:rPr>
          <w:rFonts w:cs="Arial"/>
          <w:sz w:val="20"/>
          <w:lang w:val="en-GB"/>
        </w:rPr>
      </w:pPr>
      <w:r w:rsidRPr="008E706A">
        <w:rPr>
          <w:rStyle w:val="FootnoteReference"/>
          <w:rFonts w:cs="Arial"/>
          <w:sz w:val="20"/>
        </w:rPr>
        <w:footnoteRef/>
      </w:r>
      <w:r w:rsidRPr="008E706A">
        <w:rPr>
          <w:rFonts w:cs="Arial"/>
          <w:sz w:val="20"/>
        </w:rPr>
        <w:t xml:space="preserve"> </w:t>
      </w:r>
      <w:r w:rsidRPr="008E706A">
        <w:rPr>
          <w:rFonts w:cs="Arial"/>
          <w:sz w:val="20"/>
          <w:lang w:val="en-GB"/>
        </w:rPr>
        <w:t xml:space="preserve">OGA, Reserves and Resources </w:t>
      </w:r>
      <w:hyperlink r:id="rId1" w:history="1">
        <w:r w:rsidRPr="008E706A">
          <w:rPr>
            <w:rStyle w:val="Hyperlink"/>
            <w:rFonts w:cs="Arial"/>
            <w:sz w:val="20"/>
            <w:lang w:val="en-GB"/>
          </w:rPr>
          <w:t>http://www.ogauthority.co.uk/data-centre/data-downloads-and-publications/reserves-and-resources/</w:t>
        </w:r>
      </w:hyperlink>
    </w:p>
  </w:footnote>
  <w:footnote w:id="4">
    <w:p w14:paraId="73C00672" w14:textId="77777777" w:rsidR="00641701" w:rsidRPr="004E7263" w:rsidRDefault="00641701" w:rsidP="00FE1750">
      <w:pPr>
        <w:pStyle w:val="FootnoteText"/>
        <w:keepLines/>
        <w:spacing w:before="120" w:line="276" w:lineRule="auto"/>
        <w:rPr>
          <w:rFonts w:cs="Arial"/>
          <w:sz w:val="20"/>
          <w:lang w:val="en-GB"/>
        </w:rPr>
      </w:pPr>
      <w:r w:rsidRPr="008E706A">
        <w:rPr>
          <w:rStyle w:val="FootnoteReference"/>
          <w:rFonts w:cs="Arial"/>
          <w:sz w:val="20"/>
        </w:rPr>
        <w:footnoteRef/>
      </w:r>
      <w:r w:rsidRPr="008E706A">
        <w:rPr>
          <w:rFonts w:cs="Arial"/>
          <w:sz w:val="20"/>
        </w:rPr>
        <w:t xml:space="preserve"> </w:t>
      </w:r>
      <w:r w:rsidRPr="008E706A">
        <w:rPr>
          <w:rFonts w:cs="Arial"/>
          <w:sz w:val="20"/>
          <w:lang w:val="en-GB"/>
        </w:rPr>
        <w:t xml:space="preserve">The International Energy Agency publishes annual booklets of its most useful statistics, including the Key World Energy Statistics 2017. These show a steady increase of oil and gas consumption (and thus demand) since the 1970s. </w:t>
      </w:r>
      <w:hyperlink r:id="rId2" w:history="1">
        <w:r w:rsidRPr="008E706A">
          <w:rPr>
            <w:rStyle w:val="Hyperlink"/>
            <w:rFonts w:cs="Arial"/>
            <w:sz w:val="20"/>
            <w:lang w:val="en-GB"/>
          </w:rPr>
          <w:t>http://www.iea.org/publications/freepublications/publication/KeyWorld2017.pdf</w:t>
        </w:r>
      </w:hyperlink>
      <w:r w:rsidRPr="008E706A">
        <w:rPr>
          <w:rFonts w:cs="Arial"/>
          <w:sz w:val="20"/>
          <w:lang w:val="en-GB"/>
        </w:rPr>
        <w:t>, page 39f.</w:t>
      </w:r>
    </w:p>
  </w:footnote>
  <w:footnote w:id="5">
    <w:p w14:paraId="784B4BC4" w14:textId="34E46490" w:rsidR="00641701" w:rsidRPr="008E706A" w:rsidRDefault="00641701" w:rsidP="00FE1750">
      <w:pPr>
        <w:pStyle w:val="FootnoteText"/>
        <w:keepLines/>
        <w:spacing w:before="120" w:line="276" w:lineRule="auto"/>
        <w:rPr>
          <w:rFonts w:cs="Arial"/>
          <w:sz w:val="20"/>
          <w:lang w:val="en-GB"/>
        </w:rPr>
      </w:pPr>
      <w:r w:rsidRPr="008E706A">
        <w:rPr>
          <w:rStyle w:val="FootnoteReference"/>
          <w:rFonts w:cs="Arial"/>
          <w:sz w:val="20"/>
        </w:rPr>
        <w:footnoteRef/>
      </w:r>
      <w:r w:rsidRPr="008E706A">
        <w:rPr>
          <w:rFonts w:cs="Arial"/>
          <w:sz w:val="20"/>
        </w:rPr>
        <w:t xml:space="preserve"> </w:t>
      </w:r>
      <w:r w:rsidRPr="008E706A">
        <w:rPr>
          <w:rFonts w:cs="Arial"/>
          <w:sz w:val="20"/>
          <w:lang w:val="en-GB"/>
        </w:rPr>
        <w:t>A more detailed analysis of the supply imbalance and cyclical adjustments currently being experienced by the oil and gas industry, see BP’s Statistical review of World Energy 201</w:t>
      </w:r>
      <w:r>
        <w:rPr>
          <w:rFonts w:cs="Arial"/>
          <w:sz w:val="20"/>
          <w:lang w:val="en-GB"/>
        </w:rPr>
        <w:t>8</w:t>
      </w:r>
      <w:r w:rsidRPr="008E706A">
        <w:rPr>
          <w:rFonts w:cs="Arial"/>
          <w:sz w:val="20"/>
          <w:lang w:val="en-GB"/>
        </w:rPr>
        <w:t>:</w:t>
      </w:r>
      <w:r>
        <w:rPr>
          <w:rFonts w:cs="Arial"/>
          <w:sz w:val="20"/>
          <w:lang w:val="en-GB"/>
        </w:rPr>
        <w:t xml:space="preserve"> </w:t>
      </w:r>
      <w:hyperlink r:id="rId3" w:history="1">
        <w:r w:rsidR="003D4053" w:rsidRPr="005E1C90">
          <w:rPr>
            <w:rStyle w:val="Hyperlink"/>
            <w:rFonts w:cs="Arial"/>
            <w:sz w:val="20"/>
            <w:lang w:val="en-GB"/>
          </w:rPr>
          <w:t>https://www.bp.com/content/dam/bp/business-sites/en/global/corporate/pdfs/energy-economics/statistical-review/bp-stats-review-2018-full-report.pdf</w:t>
        </w:r>
      </w:hyperlink>
    </w:p>
  </w:footnote>
  <w:footnote w:id="6">
    <w:p w14:paraId="0D824937" w14:textId="77777777" w:rsidR="00641701" w:rsidRPr="008E706A" w:rsidRDefault="00641701" w:rsidP="00FE1750">
      <w:pPr>
        <w:pStyle w:val="FootnoteText"/>
        <w:keepLines/>
        <w:spacing w:before="120" w:line="276" w:lineRule="auto"/>
        <w:rPr>
          <w:rFonts w:cs="Arial"/>
          <w:sz w:val="20"/>
          <w:lang w:val="en-GB"/>
        </w:rPr>
      </w:pPr>
      <w:r w:rsidRPr="008E706A">
        <w:rPr>
          <w:rStyle w:val="FootnoteReference"/>
          <w:rFonts w:cs="Arial"/>
          <w:sz w:val="20"/>
        </w:rPr>
        <w:footnoteRef/>
      </w:r>
      <w:r w:rsidRPr="008E706A">
        <w:rPr>
          <w:rFonts w:cs="Arial"/>
          <w:sz w:val="20"/>
        </w:rPr>
        <w:t xml:space="preserve"> </w:t>
      </w:r>
      <w:r w:rsidRPr="008E706A">
        <w:rPr>
          <w:rFonts w:cs="Arial"/>
          <w:sz w:val="20"/>
          <w:lang w:val="en-GB"/>
        </w:rPr>
        <w:t xml:space="preserve">Monthly average dollar Brent oil price from World Bank Commodity Price Data (The Pink Sheet), </w:t>
      </w:r>
      <w:hyperlink r:id="rId4" w:history="1">
        <w:r w:rsidRPr="008E706A">
          <w:rPr>
            <w:rStyle w:val="Hyperlink"/>
            <w:rFonts w:cs="Arial"/>
            <w:sz w:val="20"/>
            <w:lang w:val="en-GB"/>
          </w:rPr>
          <w:t>http://www.worldbank.org/en/research/commodity-markets</w:t>
        </w:r>
      </w:hyperlink>
      <w:r w:rsidRPr="008E706A">
        <w:rPr>
          <w:rFonts w:cs="Arial"/>
          <w:sz w:val="20"/>
          <w:lang w:val="en-GB"/>
        </w:rPr>
        <w:t xml:space="preserve">; monthly average £/$ exchange rate (series </w:t>
      </w:r>
      <w:r w:rsidRPr="008E706A">
        <w:rPr>
          <w:rFonts w:cs="Arial"/>
          <w:sz w:val="20"/>
        </w:rPr>
        <w:t>XUMAUSS</w:t>
      </w:r>
      <w:r w:rsidRPr="008E706A">
        <w:rPr>
          <w:rFonts w:cs="Arial"/>
          <w:sz w:val="20"/>
          <w:lang w:val="en-GB"/>
        </w:rPr>
        <w:t>)</w:t>
      </w:r>
      <w:r w:rsidRPr="008E706A">
        <w:rPr>
          <w:rFonts w:cs="Arial"/>
          <w:sz w:val="20"/>
        </w:rPr>
        <w:t xml:space="preserve"> from</w:t>
      </w:r>
      <w:r w:rsidRPr="008E706A">
        <w:rPr>
          <w:rFonts w:cs="Arial"/>
          <w:sz w:val="20"/>
          <w:lang w:val="en-GB"/>
        </w:rPr>
        <w:t xml:space="preserve"> </w:t>
      </w:r>
      <w:hyperlink r:id="rId5" w:history="1">
        <w:r w:rsidRPr="008E706A">
          <w:rPr>
            <w:rStyle w:val="Hyperlink"/>
            <w:rFonts w:cs="Arial"/>
            <w:sz w:val="20"/>
          </w:rPr>
          <w:t>http://www.bankofengland.co.uk/</w:t>
        </w:r>
      </w:hyperlink>
      <w:r w:rsidRPr="008E706A">
        <w:rPr>
          <w:rFonts w:cs="Arial"/>
          <w:sz w:val="20"/>
          <w:lang w:val="en-GB"/>
        </w:rPr>
        <w:t>.</w:t>
      </w:r>
    </w:p>
  </w:footnote>
  <w:footnote w:id="7">
    <w:p w14:paraId="5A3F86DD" w14:textId="77777777" w:rsidR="00641701" w:rsidRPr="004E7263" w:rsidRDefault="00641701" w:rsidP="00FE1750">
      <w:pPr>
        <w:pStyle w:val="FootnoteText"/>
        <w:keepLines/>
        <w:spacing w:before="120" w:line="276" w:lineRule="auto"/>
        <w:rPr>
          <w:rFonts w:cs="Arial"/>
          <w:sz w:val="20"/>
          <w:lang w:val="en-GB"/>
        </w:rPr>
      </w:pPr>
      <w:r w:rsidRPr="008E706A">
        <w:rPr>
          <w:rStyle w:val="FootnoteReference"/>
          <w:rFonts w:cs="Arial"/>
          <w:sz w:val="20"/>
        </w:rPr>
        <w:footnoteRef/>
      </w:r>
      <w:r w:rsidRPr="008E706A">
        <w:rPr>
          <w:rFonts w:cs="Arial"/>
          <w:sz w:val="20"/>
        </w:rPr>
        <w:t xml:space="preserve"> </w:t>
      </w:r>
      <w:r w:rsidRPr="008E706A">
        <w:rPr>
          <w:rFonts w:cs="Arial"/>
          <w:sz w:val="20"/>
          <w:lang w:val="en-GB"/>
        </w:rPr>
        <w:t xml:space="preserve">TTF, the Dutch Transfer Facility, is the most liquid: </w:t>
      </w:r>
      <w:hyperlink r:id="rId6" w:history="1">
        <w:r w:rsidRPr="008E706A">
          <w:rPr>
            <w:rStyle w:val="Hyperlink"/>
            <w:rFonts w:cs="Arial"/>
            <w:sz w:val="20"/>
            <w:lang w:val="en-GB"/>
          </w:rPr>
          <w:t>https://www.theice.com/endex</w:t>
        </w:r>
      </w:hyperlink>
      <w:r w:rsidRPr="008E706A">
        <w:rPr>
          <w:rFonts w:cs="Arial"/>
          <w:sz w:val="20"/>
          <w:lang w:val="en-GB"/>
        </w:rPr>
        <w:t xml:space="preserve">. See also the trading of NBP contracts on ICE: </w:t>
      </w:r>
      <w:hyperlink r:id="rId7" w:history="1">
        <w:r w:rsidRPr="008E706A">
          <w:rPr>
            <w:rStyle w:val="Hyperlink"/>
            <w:rFonts w:cs="Arial"/>
            <w:sz w:val="20"/>
            <w:lang w:val="en-GB"/>
          </w:rPr>
          <w:t>https://www.theice.com/products/910/UK-Natural-Gas-Futures</w:t>
        </w:r>
      </w:hyperlink>
    </w:p>
  </w:footnote>
  <w:footnote w:id="8">
    <w:p w14:paraId="5225BBDA" w14:textId="77777777" w:rsidR="00641701" w:rsidRPr="004E7263" w:rsidRDefault="00641701" w:rsidP="00FE1750">
      <w:pPr>
        <w:keepLines/>
        <w:spacing w:before="120" w:line="276" w:lineRule="auto"/>
        <w:rPr>
          <w:sz w:val="20"/>
          <w:szCs w:val="20"/>
        </w:rPr>
      </w:pPr>
      <w:r w:rsidRPr="004E7263">
        <w:rPr>
          <w:rStyle w:val="FootnoteReference"/>
          <w:sz w:val="20"/>
          <w:szCs w:val="20"/>
        </w:rPr>
        <w:footnoteRef/>
      </w:r>
      <w:hyperlink r:id="rId8" w:history="1">
        <w:r w:rsidRPr="004E7263">
          <w:rPr>
            <w:rStyle w:val="Hyperlink"/>
            <w:sz w:val="20"/>
            <w:szCs w:val="20"/>
          </w:rPr>
          <w:t>https://www.bp.com/en/global/corporate/energy-economics/energy-outlook/demand-by-fuel/natural-gas.html</w:t>
        </w:r>
      </w:hyperlink>
      <w:r w:rsidRPr="004E7263">
        <w:rPr>
          <w:sz w:val="20"/>
          <w:szCs w:val="20"/>
        </w:rPr>
        <w:t xml:space="preserve"> </w:t>
      </w:r>
    </w:p>
  </w:footnote>
  <w:footnote w:id="9">
    <w:p w14:paraId="15ACAEDA" w14:textId="7F443FC6" w:rsidR="00641701" w:rsidRPr="004E7263" w:rsidRDefault="00641701" w:rsidP="00FE1750">
      <w:pPr>
        <w:pStyle w:val="FootnoteText"/>
        <w:keepLines/>
        <w:spacing w:before="120" w:line="276" w:lineRule="auto"/>
        <w:rPr>
          <w:rFonts w:cs="Arial"/>
          <w:sz w:val="20"/>
          <w:lang w:val="en-GB"/>
        </w:rPr>
      </w:pPr>
      <w:r w:rsidRPr="004E7263">
        <w:rPr>
          <w:rStyle w:val="FootnoteReference"/>
          <w:rFonts w:cs="Arial"/>
          <w:sz w:val="20"/>
        </w:rPr>
        <w:footnoteRef/>
      </w:r>
      <w:r w:rsidRPr="004E7263">
        <w:rPr>
          <w:rFonts w:cs="Arial"/>
          <w:sz w:val="20"/>
        </w:rPr>
        <w:t xml:space="preserve"> </w:t>
      </w:r>
      <w:r w:rsidRPr="004E7263">
        <w:rPr>
          <w:rFonts w:cs="Arial"/>
          <w:sz w:val="20"/>
          <w:lang w:val="en-GB"/>
        </w:rPr>
        <w:t xml:space="preserve">See also Oil &amp; Gas UK’s 2016 and 2017 Economic Reports; </w:t>
      </w:r>
      <w:hyperlink r:id="rId9" w:history="1">
        <w:r w:rsidRPr="004E7263">
          <w:rPr>
            <w:rStyle w:val="Hyperlink"/>
            <w:rFonts w:cs="Arial"/>
            <w:sz w:val="20"/>
            <w:lang w:val="en-GB"/>
          </w:rPr>
          <w:t>http://oilandgasuk.co.uk/wp-content/uploads/2017/09/Economic-Report-2017-Oil-Gas-UK.pdf</w:t>
        </w:r>
      </w:hyperlink>
      <w:r>
        <w:rPr>
          <w:rStyle w:val="Hyperlink"/>
          <w:rFonts w:cs="Arial"/>
          <w:sz w:val="20"/>
          <w:lang w:val="en-GB"/>
        </w:rPr>
        <w:t xml:space="preserve">, </w:t>
      </w:r>
      <w:hyperlink r:id="rId10" w:history="1">
        <w:r w:rsidRPr="00A368C2">
          <w:rPr>
            <w:rStyle w:val="Hyperlink"/>
            <w:rFonts w:cs="Arial"/>
            <w:sz w:val="20"/>
            <w:lang w:val="en-GB"/>
          </w:rPr>
          <w:t>https://oilandgasuk.co.uk/product/economic-report-2018/</w:t>
        </w:r>
      </w:hyperlink>
    </w:p>
  </w:footnote>
  <w:footnote w:id="10">
    <w:p w14:paraId="551BA5A0" w14:textId="77777777" w:rsidR="00641701" w:rsidRPr="004A6276" w:rsidRDefault="00641701" w:rsidP="00693081">
      <w:pPr>
        <w:pStyle w:val="FootnoteText"/>
        <w:keepLines/>
        <w:spacing w:before="120" w:line="276" w:lineRule="auto"/>
        <w:rPr>
          <w:rFonts w:cs="Arial"/>
          <w:sz w:val="20"/>
          <w:lang w:val="en-GB"/>
        </w:rPr>
      </w:pPr>
      <w:r w:rsidRPr="004A6276">
        <w:rPr>
          <w:rStyle w:val="FootnoteReference"/>
          <w:rFonts w:cs="Arial"/>
          <w:sz w:val="20"/>
        </w:rPr>
        <w:footnoteRef/>
      </w:r>
      <w:r w:rsidRPr="004A6276">
        <w:rPr>
          <w:rFonts w:cs="Arial"/>
          <w:sz w:val="20"/>
        </w:rPr>
        <w:t xml:space="preserve"> </w:t>
      </w:r>
      <w:r w:rsidRPr="004A6276">
        <w:rPr>
          <w:rFonts w:cs="Arial"/>
          <w:sz w:val="20"/>
          <w:lang w:val="en-GB"/>
        </w:rPr>
        <w:t xml:space="preserve">Source: OGA. Net natural gas production equals gross production less producers’ own use i.e. the gas used in the course of production of oil and gas and therefore not available for sale to end users. The OGA publishes data relating to production of UK oil and gas, including production data for individual fields, production and expenditure projections and tables and charts on UKCS income and expenditure: </w:t>
      </w:r>
      <w:hyperlink r:id="rId11" w:history="1">
        <w:r w:rsidRPr="004A6276">
          <w:rPr>
            <w:rStyle w:val="Hyperlink"/>
            <w:rFonts w:cs="Arial"/>
            <w:sz w:val="20"/>
            <w:lang w:val="en-GB"/>
          </w:rPr>
          <w:t>https://www.ogauthority.co.uk/data-centre/data-downloads-and-publications/</w:t>
        </w:r>
      </w:hyperlink>
    </w:p>
  </w:footnote>
  <w:footnote w:id="11">
    <w:p w14:paraId="2788BFA3" w14:textId="77777777" w:rsidR="00641701" w:rsidRPr="006237B3" w:rsidRDefault="00641701" w:rsidP="00641701">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Source: OGA, </w:t>
      </w:r>
      <w:hyperlink r:id="rId12" w:history="1">
        <w:r w:rsidRPr="006237B3">
          <w:rPr>
            <w:rStyle w:val="Hyperlink"/>
            <w:rFonts w:cs="Arial"/>
            <w:sz w:val="20"/>
            <w:lang w:val="en-GB"/>
          </w:rPr>
          <w:t>https://data-ogauthority.opendata.arcgis.com/pages/production</w:t>
        </w:r>
      </w:hyperlink>
      <w:r w:rsidRPr="006237B3">
        <w:rPr>
          <w:rFonts w:cs="Arial"/>
          <w:sz w:val="20"/>
          <w:lang w:val="en-GB"/>
        </w:rPr>
        <w:t xml:space="preserve"> </w:t>
      </w:r>
    </w:p>
  </w:footnote>
  <w:footnote w:id="12">
    <w:p w14:paraId="2EBE4274" w14:textId="5D7D66E1" w:rsidR="00641701" w:rsidRPr="006237B3" w:rsidRDefault="00641701" w:rsidP="00FE1750">
      <w:pPr>
        <w:pStyle w:val="FootnoteText"/>
        <w:keepLines/>
        <w:spacing w:before="120" w:line="276" w:lineRule="auto"/>
        <w:rPr>
          <w:rFonts w:cs="Arial"/>
          <w:sz w:val="20"/>
          <w:lang w:val="en-GB"/>
        </w:rPr>
      </w:pPr>
      <w:r w:rsidRPr="006237B3">
        <w:rPr>
          <w:rStyle w:val="FootnoteReference"/>
          <w:rFonts w:cs="Arial"/>
          <w:sz w:val="20"/>
        </w:rPr>
        <w:footnoteRef/>
      </w:r>
      <w:r w:rsidRPr="006237B3">
        <w:rPr>
          <w:rFonts w:cs="Arial"/>
          <w:sz w:val="20"/>
        </w:rPr>
        <w:t xml:space="preserve"> </w:t>
      </w:r>
      <w:r w:rsidRPr="006237B3">
        <w:rPr>
          <w:rFonts w:cs="Arial"/>
          <w:sz w:val="20"/>
          <w:lang w:val="en-GB"/>
        </w:rPr>
        <w:t>BP, Statistical Review of World Energy 201</w:t>
      </w:r>
      <w:r>
        <w:rPr>
          <w:rFonts w:cs="Arial"/>
          <w:sz w:val="20"/>
          <w:lang w:val="en-GB"/>
        </w:rPr>
        <w:t>8</w:t>
      </w:r>
      <w:r w:rsidRPr="006237B3">
        <w:rPr>
          <w:rFonts w:cs="Arial"/>
          <w:sz w:val="20"/>
          <w:lang w:val="en-GB"/>
        </w:rPr>
        <w:t>.</w:t>
      </w:r>
      <w:r>
        <w:rPr>
          <w:rFonts w:cs="Arial"/>
          <w:sz w:val="20"/>
          <w:lang w:val="en-GB"/>
        </w:rPr>
        <w:t xml:space="preserve"> </w:t>
      </w:r>
      <w:hyperlink r:id="rId13" w:history="1">
        <w:r w:rsidR="00EF1C4B" w:rsidRPr="005E1C90">
          <w:rPr>
            <w:rStyle w:val="Hyperlink"/>
            <w:rFonts w:cs="Arial"/>
            <w:sz w:val="20"/>
            <w:lang w:val="en-GB"/>
          </w:rPr>
          <w:t>https://www.bp.com/content/dam/bp/business-sites/en/global/corporate/pdfs/energy-economics/statistical-review/bp-stats-review-2018-full-report.pdf</w:t>
        </w:r>
      </w:hyperlink>
      <w:r w:rsidRPr="000F71B1">
        <w:rPr>
          <w:rStyle w:val="Hyperlink"/>
          <w:rFonts w:cs="Arial"/>
          <w:sz w:val="20"/>
          <w:lang w:val="en-GB"/>
        </w:rPr>
        <w:t>l</w:t>
      </w:r>
    </w:p>
  </w:footnote>
  <w:footnote w:id="13">
    <w:p w14:paraId="7A6A11E8" w14:textId="77777777" w:rsidR="00FE5EFB" w:rsidRPr="006237B3" w:rsidRDefault="00FE5EFB" w:rsidP="00FE5EFB">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Style w:val="FootnoteReference"/>
          <w:rFonts w:ascii="Arial" w:hAnsi="Arial" w:cs="Arial"/>
          <w:color w:val="auto"/>
          <w:sz w:val="20"/>
          <w:szCs w:val="20"/>
        </w:rPr>
        <w:t xml:space="preserve"> </w:t>
      </w:r>
      <w:hyperlink r:id="rId14" w:history="1">
        <w:r w:rsidRPr="006237B3">
          <w:rPr>
            <w:rStyle w:val="Hyperlink"/>
            <w:rFonts w:ascii="Arial" w:hAnsi="Arial" w:cs="Arial"/>
            <w:sz w:val="20"/>
            <w:szCs w:val="20"/>
          </w:rPr>
          <w:t>https://www.ogauthority.co.uk/data-centre/data-downloads-and-publications/ukcs-income-and-expenditure/</w:t>
        </w:r>
      </w:hyperlink>
    </w:p>
  </w:footnote>
  <w:footnote w:id="14">
    <w:p w14:paraId="67106F2F" w14:textId="77777777" w:rsidR="00C963C5" w:rsidRDefault="00C963C5" w:rsidP="00C963C5">
      <w:pPr>
        <w:pStyle w:val="FootnoteText"/>
        <w:keepLines/>
        <w:spacing w:before="120" w:line="276" w:lineRule="auto"/>
        <w:rPr>
          <w:rFonts w:cs="Arial"/>
          <w:sz w:val="20"/>
          <w:lang w:val="en-GB"/>
        </w:rPr>
      </w:pPr>
      <w:r>
        <w:rPr>
          <w:rStyle w:val="FootnoteReference"/>
          <w:rFonts w:cs="Arial"/>
          <w:sz w:val="20"/>
        </w:rPr>
        <w:footnoteRef/>
      </w:r>
      <w:hyperlink r:id="rId15" w:history="1">
        <w:r>
          <w:rPr>
            <w:rStyle w:val="Hyperlink"/>
            <w:rFonts w:cs="Arial"/>
            <w:sz w:val="20"/>
            <w:lang w:val="en-GB" w:eastAsia="fr-FR"/>
          </w:rPr>
          <w:t>https://www.ons.gov.uk/economy/governmentpublicsectorandtaxes/publicsectorfinance/articles/improvementstoaccrualsmethodologyforcorporationtaxbankcorporationtaxsurchargeandthebanklevy/2017</w:t>
        </w:r>
      </w:hyperlink>
    </w:p>
  </w:footnote>
  <w:footnote w:id="15">
    <w:p w14:paraId="7C863CDB" w14:textId="77777777" w:rsidR="00C963C5" w:rsidRDefault="00C963C5" w:rsidP="00C963C5">
      <w:pPr>
        <w:pStyle w:val="FootnoteText"/>
        <w:keepLines/>
        <w:spacing w:before="120" w:line="276" w:lineRule="auto"/>
        <w:rPr>
          <w:rFonts w:cs="Arial"/>
          <w:sz w:val="20"/>
          <w:lang w:val="en-GB"/>
        </w:rPr>
      </w:pPr>
      <w:r>
        <w:rPr>
          <w:rStyle w:val="FootnoteReference"/>
          <w:rFonts w:cs="Arial"/>
          <w:sz w:val="20"/>
        </w:rPr>
        <w:footnoteRef/>
      </w:r>
      <w:r>
        <w:rPr>
          <w:rFonts w:cs="Arial"/>
          <w:sz w:val="20"/>
        </w:rPr>
        <w:t xml:space="preserve"> </w:t>
      </w:r>
      <w:hyperlink r:id="rId16" w:history="1">
        <w:r>
          <w:rPr>
            <w:rStyle w:val="Hyperlink"/>
            <w:rFonts w:cs="Arial"/>
            <w:sz w:val="20"/>
            <w:lang w:val="en-GB"/>
          </w:rPr>
          <w:t>https://www.gov.uk/government/statistics/hmrc-tax-and-nics-receipts-for-the-uk</w:t>
        </w:r>
      </w:hyperlink>
      <w:r>
        <w:rPr>
          <w:rStyle w:val="Hyperlink"/>
          <w:rFonts w:cs="Arial"/>
          <w:sz w:val="20"/>
          <w:lang w:val="en-GB"/>
        </w:rPr>
        <w:t xml:space="preserve">; </w:t>
      </w:r>
      <w:hyperlink r:id="rId17" w:history="1">
        <w:r>
          <w:rPr>
            <w:rStyle w:val="Hyperlink"/>
            <w:rFonts w:cs="Arial"/>
            <w:sz w:val="20"/>
            <w:lang w:val="en-GB"/>
          </w:rPr>
          <w:t>https://www.ons.gov.uk/economy/governmentpublicsectorandtaxes/publicsectorfinance/datasets/appendixdpublicsectorcurrentreceipts</w:t>
        </w:r>
      </w:hyperlink>
      <w:r>
        <w:rPr>
          <w:rFonts w:cs="Arial"/>
          <w:sz w:val="20"/>
          <w:lang w:val="en-GB"/>
        </w:rPr>
        <w:t xml:space="preserve"> </w:t>
      </w:r>
    </w:p>
  </w:footnote>
  <w:footnote w:id="16">
    <w:p w14:paraId="44D99525" w14:textId="77777777" w:rsidR="00C963C5" w:rsidRDefault="00C963C5" w:rsidP="00C963C5">
      <w:pPr>
        <w:keepLines/>
        <w:widowControl w:val="0"/>
        <w:spacing w:before="120" w:line="276" w:lineRule="auto"/>
        <w:rPr>
          <w:color w:val="000000"/>
          <w:sz w:val="20"/>
          <w:szCs w:val="20"/>
        </w:rPr>
      </w:pPr>
      <w:r>
        <w:rPr>
          <w:rStyle w:val="FootnoteReference"/>
          <w:sz w:val="20"/>
          <w:szCs w:val="20"/>
        </w:rPr>
        <w:footnoteRef/>
      </w:r>
      <w:r>
        <w:rPr>
          <w:sz w:val="20"/>
          <w:szCs w:val="20"/>
        </w:rPr>
        <w:t xml:space="preserve"> </w:t>
      </w:r>
      <w:r>
        <w:rPr>
          <w:color w:val="000000"/>
          <w:sz w:val="20"/>
          <w:szCs w:val="20"/>
        </w:rPr>
        <w:t xml:space="preserve">Oil and Gas Authority (OGA), Government revenues from UK oil and gas production, </w:t>
      </w:r>
      <w:hyperlink r:id="rId18" w:history="1">
        <w:r>
          <w:rPr>
            <w:rStyle w:val="Hyperlink"/>
            <w:sz w:val="20"/>
            <w:szCs w:val="20"/>
          </w:rPr>
          <w:t>https://www.ogauthority.co.uk/exploration-production/taxation/government-revenues-from-uk-oil-and-gas-production/</w:t>
        </w:r>
      </w:hyperlink>
    </w:p>
  </w:footnote>
  <w:footnote w:id="17">
    <w:p w14:paraId="6D0C91BA" w14:textId="77777777" w:rsidR="00641701" w:rsidRPr="006237B3" w:rsidRDefault="00641701" w:rsidP="00FE1750">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OBR, </w:t>
      </w:r>
      <w:hyperlink r:id="rId19" w:history="1">
        <w:r w:rsidRPr="006237B3">
          <w:rPr>
            <w:rStyle w:val="Hyperlink"/>
            <w:rFonts w:cs="Arial"/>
            <w:sz w:val="20"/>
          </w:rPr>
          <w:t>http://obr.uk/</w:t>
        </w:r>
      </w:hyperlink>
    </w:p>
  </w:footnote>
  <w:footnote w:id="18">
    <w:p w14:paraId="18403EDE" w14:textId="77777777" w:rsidR="008323CD" w:rsidRPr="006237B3" w:rsidRDefault="008323CD" w:rsidP="008323CD">
      <w:pPr>
        <w:keepLines/>
        <w:spacing w:before="120" w:line="276" w:lineRule="auto"/>
        <w:rPr>
          <w:sz w:val="20"/>
          <w:szCs w:val="20"/>
        </w:rPr>
      </w:pPr>
      <w:r w:rsidRPr="006237B3">
        <w:rPr>
          <w:rStyle w:val="FootnoteReference"/>
          <w:sz w:val="20"/>
          <w:szCs w:val="20"/>
        </w:rPr>
        <w:footnoteRef/>
      </w:r>
      <w:r w:rsidRPr="006237B3">
        <w:rPr>
          <w:rStyle w:val="FootnoteReference"/>
          <w:sz w:val="20"/>
          <w:szCs w:val="20"/>
        </w:rPr>
        <w:t xml:space="preserve"> </w:t>
      </w:r>
      <w:r w:rsidRPr="006237B3">
        <w:rPr>
          <w:sz w:val="20"/>
          <w:szCs w:val="20"/>
        </w:rPr>
        <w:t xml:space="preserve">Data from Wood Mackenzie, Upstream Data Tool </w:t>
      </w:r>
      <w:hyperlink r:id="rId20" w:history="1">
        <w:r w:rsidRPr="006237B3">
          <w:rPr>
            <w:rStyle w:val="Hyperlink"/>
            <w:sz w:val="20"/>
            <w:szCs w:val="20"/>
          </w:rPr>
          <w:t>https://www.woodmac.com/research/products/upstream/upstream-data-tool/</w:t>
        </w:r>
      </w:hyperlink>
    </w:p>
  </w:footnote>
  <w:footnote w:id="19">
    <w:p w14:paraId="35F2819D" w14:textId="296EF3F2" w:rsidR="00641701" w:rsidRPr="006237B3" w:rsidRDefault="00641701" w:rsidP="00FE1750">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Fonts w:ascii="Arial" w:hAnsi="Arial" w:cs="Arial"/>
          <w:sz w:val="20"/>
          <w:szCs w:val="20"/>
        </w:rPr>
        <w:t xml:space="preserve"> Source:</w:t>
      </w:r>
      <w:r w:rsidRPr="006237B3">
        <w:rPr>
          <w:rFonts w:ascii="Arial" w:hAnsi="Arial" w:cs="Arial"/>
          <w:color w:val="FF0000"/>
          <w:sz w:val="20"/>
          <w:szCs w:val="20"/>
        </w:rPr>
        <w:t xml:space="preserve"> </w:t>
      </w:r>
      <w:r w:rsidRPr="006237B3">
        <w:rPr>
          <w:rFonts w:ascii="Arial" w:hAnsi="Arial" w:cs="Arial"/>
          <w:color w:val="auto"/>
          <w:sz w:val="20"/>
          <w:szCs w:val="20"/>
        </w:rPr>
        <w:t xml:space="preserve">Oil &amp; Gas UK, </w:t>
      </w:r>
      <w:r w:rsidRPr="006237B3">
        <w:rPr>
          <w:rFonts w:ascii="Arial" w:hAnsi="Arial" w:cs="Arial"/>
          <w:i/>
          <w:color w:val="auto"/>
          <w:sz w:val="20"/>
          <w:szCs w:val="20"/>
        </w:rPr>
        <w:t>Business Outlook 2018</w:t>
      </w:r>
      <w:r w:rsidRPr="006237B3">
        <w:rPr>
          <w:rFonts w:ascii="Arial" w:hAnsi="Arial" w:cs="Arial"/>
          <w:color w:val="auto"/>
          <w:sz w:val="20"/>
          <w:szCs w:val="20"/>
        </w:rPr>
        <w:t xml:space="preserve">, March 2018 </w:t>
      </w:r>
      <w:hyperlink r:id="rId21" w:history="1">
        <w:r w:rsidRPr="006237B3">
          <w:rPr>
            <w:rStyle w:val="Hyperlink"/>
            <w:rFonts w:ascii="Arial" w:hAnsi="Arial" w:cs="Arial"/>
            <w:sz w:val="20"/>
            <w:szCs w:val="20"/>
          </w:rPr>
          <w:t>http://oilandgasuk.co.uk/businessoutlook-2</w:t>
        </w:r>
      </w:hyperlink>
      <w:r w:rsidRPr="006237B3">
        <w:rPr>
          <w:rFonts w:ascii="Arial" w:hAnsi="Arial" w:cs="Arial"/>
          <w:color w:val="auto"/>
          <w:sz w:val="20"/>
          <w:szCs w:val="20"/>
        </w:rPr>
        <w:t xml:space="preserve">, OGA, Projections of UK Oil and Gas Production and Expenditure, </w:t>
      </w:r>
      <w:r>
        <w:rPr>
          <w:rFonts w:ascii="Arial" w:hAnsi="Arial" w:cs="Arial"/>
          <w:color w:val="auto"/>
          <w:sz w:val="20"/>
          <w:szCs w:val="20"/>
        </w:rPr>
        <w:t xml:space="preserve">September </w:t>
      </w:r>
      <w:r w:rsidRPr="006237B3">
        <w:rPr>
          <w:rFonts w:ascii="Arial" w:hAnsi="Arial" w:cs="Arial"/>
          <w:color w:val="auto"/>
          <w:sz w:val="20"/>
          <w:szCs w:val="20"/>
        </w:rPr>
        <w:t xml:space="preserve">2018, </w:t>
      </w:r>
      <w:hyperlink r:id="rId22" w:history="1">
        <w:r w:rsidRPr="006237B3">
          <w:rPr>
            <w:rStyle w:val="Hyperlink"/>
            <w:rFonts w:ascii="Arial" w:hAnsi="Arial" w:cs="Arial"/>
            <w:sz w:val="20"/>
            <w:szCs w:val="20"/>
          </w:rPr>
          <w:t>https://www.ogauthority.co.uk/data-centre/data-downloads-and-publications/production-projections/</w:t>
        </w:r>
      </w:hyperlink>
    </w:p>
  </w:footnote>
  <w:footnote w:id="20">
    <w:p w14:paraId="41C6A2E2" w14:textId="77777777" w:rsidR="002B06AC" w:rsidRPr="006237B3" w:rsidRDefault="002B06AC" w:rsidP="002B06AC">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Source: </w:t>
      </w:r>
      <w:hyperlink r:id="rId23" w:history="1">
        <w:r w:rsidRPr="006237B3">
          <w:rPr>
            <w:rStyle w:val="Hyperlink"/>
            <w:rFonts w:cs="Arial"/>
            <w:sz w:val="20"/>
            <w:lang w:val="en-GB"/>
          </w:rPr>
          <w:t>https://www.gov.uk/government/collections/digest-of-uk-energy-statistics-dukes</w:t>
        </w:r>
      </w:hyperlink>
    </w:p>
  </w:footnote>
  <w:footnote w:id="21">
    <w:p w14:paraId="3A31BD74" w14:textId="77777777" w:rsidR="007A601C" w:rsidRPr="004E7263" w:rsidRDefault="007A601C" w:rsidP="007A601C">
      <w:pPr>
        <w:pStyle w:val="FootnoteText"/>
        <w:keepLines/>
        <w:spacing w:before="120" w:line="276" w:lineRule="auto"/>
        <w:rPr>
          <w:rFonts w:cs="Arial"/>
          <w:sz w:val="20"/>
          <w:lang w:val="en-GB"/>
        </w:rPr>
      </w:pPr>
      <w:r w:rsidRPr="006237B3">
        <w:rPr>
          <w:rStyle w:val="FootnoteReference"/>
          <w:rFonts w:cs="Arial"/>
          <w:sz w:val="20"/>
        </w:rPr>
        <w:footnoteRef/>
      </w:r>
      <w:hyperlink r:id="rId24" w:history="1">
        <w:r w:rsidRPr="006237B3">
          <w:rPr>
            <w:rStyle w:val="Hyperlink"/>
            <w:rFonts w:cs="Arial"/>
            <w:sz w:val="20"/>
          </w:rPr>
          <w:t>https://www.ons.gov.uk/employmentandlabourmarket/peopleinwork/employmentandemployeetypes/datasets/industry235digitsicbusinessregisterandemploymentsurveybrestable2</w:t>
        </w:r>
      </w:hyperlink>
    </w:p>
  </w:footnote>
  <w:footnote w:id="22">
    <w:p w14:paraId="5F1470FA" w14:textId="439C257C" w:rsidR="00641701" w:rsidRDefault="00641701" w:rsidP="00FE1750">
      <w:pPr>
        <w:keepLines/>
        <w:spacing w:before="120" w:line="276" w:lineRule="auto"/>
        <w:rPr>
          <w:rStyle w:val="Hyperlink"/>
          <w:sz w:val="20"/>
          <w:szCs w:val="20"/>
        </w:rPr>
      </w:pPr>
      <w:r w:rsidRPr="004E7263">
        <w:rPr>
          <w:rStyle w:val="FootnoteReference"/>
          <w:sz w:val="20"/>
          <w:szCs w:val="20"/>
        </w:rPr>
        <w:footnoteRef/>
      </w:r>
      <w:r w:rsidRPr="004E7263">
        <w:rPr>
          <w:sz w:val="20"/>
          <w:szCs w:val="20"/>
        </w:rPr>
        <w:t xml:space="preserve"> </w:t>
      </w:r>
      <w:hyperlink r:id="rId25" w:history="1">
        <w:r w:rsidR="00DB61C0" w:rsidRPr="00E13E80">
          <w:rPr>
            <w:rStyle w:val="Hyperlink"/>
            <w:sz w:val="20"/>
            <w:szCs w:val="20"/>
            <w:highlight w:val="yellow"/>
          </w:rPr>
          <w:t>https://oilandgasuk.co.uk/product/workforce-report-2017/</w:t>
        </w:r>
      </w:hyperlink>
    </w:p>
    <w:p w14:paraId="5856D625" w14:textId="77777777" w:rsidR="00DB61C0" w:rsidRPr="004E7263" w:rsidRDefault="00DB61C0" w:rsidP="00FE1750">
      <w:pPr>
        <w:keepLines/>
        <w:spacing w:before="120" w:line="276" w:lineRule="auto"/>
        <w:rPr>
          <w:sz w:val="20"/>
          <w:szCs w:val="20"/>
        </w:rPr>
      </w:pPr>
    </w:p>
  </w:footnote>
  <w:footnote w:id="23">
    <w:p w14:paraId="2E3EFE1D" w14:textId="6F457D55" w:rsidR="00641701" w:rsidRPr="004E7263" w:rsidRDefault="00641701" w:rsidP="00FE1750">
      <w:pPr>
        <w:keepLines/>
        <w:spacing w:before="120" w:line="276" w:lineRule="auto"/>
        <w:rPr>
          <w:sz w:val="20"/>
          <w:szCs w:val="20"/>
        </w:rPr>
      </w:pPr>
      <w:r w:rsidRPr="004E7263">
        <w:rPr>
          <w:rStyle w:val="FootnoteReference"/>
          <w:sz w:val="20"/>
          <w:szCs w:val="20"/>
        </w:rPr>
        <w:footnoteRef/>
      </w:r>
      <w:r w:rsidRPr="004E7263">
        <w:rPr>
          <w:sz w:val="20"/>
          <w:szCs w:val="20"/>
        </w:rPr>
        <w:t xml:space="preserve"> </w:t>
      </w:r>
      <w:hyperlink r:id="rId26" w:history="1">
        <w:r w:rsidR="000368BC" w:rsidRPr="00E13E80">
          <w:rPr>
            <w:rStyle w:val="Hyperlink"/>
            <w:sz w:val="20"/>
            <w:szCs w:val="20"/>
            <w:highlight w:val="yellow"/>
          </w:rPr>
          <w:t>https://oilandgasuk.co.uk/product/workforce-report-2017/</w:t>
        </w:r>
      </w:hyperlink>
    </w:p>
  </w:footnote>
  <w:footnote w:id="24">
    <w:p w14:paraId="41A76977" w14:textId="77777777" w:rsidR="00641701" w:rsidRPr="004E7263" w:rsidRDefault="00641701" w:rsidP="00FE1750">
      <w:pPr>
        <w:pStyle w:val="FootnoteText"/>
        <w:keepLines/>
        <w:spacing w:before="120" w:line="276" w:lineRule="auto"/>
        <w:rPr>
          <w:rFonts w:cs="Arial"/>
          <w:sz w:val="20"/>
          <w:lang w:val="en-GB"/>
        </w:rPr>
      </w:pPr>
      <w:r w:rsidRPr="004E7263">
        <w:rPr>
          <w:rStyle w:val="FootnoteReference"/>
          <w:rFonts w:cs="Arial"/>
          <w:sz w:val="20"/>
          <w:lang w:val="en-GB"/>
        </w:rPr>
        <w:footnoteRef/>
      </w:r>
      <w:r w:rsidRPr="004E7263">
        <w:rPr>
          <w:rFonts w:cs="Arial"/>
          <w:sz w:val="20"/>
          <w:lang w:val="en-GB"/>
        </w:rPr>
        <w:t xml:space="preserve"> This sub-section draws on the material on Licensing and consents on the OGA’s website at </w:t>
      </w:r>
      <w:hyperlink r:id="rId27" w:history="1">
        <w:r w:rsidRPr="004E7263">
          <w:rPr>
            <w:rStyle w:val="Hyperlink"/>
            <w:rFonts w:cs="Arial"/>
            <w:sz w:val="20"/>
            <w:lang w:val="en-GB"/>
          </w:rPr>
          <w:t>https://www.ogauthority.co.uk/licensing-consents/overview/</w:t>
        </w:r>
      </w:hyperlink>
      <w:r w:rsidRPr="004E7263">
        <w:rPr>
          <w:rFonts w:cs="Arial"/>
          <w:sz w:val="20"/>
          <w:lang w:val="en-GB"/>
        </w:rPr>
        <w:t xml:space="preserve"> to which reference may be made for further details </w:t>
      </w:r>
    </w:p>
  </w:footnote>
  <w:footnote w:id="25">
    <w:p w14:paraId="4E85C648" w14:textId="77777777" w:rsidR="00641701" w:rsidRPr="004E7263" w:rsidRDefault="00641701" w:rsidP="00FE1750">
      <w:pPr>
        <w:pStyle w:val="FootnoteText"/>
        <w:keepLines/>
        <w:widowControl w:val="0"/>
        <w:spacing w:before="120" w:line="276" w:lineRule="auto"/>
        <w:rPr>
          <w:rFonts w:cs="Arial"/>
          <w:sz w:val="20"/>
          <w:lang w:val="en-GB"/>
        </w:rPr>
      </w:pPr>
      <w:r w:rsidRPr="004E7263">
        <w:rPr>
          <w:rStyle w:val="FootnoteReference"/>
          <w:rFonts w:cs="Arial"/>
          <w:sz w:val="20"/>
          <w:lang w:val="en-GB"/>
        </w:rPr>
        <w:footnoteRef/>
      </w:r>
      <w:r w:rsidRPr="004E7263">
        <w:rPr>
          <w:rFonts w:cs="Arial"/>
          <w:sz w:val="20"/>
          <w:lang w:val="en-GB"/>
        </w:rPr>
        <w:t xml:space="preserve"> Petroleum Act 1998, </w:t>
      </w:r>
      <w:hyperlink r:id="rId28" w:history="1">
        <w:r w:rsidRPr="004E7263">
          <w:rPr>
            <w:rStyle w:val="Hyperlink"/>
            <w:rFonts w:cs="Arial"/>
            <w:sz w:val="20"/>
            <w:lang w:val="en-GB"/>
          </w:rPr>
          <w:t>www.legislation.gov.uk/ukpga/1998/17/contents</w:t>
        </w:r>
      </w:hyperlink>
    </w:p>
  </w:footnote>
  <w:footnote w:id="26">
    <w:p w14:paraId="7D14A001" w14:textId="77777777" w:rsidR="00641701" w:rsidRPr="006237B3" w:rsidRDefault="00641701" w:rsidP="00FE1750">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Petroleum (Production) Act (Northern Ireland) 1964, </w:t>
      </w:r>
      <w:hyperlink r:id="rId29" w:history="1">
        <w:r w:rsidRPr="006237B3">
          <w:rPr>
            <w:rStyle w:val="Hyperlink"/>
            <w:rFonts w:cs="Arial"/>
            <w:sz w:val="20"/>
            <w:lang w:val="en-GB"/>
          </w:rPr>
          <w:t>http://www.legislation.gov.uk/apni/1964/28/contents</w:t>
        </w:r>
      </w:hyperlink>
    </w:p>
  </w:footnote>
  <w:footnote w:id="27">
    <w:p w14:paraId="1B4B3D21" w14:textId="77777777" w:rsidR="00641701" w:rsidRPr="006237B3" w:rsidRDefault="00641701" w:rsidP="00FE1750">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Fonts w:ascii="Arial" w:hAnsi="Arial" w:cs="Arial"/>
          <w:sz w:val="20"/>
          <w:szCs w:val="20"/>
        </w:rPr>
        <w:t xml:space="preserve"> OGA, </w:t>
      </w:r>
      <w:hyperlink r:id="rId30" w:history="1">
        <w:r w:rsidRPr="006237B3">
          <w:rPr>
            <w:rStyle w:val="Hyperlink"/>
            <w:rFonts w:ascii="Arial" w:hAnsi="Arial" w:cs="Arial"/>
            <w:sz w:val="20"/>
            <w:szCs w:val="20"/>
          </w:rPr>
          <w:t>https://www.ogauthority.co.uk/data-centre/data-downloads-and-publications/licence-data/</w:t>
        </w:r>
      </w:hyperlink>
    </w:p>
  </w:footnote>
  <w:footnote w:id="28">
    <w:p w14:paraId="3074CAB8" w14:textId="77777777" w:rsidR="00641701" w:rsidRPr="006237B3" w:rsidRDefault="00641701" w:rsidP="00FE1750">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Fonts w:ascii="Arial" w:hAnsi="Arial" w:cs="Arial"/>
          <w:sz w:val="20"/>
          <w:szCs w:val="20"/>
        </w:rPr>
        <w:t xml:space="preserve"> </w:t>
      </w:r>
      <w:hyperlink r:id="rId31" w:history="1">
        <w:r w:rsidRPr="006237B3">
          <w:rPr>
            <w:rStyle w:val="Hyperlink"/>
            <w:rFonts w:ascii="Arial" w:hAnsi="Arial" w:cs="Arial"/>
            <w:sz w:val="20"/>
            <w:szCs w:val="20"/>
          </w:rPr>
          <w:t>https://www.ogauthority.co.uk/data-centre/interactive-maps-and-tools/</w:t>
        </w:r>
      </w:hyperlink>
    </w:p>
  </w:footnote>
  <w:footnote w:id="29">
    <w:p w14:paraId="0B91C35F" w14:textId="77777777" w:rsidR="00641701" w:rsidRPr="006237B3" w:rsidRDefault="00641701" w:rsidP="00FE1750">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DfE, Petroleum licensing, </w:t>
      </w:r>
      <w:hyperlink r:id="rId32" w:history="1">
        <w:r w:rsidRPr="006237B3">
          <w:rPr>
            <w:rStyle w:val="Hyperlink"/>
            <w:rFonts w:cs="Arial"/>
            <w:sz w:val="20"/>
            <w:lang w:val="en-GB"/>
          </w:rPr>
          <w:t>https://www.economy-ni.gov.uk/articles/petroleum-licensing</w:t>
        </w:r>
      </w:hyperlink>
    </w:p>
  </w:footnote>
  <w:footnote w:id="30">
    <w:p w14:paraId="7200D4C6" w14:textId="77777777" w:rsidR="00641701" w:rsidRPr="006237B3" w:rsidRDefault="00641701" w:rsidP="00FE1750">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Fonts w:ascii="Arial" w:hAnsi="Arial" w:cs="Arial"/>
          <w:sz w:val="20"/>
          <w:szCs w:val="20"/>
        </w:rPr>
        <w:t xml:space="preserve"> OGA documentation of award rounds is available at </w:t>
      </w:r>
      <w:hyperlink r:id="rId33" w:history="1">
        <w:r w:rsidRPr="006237B3">
          <w:rPr>
            <w:rStyle w:val="Hyperlink"/>
            <w:rFonts w:ascii="Arial" w:hAnsi="Arial" w:cs="Arial"/>
            <w:sz w:val="20"/>
            <w:szCs w:val="20"/>
          </w:rPr>
          <w:t>https://www.ogauthority.co.uk/licensing-consents/licensing-rounds/</w:t>
        </w:r>
      </w:hyperlink>
    </w:p>
  </w:footnote>
  <w:footnote w:id="31">
    <w:p w14:paraId="690D2B97" w14:textId="77777777" w:rsidR="00641701" w:rsidRPr="004E7263" w:rsidRDefault="00641701" w:rsidP="00FE1750">
      <w:pPr>
        <w:pStyle w:val="Default"/>
        <w:keepLines/>
        <w:widowControl w:val="0"/>
        <w:spacing w:before="120" w:line="276" w:lineRule="auto"/>
        <w:rPr>
          <w:rFonts w:ascii="Arial" w:hAnsi="Arial" w:cs="Arial"/>
          <w:sz w:val="20"/>
          <w:szCs w:val="20"/>
        </w:rPr>
      </w:pPr>
      <w:r w:rsidRPr="006237B3">
        <w:rPr>
          <w:rStyle w:val="FootnoteReference"/>
          <w:rFonts w:ascii="Arial" w:hAnsi="Arial" w:cs="Arial"/>
          <w:color w:val="auto"/>
          <w:sz w:val="20"/>
          <w:szCs w:val="20"/>
        </w:rPr>
        <w:footnoteRef/>
      </w:r>
      <w:r w:rsidRPr="006237B3">
        <w:rPr>
          <w:rStyle w:val="FootnoteReference"/>
          <w:rFonts w:ascii="Arial" w:hAnsi="Arial" w:cs="Arial"/>
          <w:color w:val="auto"/>
          <w:sz w:val="20"/>
          <w:szCs w:val="20"/>
        </w:rPr>
        <w:t xml:space="preserve"> </w:t>
      </w:r>
      <w:r w:rsidRPr="006237B3">
        <w:rPr>
          <w:rFonts w:ascii="Arial" w:hAnsi="Arial" w:cs="Arial"/>
          <w:sz w:val="20"/>
          <w:szCs w:val="20"/>
        </w:rPr>
        <w:t xml:space="preserve">See for example </w:t>
      </w:r>
      <w:hyperlink r:id="rId34" w:history="1">
        <w:r w:rsidRPr="006237B3">
          <w:rPr>
            <w:rStyle w:val="Hyperlink"/>
            <w:rFonts w:ascii="Arial" w:hAnsi="Arial" w:cs="Arial"/>
            <w:sz w:val="20"/>
            <w:szCs w:val="20"/>
          </w:rPr>
          <w:t>http://eur-lex.europa.eu/legal-content/EN/TXT/PDF/?uri=CELEX:52014XG0620(01)&amp;from=EN</w:t>
        </w:r>
      </w:hyperlink>
      <w:r w:rsidRPr="006237B3">
        <w:rPr>
          <w:rFonts w:ascii="Arial" w:hAnsi="Arial" w:cs="Arial"/>
          <w:sz w:val="20"/>
          <w:szCs w:val="20"/>
        </w:rPr>
        <w:t xml:space="preserve"> for the announcement of the 14th landward licensing round including the assessment criteria.</w:t>
      </w:r>
    </w:p>
  </w:footnote>
  <w:footnote w:id="32">
    <w:p w14:paraId="394E2DED" w14:textId="77777777" w:rsidR="00641701" w:rsidRPr="004E7263" w:rsidRDefault="00641701" w:rsidP="00FE1750">
      <w:pPr>
        <w:pStyle w:val="FootnoteText"/>
        <w:keepLines/>
        <w:spacing w:before="120" w:line="276" w:lineRule="auto"/>
        <w:rPr>
          <w:rStyle w:val="Hyperlink"/>
          <w:rFonts w:eastAsia="Calibri" w:cs="Arial"/>
          <w:color w:val="auto"/>
          <w:sz w:val="20"/>
          <w:u w:val="none"/>
          <w:lang w:eastAsia="en-US"/>
        </w:rPr>
      </w:pPr>
      <w:r w:rsidRPr="004E7263">
        <w:rPr>
          <w:rStyle w:val="FootnoteReference"/>
          <w:rFonts w:cs="Arial"/>
          <w:sz w:val="20"/>
        </w:rPr>
        <w:footnoteRef/>
      </w:r>
      <w:r w:rsidRPr="004E7263">
        <w:rPr>
          <w:rFonts w:cs="Arial"/>
          <w:sz w:val="20"/>
          <w:lang w:val="en-GB"/>
        </w:rPr>
        <w:t xml:space="preserve"> </w:t>
      </w:r>
      <w:r w:rsidRPr="004E7263">
        <w:rPr>
          <w:rStyle w:val="Hyperlink"/>
          <w:rFonts w:eastAsia="Calibri" w:cs="Arial"/>
          <w:color w:val="auto"/>
          <w:sz w:val="20"/>
          <w:u w:val="none"/>
          <w:lang w:eastAsia="en-US"/>
        </w:rPr>
        <w:t>See</w:t>
      </w:r>
      <w:r w:rsidRPr="004E7263">
        <w:rPr>
          <w:rStyle w:val="Hyperlink"/>
          <w:rFonts w:eastAsia="Calibri" w:cs="Arial"/>
          <w:color w:val="auto"/>
          <w:sz w:val="20"/>
          <w:u w:val="none"/>
          <w:lang w:val="en-GB" w:eastAsia="en-US"/>
        </w:rPr>
        <w:t xml:space="preserve"> </w:t>
      </w:r>
      <w:hyperlink r:id="rId35" w:history="1">
        <w:r w:rsidRPr="004E7263">
          <w:rPr>
            <w:rStyle w:val="Hyperlink"/>
            <w:rFonts w:eastAsia="Calibri" w:cs="Arial"/>
            <w:sz w:val="20"/>
            <w:lang w:val="en-GB" w:eastAsia="en-US"/>
          </w:rPr>
          <w:t>https://www.ogauthority.co.uk/licensing-consents/licensing-system/licence-assignments/</w:t>
        </w:r>
      </w:hyperlink>
      <w:r w:rsidRPr="004E7263">
        <w:rPr>
          <w:rStyle w:val="Hyperlink"/>
          <w:rFonts w:eastAsia="Calibri" w:cs="Arial"/>
          <w:color w:val="auto"/>
          <w:sz w:val="20"/>
          <w:u w:val="none"/>
          <w:lang w:val="en-GB" w:eastAsia="en-US"/>
        </w:rPr>
        <w:t xml:space="preserve"> </w:t>
      </w:r>
      <w:r w:rsidRPr="004E7263">
        <w:rPr>
          <w:rStyle w:val="Hyperlink"/>
          <w:rFonts w:eastAsia="Calibri" w:cs="Arial"/>
          <w:color w:val="auto"/>
          <w:sz w:val="20"/>
          <w:u w:val="none"/>
          <w:lang w:eastAsia="en-US"/>
        </w:rPr>
        <w:t xml:space="preserve">for further details. Details of current licences are available at </w:t>
      </w:r>
      <w:hyperlink r:id="rId36" w:history="1">
        <w:r w:rsidRPr="004E7263">
          <w:rPr>
            <w:rStyle w:val="Hyperlink"/>
            <w:rFonts w:eastAsia="Calibri" w:cs="Arial"/>
            <w:sz w:val="20"/>
            <w:lang w:eastAsia="en-US"/>
          </w:rPr>
          <w:t>https://www.ogauthority.co.uk/data-centre/data-downloads-and-publications/licence-data/</w:t>
        </w:r>
      </w:hyperlink>
      <w:r w:rsidRPr="004E7263">
        <w:rPr>
          <w:rStyle w:val="Hyperlink"/>
          <w:rFonts w:eastAsia="Calibri" w:cs="Arial"/>
          <w:color w:val="auto"/>
          <w:sz w:val="20"/>
          <w:u w:val="none"/>
          <w:lang w:eastAsia="en-US"/>
        </w:rPr>
        <w:t>.</w:t>
      </w:r>
    </w:p>
  </w:footnote>
  <w:footnote w:id="33">
    <w:p w14:paraId="0744B06C" w14:textId="77777777" w:rsidR="00641701" w:rsidRPr="004E7263" w:rsidRDefault="00641701" w:rsidP="00FE1750">
      <w:pPr>
        <w:pStyle w:val="Default"/>
        <w:keepLines/>
        <w:widowControl w:val="0"/>
        <w:spacing w:before="120" w:line="276" w:lineRule="auto"/>
        <w:rPr>
          <w:rFonts w:ascii="Arial" w:hAnsi="Arial" w:cs="Arial"/>
          <w:sz w:val="20"/>
          <w:szCs w:val="20"/>
        </w:rPr>
      </w:pPr>
      <w:r w:rsidRPr="004E7263">
        <w:rPr>
          <w:rStyle w:val="FootnoteReference"/>
          <w:rFonts w:ascii="Arial" w:hAnsi="Arial" w:cs="Arial"/>
          <w:color w:val="auto"/>
          <w:sz w:val="20"/>
          <w:szCs w:val="20"/>
        </w:rPr>
        <w:footnoteRef/>
      </w:r>
      <w:r w:rsidRPr="004E7263">
        <w:rPr>
          <w:rFonts w:ascii="Arial" w:hAnsi="Arial" w:cs="Arial"/>
          <w:sz w:val="20"/>
          <w:szCs w:val="20"/>
        </w:rPr>
        <w:t xml:space="preserve"> Petroleum Licensing (Exploration and Production) (Landward Areas) Regulations 2014, </w:t>
      </w:r>
      <w:hyperlink r:id="rId37" w:history="1">
        <w:r w:rsidRPr="004E7263">
          <w:rPr>
            <w:rStyle w:val="Hyperlink"/>
            <w:rFonts w:ascii="Arial" w:hAnsi="Arial" w:cs="Arial"/>
            <w:sz w:val="20"/>
            <w:szCs w:val="20"/>
          </w:rPr>
          <w:t>http://www.legislation.gov.uk/uksi/2014/1686/contents/made</w:t>
        </w:r>
      </w:hyperlink>
    </w:p>
  </w:footnote>
  <w:footnote w:id="34">
    <w:p w14:paraId="7130D21C" w14:textId="77777777" w:rsidR="00641701" w:rsidRPr="004E7263" w:rsidRDefault="00641701" w:rsidP="00FE1750">
      <w:pPr>
        <w:pStyle w:val="FootnoteText"/>
        <w:keepLines/>
        <w:widowControl w:val="0"/>
        <w:spacing w:before="120" w:line="276" w:lineRule="auto"/>
        <w:rPr>
          <w:rFonts w:cs="Arial"/>
          <w:sz w:val="20"/>
          <w:lang w:val="en-GB"/>
        </w:rPr>
      </w:pPr>
      <w:r w:rsidRPr="004E7263">
        <w:rPr>
          <w:rStyle w:val="FootnoteReference"/>
          <w:rFonts w:cs="Arial"/>
          <w:sz w:val="20"/>
          <w:lang w:val="en-GB"/>
        </w:rPr>
        <w:footnoteRef/>
      </w:r>
      <w:r w:rsidRPr="004E7263">
        <w:rPr>
          <w:rFonts w:cs="Arial"/>
          <w:sz w:val="20"/>
          <w:lang w:val="en-GB"/>
        </w:rPr>
        <w:t xml:space="preserve"> OGA, </w:t>
      </w:r>
      <w:hyperlink r:id="rId38" w:history="1">
        <w:r w:rsidRPr="004E7263">
          <w:rPr>
            <w:rStyle w:val="Hyperlink"/>
            <w:rFonts w:cs="Arial"/>
            <w:sz w:val="20"/>
            <w:lang w:val="en-GB"/>
          </w:rPr>
          <w:t>https://www.ogauthority.co.uk/licensing-consents/overview/</w:t>
        </w:r>
      </w:hyperlink>
      <w:r w:rsidRPr="004E7263">
        <w:rPr>
          <w:rFonts w:cs="Arial"/>
          <w:sz w:val="20"/>
          <w:lang w:val="en-GB"/>
        </w:rPr>
        <w:t>.</w:t>
      </w:r>
    </w:p>
  </w:footnote>
  <w:footnote w:id="35">
    <w:p w14:paraId="78F962D2" w14:textId="77777777" w:rsidR="00641701" w:rsidRPr="006237B3" w:rsidRDefault="00641701" w:rsidP="00FE1750">
      <w:pPr>
        <w:pStyle w:val="FootnoteText"/>
        <w:keepLines/>
        <w:widowControl w:val="0"/>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w:t>
      </w:r>
      <w:hyperlink r:id="rId39" w:history="1">
        <w:r w:rsidRPr="006237B3">
          <w:rPr>
            <w:rStyle w:val="Hyperlink"/>
            <w:rFonts w:cs="Arial"/>
            <w:sz w:val="20"/>
            <w:lang w:val="en-GB"/>
          </w:rPr>
          <w:t>https://www.economy-ni.gov.uk/articles/petroleum-licensing</w:t>
        </w:r>
      </w:hyperlink>
      <w:r w:rsidRPr="006237B3">
        <w:rPr>
          <w:rFonts w:cs="Arial"/>
          <w:sz w:val="20"/>
          <w:lang w:val="en-GB"/>
        </w:rPr>
        <w:t>.</w:t>
      </w:r>
    </w:p>
  </w:footnote>
  <w:footnote w:id="36">
    <w:p w14:paraId="07A1EF39" w14:textId="131A236D" w:rsidR="00641701" w:rsidRDefault="00641701" w:rsidP="009E7686">
      <w:pPr>
        <w:pStyle w:val="FootnoteText"/>
        <w:keepLines/>
        <w:spacing w:before="120" w:line="276" w:lineRule="auto"/>
        <w:rPr>
          <w:rFonts w:cs="Arial"/>
          <w:sz w:val="20"/>
          <w:lang w:val="en-GB"/>
        </w:rPr>
      </w:pPr>
      <w:r w:rsidRPr="006237B3">
        <w:rPr>
          <w:rStyle w:val="FootnoteReference"/>
          <w:rFonts w:cs="Arial"/>
          <w:sz w:val="20"/>
        </w:rPr>
        <w:footnoteRef/>
      </w:r>
      <w:r w:rsidRPr="006237B3">
        <w:rPr>
          <w:rFonts w:cs="Arial"/>
          <w:sz w:val="20"/>
        </w:rPr>
        <w:t xml:space="preserve"> </w:t>
      </w:r>
      <w:r>
        <w:rPr>
          <w:rFonts w:cs="Arial"/>
          <w:sz w:val="20"/>
          <w:lang w:val="en-GB"/>
        </w:rPr>
        <w:t xml:space="preserve">See </w:t>
      </w:r>
      <w:hyperlink r:id="rId40" w:history="1">
        <w:r w:rsidRPr="009E7686">
          <w:rPr>
            <w:rStyle w:val="Hyperlink"/>
            <w:rFonts w:cs="Arial"/>
            <w:sz w:val="20"/>
            <w:lang w:val="en-GB"/>
          </w:rPr>
          <w:t>Statistics of government revenues from UK oil and gas production Sept 2018</w:t>
        </w:r>
      </w:hyperlink>
      <w:r>
        <w:rPr>
          <w:rFonts w:cs="Arial"/>
          <w:sz w:val="20"/>
          <w:lang w:val="en-GB"/>
        </w:rPr>
        <w:t xml:space="preserve"> (page 21) at </w:t>
      </w:r>
      <w:r w:rsidRPr="001677B2">
        <w:rPr>
          <w:rFonts w:cs="Arial"/>
          <w:sz w:val="20"/>
        </w:rPr>
        <w:t>https://www.gov.uk/government/statistics/government-revenues-from-uk-oil-and-gas-production--2</w:t>
      </w:r>
      <w:r w:rsidRPr="006237B3" w:rsidDel="001677B2">
        <w:rPr>
          <w:rFonts w:cs="Arial"/>
          <w:sz w:val="20"/>
          <w:lang w:val="en-GB"/>
        </w:rPr>
        <w:t xml:space="preserve"> </w:t>
      </w:r>
    </w:p>
    <w:p w14:paraId="366DD338" w14:textId="77777777" w:rsidR="00641701" w:rsidRPr="006237B3" w:rsidRDefault="00641701" w:rsidP="00FE1750">
      <w:pPr>
        <w:pStyle w:val="FootnoteText"/>
        <w:keepLines/>
        <w:spacing w:before="120" w:line="276" w:lineRule="auto"/>
        <w:rPr>
          <w:rFonts w:cs="Arial"/>
          <w:sz w:val="20"/>
          <w:lang w:val="en-GB"/>
        </w:rPr>
      </w:pPr>
    </w:p>
  </w:footnote>
  <w:footnote w:id="37">
    <w:p w14:paraId="4A64C759" w14:textId="77777777" w:rsidR="00641701" w:rsidRPr="006237B3" w:rsidRDefault="00641701" w:rsidP="00FE1750">
      <w:pPr>
        <w:pStyle w:val="FootnoteText"/>
        <w:keepLines/>
        <w:spacing w:before="120" w:line="276" w:lineRule="auto"/>
        <w:rPr>
          <w:rFonts w:cs="Arial"/>
          <w:sz w:val="20"/>
          <w:lang w:val="en-GB"/>
        </w:rPr>
      </w:pPr>
      <w:r w:rsidRPr="006237B3">
        <w:rPr>
          <w:rStyle w:val="FootnoteReference"/>
          <w:rFonts w:cs="Arial"/>
          <w:sz w:val="20"/>
        </w:rPr>
        <w:footnoteRef/>
      </w:r>
      <w:r w:rsidRPr="006237B3">
        <w:rPr>
          <w:rFonts w:cs="Arial"/>
          <w:sz w:val="20"/>
        </w:rPr>
        <w:t xml:space="preserve"> </w:t>
      </w:r>
      <w:hyperlink r:id="rId41" w:history="1">
        <w:r w:rsidRPr="006237B3">
          <w:rPr>
            <w:rStyle w:val="Hyperlink"/>
            <w:rFonts w:cs="Arial"/>
            <w:sz w:val="20"/>
            <w:lang w:val="en-GB"/>
          </w:rPr>
          <w:t>http://www.parliament.uk/business/publications/written-questions-answers-statements/written-statement/commons/2018-03-27/HCWs590</w:t>
        </w:r>
      </w:hyperlink>
    </w:p>
  </w:footnote>
  <w:footnote w:id="38">
    <w:p w14:paraId="174087FD" w14:textId="77777777" w:rsidR="00641701" w:rsidRPr="004E7263" w:rsidRDefault="00641701" w:rsidP="00FE1750">
      <w:pPr>
        <w:pStyle w:val="FootnoteText"/>
        <w:keepLines/>
        <w:spacing w:before="120" w:line="276" w:lineRule="auto"/>
        <w:rPr>
          <w:rFonts w:cs="Arial"/>
          <w:sz w:val="20"/>
          <w:lang w:val="en-GB"/>
        </w:rPr>
      </w:pPr>
      <w:r w:rsidRPr="006237B3">
        <w:rPr>
          <w:rStyle w:val="FootnoteReference"/>
          <w:rFonts w:cs="Arial"/>
          <w:sz w:val="20"/>
          <w:lang w:val="en-GB"/>
        </w:rPr>
        <w:footnoteRef/>
      </w:r>
      <w:hyperlink r:id="rId42" w:history="1">
        <w:r w:rsidRPr="006237B3">
          <w:rPr>
            <w:rStyle w:val="Hyperlink"/>
            <w:rFonts w:cs="Arial"/>
            <w:sz w:val="20"/>
            <w:lang w:val="en-GB"/>
          </w:rPr>
          <w:t>https://www.gov.uk/government/uploads/system/uploads/attachment_data/file/382785/PU1721_Driving_investment_-_a_plan_to_reform_the_oil_and_gas_fiscal_regime.pdf</w:t>
        </w:r>
      </w:hyperlink>
    </w:p>
  </w:footnote>
  <w:footnote w:id="39">
    <w:p w14:paraId="21ADA28B" w14:textId="77777777" w:rsidR="00641701" w:rsidRPr="004E7263" w:rsidRDefault="00641701" w:rsidP="00FE1750">
      <w:pPr>
        <w:pStyle w:val="FootnoteText"/>
        <w:keepLines/>
        <w:spacing w:before="120" w:line="276" w:lineRule="auto"/>
        <w:rPr>
          <w:rFonts w:cs="Arial"/>
          <w:sz w:val="20"/>
          <w:lang w:val="en-GB"/>
        </w:rPr>
      </w:pPr>
      <w:r w:rsidRPr="004E7263">
        <w:rPr>
          <w:rStyle w:val="FootnoteReference"/>
          <w:rFonts w:cs="Arial"/>
          <w:sz w:val="20"/>
          <w:lang w:val="en-GB"/>
        </w:rPr>
        <w:footnoteRef/>
      </w:r>
      <w:r w:rsidRPr="004E7263">
        <w:rPr>
          <w:rFonts w:cs="Arial"/>
          <w:sz w:val="20"/>
          <w:lang w:val="en-GB"/>
        </w:rPr>
        <w:t xml:space="preserve"> </w:t>
      </w:r>
      <w:hyperlink r:id="rId43" w:history="1">
        <w:r w:rsidRPr="004E7263">
          <w:rPr>
            <w:rStyle w:val="Hyperlink"/>
            <w:rFonts w:cs="Arial"/>
            <w:sz w:val="20"/>
            <w:lang w:val="en-GB"/>
          </w:rPr>
          <w:t>https://www.gov.uk/government/publications/autumn-statement-2016-documents/autumn-statement-2016</w:t>
        </w:r>
      </w:hyperlink>
      <w:r w:rsidRPr="004E7263">
        <w:rPr>
          <w:rFonts w:cs="Arial"/>
          <w:sz w:val="20"/>
          <w:lang w:val="en-GB"/>
        </w:rPr>
        <w:t xml:space="preserve"> </w:t>
      </w:r>
    </w:p>
  </w:footnote>
  <w:footnote w:id="40">
    <w:p w14:paraId="1D4179BA" w14:textId="77777777" w:rsidR="00641701" w:rsidRPr="004E7263" w:rsidRDefault="00641701" w:rsidP="00FE1750">
      <w:pPr>
        <w:pStyle w:val="FootnoteText"/>
        <w:keepLines/>
        <w:spacing w:before="120" w:line="276" w:lineRule="auto"/>
        <w:rPr>
          <w:rFonts w:cs="Arial"/>
          <w:sz w:val="20"/>
          <w:lang w:val="en-GB"/>
        </w:rPr>
      </w:pPr>
      <w:r w:rsidRPr="004E7263">
        <w:rPr>
          <w:rStyle w:val="FootnoteReference"/>
          <w:rFonts w:cs="Arial"/>
          <w:sz w:val="20"/>
          <w:lang w:val="en-GB"/>
        </w:rPr>
        <w:footnoteRef/>
      </w:r>
      <w:r w:rsidRPr="004E7263">
        <w:rPr>
          <w:rFonts w:cs="Arial"/>
          <w:sz w:val="20"/>
          <w:lang w:val="en-GB"/>
        </w:rPr>
        <w:t xml:space="preserve"> A further £20 million for a second round of seismic surveys was announced at Budget 2016.</w:t>
      </w:r>
    </w:p>
  </w:footnote>
  <w:footnote w:id="41">
    <w:p w14:paraId="73E79621" w14:textId="77777777" w:rsidR="00641701" w:rsidRPr="004E7263" w:rsidRDefault="00641701" w:rsidP="00FE1750">
      <w:pPr>
        <w:pStyle w:val="FootnoteText"/>
        <w:keepLines/>
        <w:spacing w:before="120" w:line="276" w:lineRule="auto"/>
        <w:rPr>
          <w:rFonts w:cs="Arial"/>
          <w:sz w:val="20"/>
          <w:lang w:val="en-GB"/>
        </w:rPr>
      </w:pPr>
      <w:r w:rsidRPr="004E7263">
        <w:rPr>
          <w:rStyle w:val="FootnoteReference"/>
          <w:rFonts w:cs="Arial"/>
          <w:sz w:val="20"/>
        </w:rPr>
        <w:footnoteRef/>
      </w:r>
      <w:r w:rsidRPr="004E7263">
        <w:rPr>
          <w:rFonts w:cs="Arial"/>
          <w:sz w:val="20"/>
        </w:rPr>
        <w:t xml:space="preserve"> </w:t>
      </w:r>
      <w:hyperlink r:id="rId44" w:history="1">
        <w:r w:rsidRPr="004E7263">
          <w:rPr>
            <w:rStyle w:val="Hyperlink"/>
            <w:rFonts w:cs="Arial"/>
            <w:sz w:val="20"/>
            <w:lang w:val="en-GB"/>
          </w:rPr>
          <w:t>https://www.gov.uk/government/publications/oil-and-gas-companies-tax-relief-for-decommissioning-expenditure</w:t>
        </w:r>
      </w:hyperlink>
    </w:p>
  </w:footnote>
  <w:footnote w:id="42">
    <w:p w14:paraId="16776DB9" w14:textId="77777777" w:rsidR="00641701" w:rsidRPr="004E7263" w:rsidRDefault="00641701" w:rsidP="00FE1750">
      <w:pPr>
        <w:pStyle w:val="FootnoteText"/>
        <w:keepLines/>
        <w:spacing w:before="120" w:line="276" w:lineRule="auto"/>
        <w:rPr>
          <w:rFonts w:cs="Arial"/>
          <w:color w:val="1F497D" w:themeColor="text2"/>
          <w:sz w:val="20"/>
          <w:lang w:val="fr-FR"/>
        </w:rPr>
      </w:pPr>
      <w:r w:rsidRPr="004E7263">
        <w:rPr>
          <w:rStyle w:val="FootnoteReference"/>
          <w:rFonts w:cs="Arial"/>
          <w:sz w:val="20"/>
        </w:rPr>
        <w:footnoteRef/>
      </w:r>
      <w:r w:rsidRPr="004E7263">
        <w:rPr>
          <w:rFonts w:cs="Arial"/>
          <w:sz w:val="20"/>
          <w:lang w:val="en-GB"/>
        </w:rPr>
        <w:t xml:space="preserve"> </w:t>
      </w:r>
      <w:hyperlink r:id="rId45" w:history="1">
        <w:r w:rsidRPr="004E7263">
          <w:rPr>
            <w:rStyle w:val="Hyperlink"/>
            <w:rFonts w:cs="Arial"/>
            <w:sz w:val="20"/>
            <w:lang w:val="en-GB"/>
          </w:rPr>
          <w:t>https://www.ogauthority.co.uk/regulatory-framework/legislative-context/industry-levy/</w:t>
        </w:r>
      </w:hyperlink>
    </w:p>
  </w:footnote>
  <w:footnote w:id="43">
    <w:p w14:paraId="19F0E9B3" w14:textId="77777777" w:rsidR="00641701" w:rsidRPr="006237B3" w:rsidRDefault="00641701" w:rsidP="00FE1750">
      <w:pPr>
        <w:keepLines/>
        <w:spacing w:before="120" w:line="276" w:lineRule="auto"/>
        <w:rPr>
          <w:color w:val="0563C1"/>
          <w:sz w:val="20"/>
          <w:szCs w:val="20"/>
          <w:u w:val="single"/>
          <w:lang w:eastAsia="x-none"/>
        </w:rPr>
      </w:pPr>
      <w:r w:rsidRPr="006237B3">
        <w:rPr>
          <w:rStyle w:val="FootnoteReference"/>
          <w:sz w:val="20"/>
          <w:szCs w:val="20"/>
        </w:rPr>
        <w:footnoteRef/>
      </w:r>
      <w:r w:rsidRPr="006237B3">
        <w:rPr>
          <w:sz w:val="20"/>
          <w:szCs w:val="20"/>
        </w:rPr>
        <w:t xml:space="preserve"> </w:t>
      </w:r>
      <w:hyperlink r:id="rId46" w:history="1">
        <w:r w:rsidRPr="006237B3">
          <w:rPr>
            <w:color w:val="0563C1"/>
            <w:sz w:val="20"/>
            <w:szCs w:val="20"/>
            <w:u w:val="single"/>
            <w:lang w:eastAsia="x-none"/>
          </w:rPr>
          <w:t>https://www.northyorks.gov.uk/kirby-misperton-fracking-operations</w:t>
        </w:r>
      </w:hyperlink>
    </w:p>
  </w:footnote>
  <w:footnote w:id="44">
    <w:p w14:paraId="4A4231CC" w14:textId="77777777" w:rsidR="00641701" w:rsidRPr="006237B3" w:rsidRDefault="00641701" w:rsidP="00FE1750">
      <w:pPr>
        <w:pStyle w:val="FootnoteText"/>
        <w:keepLines/>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w:t>
      </w:r>
      <w:hyperlink r:id="rId47" w:history="1">
        <w:r w:rsidRPr="006237B3">
          <w:rPr>
            <w:rStyle w:val="Hyperlink"/>
            <w:rFonts w:cs="Arial"/>
            <w:sz w:val="20"/>
            <w:lang w:val="en-GB"/>
          </w:rPr>
          <w:t>https://www.gov.uk/government/publications/recovered-appeals-cuadrilla-bowland-ltd-and-cuadrilla-elswick-ltd-refs-3134386-3130923-3134385-and-3130924-6-october-2016</w:t>
        </w:r>
      </w:hyperlink>
    </w:p>
  </w:footnote>
  <w:footnote w:id="45">
    <w:p w14:paraId="687D3AAB" w14:textId="77777777" w:rsidR="00641701" w:rsidRPr="004E7263" w:rsidRDefault="00641701" w:rsidP="00FE1750">
      <w:pPr>
        <w:pStyle w:val="FootnoteText"/>
        <w:keepLines/>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w:t>
      </w:r>
      <w:hyperlink r:id="rId48" w:history="1">
        <w:r w:rsidRPr="006237B3">
          <w:rPr>
            <w:rStyle w:val="Hyperlink"/>
            <w:rFonts w:cs="Arial"/>
            <w:sz w:val="20"/>
            <w:lang w:val="en-GB"/>
          </w:rPr>
          <w:t>http://www.nottinghamshire.gov.uk/planning-and-environment/shale-gas-development/shale-gas-development/latest-news/councillors-approve-planning-application-for-county-s-first-exploratory-shale-gas-wells</w:t>
        </w:r>
      </w:hyperlink>
    </w:p>
  </w:footnote>
  <w:footnote w:id="46">
    <w:p w14:paraId="2740B0FA" w14:textId="77777777" w:rsidR="00641701" w:rsidRPr="006237B3" w:rsidRDefault="00641701" w:rsidP="00FE1750">
      <w:pPr>
        <w:pStyle w:val="FootnoteText"/>
        <w:keepLines/>
        <w:spacing w:before="120" w:line="276" w:lineRule="auto"/>
        <w:rPr>
          <w:rFonts w:cs="Arial"/>
          <w:sz w:val="20"/>
          <w:lang w:val="en-GB"/>
        </w:rPr>
      </w:pPr>
      <w:r w:rsidRPr="006237B3">
        <w:rPr>
          <w:rStyle w:val="FootnoteReference"/>
          <w:rFonts w:cs="Arial"/>
          <w:sz w:val="20"/>
          <w:lang w:val="en-GB"/>
        </w:rPr>
        <w:footnoteRef/>
      </w:r>
      <w:hyperlink r:id="rId49" w:history="1">
        <w:r w:rsidRPr="006237B3">
          <w:rPr>
            <w:rStyle w:val="Hyperlink"/>
            <w:rFonts w:cs="Arial"/>
            <w:sz w:val="20"/>
            <w:lang w:val="en-GB"/>
          </w:rPr>
          <w:t>https://www.gov.uk/government/uploads/system/uploads/attachment_data/file/544241/shale_wealth_fund_final_pdf-a.pdf</w:t>
        </w:r>
      </w:hyperlink>
    </w:p>
  </w:footnote>
  <w:footnote w:id="47">
    <w:p w14:paraId="77D22E26" w14:textId="77777777" w:rsidR="00641701" w:rsidRPr="004E7263" w:rsidRDefault="00641701" w:rsidP="00FE1750">
      <w:pPr>
        <w:pStyle w:val="FootnoteText"/>
        <w:keepLines/>
        <w:spacing w:before="120" w:line="276" w:lineRule="auto"/>
        <w:rPr>
          <w:rFonts w:cs="Arial"/>
          <w:sz w:val="20"/>
          <w:lang w:val="en-GB"/>
        </w:rPr>
      </w:pPr>
      <w:r w:rsidRPr="006237B3">
        <w:rPr>
          <w:rStyle w:val="FootnoteReference"/>
          <w:rFonts w:cs="Arial"/>
          <w:sz w:val="20"/>
          <w:lang w:val="en-GB"/>
        </w:rPr>
        <w:footnoteRef/>
      </w:r>
      <w:r w:rsidRPr="006237B3">
        <w:rPr>
          <w:rFonts w:cs="Arial"/>
          <w:sz w:val="20"/>
          <w:lang w:val="en-GB"/>
        </w:rPr>
        <w:t xml:space="preserve"> </w:t>
      </w:r>
      <w:hyperlink r:id="rId50" w:history="1">
        <w:r w:rsidRPr="006237B3">
          <w:rPr>
            <w:rStyle w:val="Hyperlink"/>
            <w:rFonts w:cs="Arial"/>
            <w:sz w:val="20"/>
            <w:lang w:val="en-GB"/>
          </w:rPr>
          <w:t>https://www.gov.uk/government/consultations/shale-wealth-fund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738E" w14:textId="77777777" w:rsidR="00004416" w:rsidRDefault="00004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A394" w14:textId="305CDFC9" w:rsidR="00641701" w:rsidRPr="00E0694A" w:rsidRDefault="00641701" w:rsidP="00E0694A">
    <w:pPr>
      <w:pBdr>
        <w:bottom w:val="single" w:sz="4" w:space="1" w:color="0070C0"/>
      </w:pBdr>
      <w:jc w:val="right"/>
      <w:rPr>
        <w:bCs/>
        <w:i/>
        <w:iCs/>
        <w:color w:val="0070C0"/>
        <w:sz w:val="16"/>
      </w:rPr>
    </w:pPr>
    <w:r>
      <w:rPr>
        <w:bCs/>
        <w:i/>
        <w:iCs/>
        <w:color w:val="0070C0"/>
        <w:sz w:val="16"/>
      </w:rPr>
      <w:t>UK EITI report for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91ACA" w14:textId="00182460" w:rsidR="00641701" w:rsidRPr="0052688B" w:rsidRDefault="00641701" w:rsidP="0052688B">
    <w:pPr>
      <w:pBdr>
        <w:bottom w:val="single" w:sz="4" w:space="1" w:color="0070C0"/>
      </w:pBdr>
      <w:jc w:val="right"/>
      <w:rPr>
        <w:bCs/>
        <w:i/>
        <w:iCs/>
        <w:color w:val="0070C0"/>
        <w:sz w:val="16"/>
      </w:rPr>
    </w:pPr>
    <w:r>
      <w:rPr>
        <w:bCs/>
        <w:i/>
        <w:iCs/>
        <w:color w:val="0070C0"/>
        <w:sz w:val="16"/>
      </w:rPr>
      <w:t>UK EITI report for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ED1967"/>
    <w:multiLevelType w:val="hybridMultilevel"/>
    <w:tmpl w:val="E94C0F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23B89006"/>
    <w:lvl w:ilvl="0">
      <w:start w:val="1"/>
      <w:numFmt w:val="decimal"/>
      <w:pStyle w:val="ListNumber2"/>
      <w:lvlText w:val="%1."/>
      <w:lvlJc w:val="left"/>
      <w:pPr>
        <w:tabs>
          <w:tab w:val="num" w:pos="643"/>
        </w:tabs>
        <w:ind w:left="643" w:hanging="360"/>
      </w:pPr>
    </w:lvl>
  </w:abstractNum>
  <w:abstractNum w:abstractNumId="2" w15:restartNumberingAfterBreak="0">
    <w:nsid w:val="00416306"/>
    <w:multiLevelType w:val="hybridMultilevel"/>
    <w:tmpl w:val="401CD196"/>
    <w:lvl w:ilvl="0" w:tplc="086A4EFC">
      <w:start w:val="1"/>
      <w:numFmt w:val="lowerRoman"/>
      <w:lvlText w:val="%1."/>
      <w:lvlJc w:val="right"/>
      <w:pPr>
        <w:ind w:left="720" w:hanging="360"/>
      </w:pPr>
      <w:rPr>
        <w:rFonts w:ascii="Arial" w:hAnsi="Arial" w:cs="Arial" w:hint="default"/>
        <w:b/>
        <w:sz w:val="20"/>
        <w:szCs w:val="20"/>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851A97"/>
    <w:multiLevelType w:val="multilevel"/>
    <w:tmpl w:val="CA7EE5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AB1A28"/>
    <w:multiLevelType w:val="hybridMultilevel"/>
    <w:tmpl w:val="43BA9D84"/>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8682163"/>
    <w:multiLevelType w:val="hybridMultilevel"/>
    <w:tmpl w:val="9EDCCAFC"/>
    <w:lvl w:ilvl="0" w:tplc="B7F60DC0">
      <w:start w:val="1"/>
      <w:numFmt w:val="lowerRoman"/>
      <w:lvlText w:val="(%1)"/>
      <w:lvlJc w:val="left"/>
      <w:pPr>
        <w:ind w:left="720" w:hanging="360"/>
      </w:pPr>
      <w:rPr>
        <w:rFonts w:hint="default"/>
        <w:b w:val="0"/>
        <w:i w:val="0"/>
        <w:iCs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9837A4"/>
    <w:multiLevelType w:val="multilevel"/>
    <w:tmpl w:val="040C001F"/>
    <w:lvl w:ilvl="0">
      <w:start w:val="1"/>
      <w:numFmt w:val="decimal"/>
      <w:lvlText w:val="%1."/>
      <w:lvlJc w:val="left"/>
      <w:pPr>
        <w:ind w:left="360" w:hanging="360"/>
      </w:pPr>
      <w:rPr>
        <w:rFonts w:ascii="Arial" w:hAnsi="Arial"/>
        <w:color w:val="auto"/>
        <w:sz w:val="24"/>
      </w:r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337E18"/>
    <w:multiLevelType w:val="hybridMultilevel"/>
    <w:tmpl w:val="42844BA2"/>
    <w:lvl w:ilvl="0" w:tplc="0DA60EDC">
      <w:start w:val="1"/>
      <w:numFmt w:val="lowerRoman"/>
      <w:lvlText w:val="(%1)"/>
      <w:lvlJc w:val="left"/>
      <w:pPr>
        <w:ind w:left="720" w:hanging="360"/>
      </w:pPr>
      <w:rPr>
        <w:rFonts w:hint="default"/>
        <w:b w:val="0"/>
        <w:i w:val="0"/>
        <w:iCs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C63F04"/>
    <w:multiLevelType w:val="multilevel"/>
    <w:tmpl w:val="28082A52"/>
    <w:lvl w:ilvl="0">
      <w:start w:val="1"/>
      <w:numFmt w:val="upperRoman"/>
      <w:pStyle w:val="MSHouseLevel1"/>
      <w:lvlText w:val="%1."/>
      <w:lvlJc w:val="left"/>
      <w:pPr>
        <w:tabs>
          <w:tab w:val="num" w:pos="851"/>
        </w:tabs>
        <w:ind w:left="851" w:hanging="851"/>
      </w:pPr>
      <w:rPr>
        <w:rFonts w:hint="default"/>
      </w:rPr>
    </w:lvl>
    <w:lvl w:ilvl="1">
      <w:start w:val="1"/>
      <w:numFmt w:val="decimal"/>
      <w:lvlRestart w:val="0"/>
      <w:pStyle w:val="MSHouseLevel2"/>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bullet"/>
      <w:lvlText w:val=""/>
      <w:lvlJc w:val="left"/>
      <w:pPr>
        <w:tabs>
          <w:tab w:val="num" w:pos="851"/>
        </w:tabs>
        <w:ind w:left="851" w:hanging="851"/>
      </w:pPr>
      <w:rPr>
        <w:rFonts w:ascii="Symbol" w:hAnsi="Symbol" w:hint="default"/>
      </w:rPr>
    </w:lvl>
    <w:lvl w:ilvl="5">
      <w:start w:val="1"/>
      <w:numFmt w:val="bullet"/>
      <w:lvlText w:val="♦"/>
      <w:lvlJc w:val="left"/>
      <w:pPr>
        <w:tabs>
          <w:tab w:val="num" w:pos="1418"/>
        </w:tabs>
        <w:ind w:left="1418" w:hanging="567"/>
      </w:pPr>
      <w:rPr>
        <w:rFonts w:ascii="Times New Roman" w:cs="Times New Roman" w:hint="default"/>
      </w:rPr>
    </w:lvl>
    <w:lvl w:ilvl="6">
      <w:start w:val="1"/>
      <w:numFmt w:val="bullet"/>
      <w:lvlText w:val="-"/>
      <w:lvlJc w:val="left"/>
      <w:pPr>
        <w:tabs>
          <w:tab w:val="num" w:pos="1985"/>
        </w:tabs>
        <w:ind w:left="1985" w:hanging="56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DA35B8D"/>
    <w:multiLevelType w:val="multilevel"/>
    <w:tmpl w:val="08F64136"/>
    <w:lvl w:ilvl="0">
      <w:start w:val="2"/>
      <w:numFmt w:val="decimal"/>
      <w:lvlText w:val="%1."/>
      <w:lvlJc w:val="left"/>
      <w:pPr>
        <w:ind w:left="720" w:hanging="720"/>
      </w:pPr>
      <w:rPr>
        <w:rFonts w:hint="default"/>
      </w:rPr>
    </w:lvl>
    <w:lvl w:ilvl="1">
      <w:start w:val="1"/>
      <w:numFmt w:val="decimal"/>
      <w:lvlText w:val="5.%2."/>
      <w:lvlJc w:val="left"/>
      <w:pPr>
        <w:ind w:left="1332" w:hanging="720"/>
      </w:pPr>
      <w:rPr>
        <w:rFonts w:hint="default"/>
      </w:rPr>
    </w:lvl>
    <w:lvl w:ilvl="2">
      <w:start w:val="10"/>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10" w15:restartNumberingAfterBreak="0">
    <w:nsid w:val="140E0094"/>
    <w:multiLevelType w:val="hybridMultilevel"/>
    <w:tmpl w:val="C138FD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4D5A32"/>
    <w:multiLevelType w:val="multilevel"/>
    <w:tmpl w:val="711A7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BF332C"/>
    <w:multiLevelType w:val="multilevel"/>
    <w:tmpl w:val="2A88FC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D34FA6"/>
    <w:multiLevelType w:val="multilevel"/>
    <w:tmpl w:val="F7B6CD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763840"/>
    <w:multiLevelType w:val="hybridMultilevel"/>
    <w:tmpl w:val="2DEE77E4"/>
    <w:lvl w:ilvl="0" w:tplc="FDBE0ECA">
      <w:start w:val="1"/>
      <w:numFmt w:val="decimal"/>
      <w:lvlText w:val="%1."/>
      <w:lvlJc w:val="left"/>
      <w:pPr>
        <w:ind w:left="644" w:hanging="360"/>
      </w:pPr>
      <w:rPr>
        <w:rFonts w:hint="default"/>
        <w:b w:val="0"/>
        <w:i w:val="0"/>
        <w:iCs w:val="0"/>
        <w:sz w:val="20"/>
        <w:szCs w:val="20"/>
      </w:rPr>
    </w:lvl>
    <w:lvl w:ilvl="1" w:tplc="D7CE824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cs="Times New Roman" w:hint="default"/>
      </w:rPr>
    </w:lvl>
    <w:lvl w:ilvl="2">
      <w:start w:val="1"/>
      <w:numFmt w:val="bullet"/>
      <w:pStyle w:val="MSBulletLevel3"/>
      <w:lvlText w:val="-"/>
      <w:lvlJc w:val="left"/>
      <w:pPr>
        <w:tabs>
          <w:tab w:val="num" w:pos="1701"/>
        </w:tabs>
        <w:ind w:left="1701" w:hanging="567"/>
      </w:pPr>
      <w:rPr>
        <w:rFonts w:asci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6" w15:restartNumberingAfterBreak="0">
    <w:nsid w:val="23DC5A71"/>
    <w:multiLevelType w:val="multilevel"/>
    <w:tmpl w:val="456469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0.%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456D4B"/>
    <w:multiLevelType w:val="hybridMultilevel"/>
    <w:tmpl w:val="49A6FB70"/>
    <w:lvl w:ilvl="0" w:tplc="A77A97F6">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9" w15:restartNumberingAfterBreak="0">
    <w:nsid w:val="2CAB4527"/>
    <w:multiLevelType w:val="multilevel"/>
    <w:tmpl w:val="26C24C12"/>
    <w:lvl w:ilvl="0">
      <w:start w:val="1"/>
      <w:numFmt w:val="decimal"/>
      <w:pStyle w:val="ListNumber3"/>
      <w:lvlText w:val="(%1)"/>
      <w:lvlJc w:val="left"/>
      <w:pPr>
        <w:tabs>
          <w:tab w:val="num" w:pos="709"/>
        </w:tabs>
        <w:ind w:left="709" w:hanging="709"/>
      </w:pPr>
    </w:lvl>
    <w:lvl w:ilvl="1">
      <w:start w:val="1"/>
      <w:numFmt w:val="lowerLetter"/>
      <w:pStyle w:val="ListNumber3Level2"/>
      <w:lvlText w:val="(%2)"/>
      <w:lvlJc w:val="left"/>
      <w:pPr>
        <w:tabs>
          <w:tab w:val="num" w:pos="1417"/>
        </w:tabs>
        <w:ind w:left="1417" w:hanging="708"/>
      </w:pPr>
    </w:lvl>
    <w:lvl w:ilvl="2">
      <w:start w:val="1"/>
      <w:numFmt w:val="bullet"/>
      <w:pStyle w:val="ListNumber3Level3"/>
      <w:lvlText w:val="–"/>
      <w:lvlJc w:val="left"/>
      <w:pPr>
        <w:tabs>
          <w:tab w:val="num" w:pos="2126"/>
        </w:tabs>
        <w:ind w:left="2126" w:hanging="709"/>
      </w:pPr>
      <w:rPr>
        <w:rFonts w:ascii="Times New Roman" w:hAnsi="Times New Roman"/>
      </w:rPr>
    </w:lvl>
    <w:lvl w:ilvl="3">
      <w:start w:val="1"/>
      <w:numFmt w:val="bullet"/>
      <w:pStyle w:val="ListNumber3Level4"/>
      <w:lvlText w:val=""/>
      <w:lvlJc w:val="left"/>
      <w:pPr>
        <w:tabs>
          <w:tab w:val="num" w:pos="2835"/>
        </w:tabs>
        <w:ind w:left="2835" w:hanging="709"/>
      </w:pPr>
      <w:rPr>
        <w:rFonts w:ascii="Symbol" w:hAnsi="Symbol"/>
      </w:rPr>
    </w:lvl>
    <w:lvl w:ilvl="4">
      <w:start w:val="1"/>
      <w:numFmt w:val="lowerLetter"/>
      <w:lvlText w:val="(%5)"/>
      <w:lvlJc w:val="left"/>
      <w:pPr>
        <w:tabs>
          <w:tab w:val="num" w:pos="598"/>
        </w:tabs>
        <w:ind w:left="598" w:hanging="360"/>
      </w:pPr>
    </w:lvl>
    <w:lvl w:ilvl="5">
      <w:start w:val="1"/>
      <w:numFmt w:val="lowerRoman"/>
      <w:lvlText w:val="(%6)"/>
      <w:lvlJc w:val="left"/>
      <w:pPr>
        <w:tabs>
          <w:tab w:val="num" w:pos="958"/>
        </w:tabs>
        <w:ind w:left="958" w:hanging="360"/>
      </w:pPr>
    </w:lvl>
    <w:lvl w:ilvl="6">
      <w:start w:val="1"/>
      <w:numFmt w:val="decimal"/>
      <w:lvlText w:val="%7."/>
      <w:lvlJc w:val="left"/>
      <w:pPr>
        <w:tabs>
          <w:tab w:val="num" w:pos="1318"/>
        </w:tabs>
        <w:ind w:left="1318" w:hanging="360"/>
      </w:pPr>
    </w:lvl>
    <w:lvl w:ilvl="7">
      <w:start w:val="1"/>
      <w:numFmt w:val="lowerLetter"/>
      <w:lvlText w:val="%8."/>
      <w:lvlJc w:val="left"/>
      <w:pPr>
        <w:tabs>
          <w:tab w:val="num" w:pos="1678"/>
        </w:tabs>
        <w:ind w:left="1678" w:hanging="360"/>
      </w:pPr>
    </w:lvl>
    <w:lvl w:ilvl="8">
      <w:start w:val="1"/>
      <w:numFmt w:val="lowerRoman"/>
      <w:lvlText w:val="%9."/>
      <w:lvlJc w:val="left"/>
      <w:pPr>
        <w:tabs>
          <w:tab w:val="num" w:pos="2038"/>
        </w:tabs>
        <w:ind w:left="2038" w:hanging="360"/>
      </w:pPr>
    </w:lvl>
  </w:abstractNum>
  <w:abstractNum w:abstractNumId="20" w15:restartNumberingAfterBreak="0">
    <w:nsid w:val="32017A82"/>
    <w:multiLevelType w:val="multilevel"/>
    <w:tmpl w:val="490CE56E"/>
    <w:styleLink w:val="Style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cs="Times New Roman" w:hint="default"/>
      </w:rPr>
    </w:lvl>
    <w:lvl w:ilvl="2">
      <w:start w:val="1"/>
      <w:numFmt w:val="bullet"/>
      <w:lvlText w:val="-"/>
      <w:lvlJc w:val="left"/>
      <w:pPr>
        <w:tabs>
          <w:tab w:val="num" w:pos="1701"/>
        </w:tabs>
        <w:ind w:left="1701" w:hanging="567"/>
      </w:pPr>
      <w:rPr>
        <w:rFonts w:asci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2" w15:restartNumberingAfterBreak="0">
    <w:nsid w:val="34211818"/>
    <w:multiLevelType w:val="hybridMultilevel"/>
    <w:tmpl w:val="1D000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5C2788"/>
    <w:multiLevelType w:val="multilevel"/>
    <w:tmpl w:val="040C001F"/>
    <w:styleLink w:val="IFIAlgeriastyle"/>
    <w:lvl w:ilvl="0">
      <w:start w:val="1"/>
      <w:numFmt w:val="decimal"/>
      <w:lvlText w:val="%1."/>
      <w:lvlJc w:val="left"/>
      <w:pPr>
        <w:ind w:left="360" w:hanging="360"/>
      </w:pPr>
      <w:rPr>
        <w:rFonts w:ascii="Arial" w:hAnsi="Arial"/>
        <w:color w:val="auto"/>
        <w:sz w:val="24"/>
      </w:r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5" w15:restartNumberingAfterBreak="0">
    <w:nsid w:val="40B10ADD"/>
    <w:multiLevelType w:val="multilevel"/>
    <w:tmpl w:val="64101E52"/>
    <w:lvl w:ilvl="0">
      <w:start w:val="2"/>
      <w:numFmt w:val="decimal"/>
      <w:lvlText w:val="%1."/>
      <w:lvlJc w:val="left"/>
      <w:pPr>
        <w:ind w:left="720" w:hanging="720"/>
      </w:pPr>
      <w:rPr>
        <w:rFonts w:hint="default"/>
      </w:rPr>
    </w:lvl>
    <w:lvl w:ilvl="1">
      <w:start w:val="1"/>
      <w:numFmt w:val="decimal"/>
      <w:lvlText w:val="4.%2."/>
      <w:lvlJc w:val="left"/>
      <w:pPr>
        <w:ind w:left="1332" w:hanging="720"/>
      </w:pPr>
      <w:rPr>
        <w:rFonts w:hint="default"/>
      </w:rPr>
    </w:lvl>
    <w:lvl w:ilvl="2">
      <w:start w:val="10"/>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26" w15:restartNumberingAfterBreak="0">
    <w:nsid w:val="40F829C5"/>
    <w:multiLevelType w:val="multilevel"/>
    <w:tmpl w:val="FD1837C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DE4D35"/>
    <w:multiLevelType w:val="multilevel"/>
    <w:tmpl w:val="2F1A3F9A"/>
    <w:lvl w:ilvl="0">
      <w:start w:val="2"/>
      <w:numFmt w:val="decimal"/>
      <w:lvlText w:val="%1."/>
      <w:lvlJc w:val="left"/>
      <w:pPr>
        <w:ind w:left="720" w:hanging="720"/>
      </w:pPr>
      <w:rPr>
        <w:rFonts w:hint="default"/>
      </w:rPr>
    </w:lvl>
    <w:lvl w:ilvl="1">
      <w:start w:val="1"/>
      <w:numFmt w:val="decimal"/>
      <w:lvlText w:val="3.%2."/>
      <w:lvlJc w:val="left"/>
      <w:pPr>
        <w:ind w:left="1332" w:hanging="720"/>
      </w:pPr>
      <w:rPr>
        <w:rFonts w:hint="default"/>
      </w:rPr>
    </w:lvl>
    <w:lvl w:ilvl="2">
      <w:start w:val="10"/>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28" w15:restartNumberingAfterBreak="0">
    <w:nsid w:val="48C20AD8"/>
    <w:multiLevelType w:val="hybridMultilevel"/>
    <w:tmpl w:val="198F3B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1BA11A7"/>
    <w:multiLevelType w:val="multilevel"/>
    <w:tmpl w:val="ADAE6A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42134D2"/>
    <w:multiLevelType w:val="multilevel"/>
    <w:tmpl w:val="711A7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0D4505"/>
    <w:multiLevelType w:val="multilevel"/>
    <w:tmpl w:val="194499BE"/>
    <w:lvl w:ilvl="0">
      <w:start w:val="1"/>
      <w:numFmt w:val="decimal"/>
      <w:lvlText w:val="%1."/>
      <w:lvlJc w:val="left"/>
      <w:pPr>
        <w:tabs>
          <w:tab w:val="num" w:pos="850"/>
        </w:tabs>
        <w:ind w:left="850" w:hanging="850"/>
      </w:pPr>
    </w:lvl>
    <w:lvl w:ilvl="1">
      <w:start w:val="1"/>
      <w:numFmt w:val="decimal"/>
      <w:pStyle w:val="ReportHead2"/>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lowerRoman"/>
      <w:lvlText w:val="%4."/>
      <w:lvlJc w:val="left"/>
      <w:pPr>
        <w:tabs>
          <w:tab w:val="num" w:pos="851"/>
        </w:tabs>
        <w:ind w:left="851" w:hanging="851"/>
      </w:p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lvl>
    <w:lvl w:ilvl="8">
      <w:start w:val="1"/>
      <w:numFmt w:val="none"/>
      <w:lvlText w:val=""/>
      <w:lvlJc w:val="left"/>
      <w:pPr>
        <w:tabs>
          <w:tab w:val="num" w:pos="2551"/>
        </w:tabs>
        <w:ind w:left="2551" w:hanging="567"/>
      </w:pPr>
    </w:lvl>
  </w:abstractNum>
  <w:abstractNum w:abstractNumId="32" w15:restartNumberingAfterBreak="0">
    <w:nsid w:val="5A1F0FE6"/>
    <w:multiLevelType w:val="multilevel"/>
    <w:tmpl w:val="4A2AB0B2"/>
    <w:lvl w:ilvl="0">
      <w:start w:val="5"/>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3" w15:restartNumberingAfterBreak="0">
    <w:nsid w:val="5AC5124B"/>
    <w:multiLevelType w:val="hybridMultilevel"/>
    <w:tmpl w:val="D2E654F8"/>
    <w:lvl w:ilvl="0" w:tplc="6E46DF84">
      <w:start w:val="1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E5D7309"/>
    <w:multiLevelType w:val="multilevel"/>
    <w:tmpl w:val="54B299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304B86"/>
    <w:multiLevelType w:val="hybridMultilevel"/>
    <w:tmpl w:val="35742D1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549666B"/>
    <w:multiLevelType w:val="hybridMultilevel"/>
    <w:tmpl w:val="D6867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5D26BB3"/>
    <w:multiLevelType w:val="multilevel"/>
    <w:tmpl w:val="351CF70E"/>
    <w:lvl w:ilvl="0">
      <w:start w:val="1"/>
      <w:numFmt w:val="decimal"/>
      <w:pStyle w:val="ReportHead1"/>
      <w:lvlText w:val="%1."/>
      <w:lvlJc w:val="left"/>
      <w:pPr>
        <w:tabs>
          <w:tab w:val="num" w:pos="850"/>
        </w:tabs>
        <w:ind w:left="850" w:hanging="850"/>
      </w:pPr>
    </w:lvl>
    <w:lvl w:ilvl="1">
      <w:start w:val="1"/>
      <w:numFmt w:val="decimal"/>
      <w:pStyle w:val="ReportHead3"/>
      <w:lvlText w:val="%1.%2."/>
      <w:lvlJc w:val="left"/>
      <w:pPr>
        <w:tabs>
          <w:tab w:val="num" w:pos="850"/>
        </w:tabs>
        <w:ind w:left="850" w:hanging="850"/>
      </w:pPr>
    </w:lvl>
    <w:lvl w:ilvl="2">
      <w:start w:val="1"/>
      <w:numFmt w:val="decimal"/>
      <w:pStyle w:val="ReportHead4"/>
      <w:lvlText w:val="%1.%2.%3."/>
      <w:lvlJc w:val="left"/>
      <w:pPr>
        <w:tabs>
          <w:tab w:val="num" w:pos="850"/>
        </w:tabs>
        <w:ind w:left="850" w:hanging="850"/>
      </w:pPr>
    </w:lvl>
    <w:lvl w:ilvl="3">
      <w:start w:val="1"/>
      <w:numFmt w:val="lowerRoman"/>
      <w:lvlText w:val="%4."/>
      <w:lvlJc w:val="left"/>
      <w:pPr>
        <w:tabs>
          <w:tab w:val="num" w:pos="851"/>
        </w:tabs>
        <w:ind w:left="851" w:hanging="851"/>
      </w:p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lvl>
    <w:lvl w:ilvl="8">
      <w:start w:val="1"/>
      <w:numFmt w:val="none"/>
      <w:lvlText w:val=""/>
      <w:lvlJc w:val="left"/>
      <w:pPr>
        <w:tabs>
          <w:tab w:val="num" w:pos="2551"/>
        </w:tabs>
        <w:ind w:left="2551" w:hanging="567"/>
      </w:pPr>
    </w:lvl>
  </w:abstractNum>
  <w:abstractNum w:abstractNumId="38" w15:restartNumberingAfterBreak="0">
    <w:nsid w:val="6833306A"/>
    <w:multiLevelType w:val="multilevel"/>
    <w:tmpl w:val="1AD60E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2970DD"/>
    <w:multiLevelType w:val="hybridMultilevel"/>
    <w:tmpl w:val="3B102D9A"/>
    <w:lvl w:ilvl="0" w:tplc="287805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A4369D"/>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615DAF"/>
    <w:multiLevelType w:val="multilevel"/>
    <w:tmpl w:val="34E6B93C"/>
    <w:name w:val="ChapNum"/>
    <w:lvl w:ilvl="0">
      <w:start w:val="1"/>
      <w:numFmt w:val="decimal"/>
      <w:lvlRestart w:val="0"/>
      <w:pStyle w:val="BodyText2"/>
      <w:suff w:val="nothing"/>
      <w:lvlText w:val="%1"/>
      <w:lvlJc w:val="left"/>
      <w:pPr>
        <w:ind w:left="5580" w:hanging="5580"/>
      </w:pPr>
      <w:rPr>
        <w:rFonts w:hint="default"/>
      </w:rPr>
    </w:lvl>
    <w:lvl w:ilvl="1">
      <w:start w:val="1"/>
      <w:numFmt w:val="decimal"/>
      <w:pStyle w:val="BodyText"/>
      <w:suff w:val="space"/>
      <w:lvlText w:val="%1.%2"/>
      <w:lvlJc w:val="left"/>
      <w:pPr>
        <w:ind w:left="0" w:firstLine="0"/>
      </w:pPr>
      <w:rPr>
        <w:rFonts w:ascii="Humnst777 Lt BT" w:hAnsi="Humnst777 Lt BT" w:hint="default"/>
        <w:b/>
        <w:i w:val="0"/>
        <w:color w:val="C40012"/>
        <w:sz w:val="22"/>
      </w:rPr>
    </w:lvl>
    <w:lvl w:ilvl="2">
      <w:start w:val="1"/>
      <w:numFmt w:val="decimal"/>
      <w:pStyle w:val="BodyText2"/>
      <w:suff w:val="space"/>
      <w:lvlText w:val="%1.%2.%3"/>
      <w:lvlJc w:val="left"/>
      <w:pPr>
        <w:ind w:left="0" w:firstLine="0"/>
      </w:pPr>
      <w:rPr>
        <w:rFonts w:ascii="Humnst777 Lt BT" w:hAnsi="Humnst777 Lt BT" w:hint="default"/>
        <w:b/>
        <w:i w:val="0"/>
        <w:color w:val="C40012"/>
        <w:sz w:val="22"/>
      </w:rPr>
    </w:lvl>
    <w:lvl w:ilvl="3">
      <w:start w:val="1"/>
      <w:numFmt w:val="upperLetter"/>
      <w:lvlRestart w:val="1"/>
      <w:pStyle w:val="BoxHeading"/>
      <w:suff w:val="space"/>
      <w:lvlText w:val="Box %1.%4:"/>
      <w:lvlJc w:val="left"/>
      <w:pPr>
        <w:ind w:left="0" w:firstLine="0"/>
      </w:pPr>
      <w:rPr>
        <w:rFonts w:ascii="Humnst777 BT" w:hAnsi="Humnst777 BT" w:hint="default"/>
        <w:b/>
        <w:color w:val="C40012"/>
        <w:sz w:val="20"/>
      </w:rPr>
    </w:lvl>
    <w:lvl w:ilvl="4">
      <w:start w:val="1"/>
      <w:numFmt w:val="upperLetter"/>
      <w:lvlRestart w:val="1"/>
      <w:pStyle w:val="FigureHeading"/>
      <w:suff w:val="space"/>
      <w:lvlText w:val="Figure %1.%5:"/>
      <w:lvlJc w:val="left"/>
      <w:pPr>
        <w:ind w:left="0" w:firstLine="0"/>
      </w:pPr>
      <w:rPr>
        <w:rFonts w:ascii="Humnst777 BT" w:hAnsi="Humnst777 BT" w:hint="default"/>
        <w:b/>
        <w:color w:val="C40012"/>
        <w:sz w:val="20"/>
      </w:rPr>
    </w:lvl>
    <w:lvl w:ilvl="5">
      <w:start w:val="1"/>
      <w:numFmt w:val="upperLetter"/>
      <w:lvlRestart w:val="1"/>
      <w:pStyle w:val="TableHeading"/>
      <w:suff w:val="space"/>
      <w:lvlText w:val="Table %1.%6:"/>
      <w:lvlJc w:val="left"/>
      <w:pPr>
        <w:ind w:left="0" w:firstLine="0"/>
      </w:pPr>
      <w:rPr>
        <w:rFonts w:ascii="Humnst777 BT" w:hAnsi="Humnst777 BT" w:hint="default"/>
        <w:b/>
        <w:color w:val="C40012"/>
        <w:sz w:val="20"/>
      </w:rPr>
    </w:lvl>
    <w:lvl w:ilvl="6">
      <w:start w:val="1"/>
      <w:numFmt w:val="upperLetter"/>
      <w:lvlRestart w:val="1"/>
      <w:pStyle w:val="ChartHeading"/>
      <w:suff w:val="space"/>
      <w:lvlText w:val="Chart %1.%7:"/>
      <w:lvlJc w:val="left"/>
      <w:pPr>
        <w:ind w:left="0" w:firstLine="0"/>
      </w:pPr>
      <w:rPr>
        <w:rFonts w:ascii="Humnst777 BT" w:hAnsi="Humnst777 BT" w:hint="default"/>
        <w:b/>
        <w:color w:val="C40012"/>
        <w:sz w:val="20"/>
      </w:rPr>
    </w:lvl>
    <w:lvl w:ilvl="7">
      <w:start w:val="1"/>
      <w:numFmt w:val="lowerLetter"/>
      <w:lvlText w:val="%8."/>
      <w:lvlJc w:val="left"/>
      <w:pPr>
        <w:tabs>
          <w:tab w:val="num" w:pos="8100"/>
        </w:tabs>
        <w:ind w:left="8100" w:hanging="360"/>
      </w:pPr>
      <w:rPr>
        <w:rFonts w:hint="default"/>
      </w:rPr>
    </w:lvl>
    <w:lvl w:ilvl="8">
      <w:start w:val="1"/>
      <w:numFmt w:val="lowerRoman"/>
      <w:lvlText w:val="%9."/>
      <w:lvlJc w:val="left"/>
      <w:pPr>
        <w:tabs>
          <w:tab w:val="num" w:pos="8460"/>
        </w:tabs>
        <w:ind w:left="8460" w:hanging="360"/>
      </w:pPr>
      <w:rPr>
        <w:rFonts w:hint="default"/>
      </w:rPr>
    </w:lvl>
  </w:abstractNum>
  <w:num w:numId="1">
    <w:abstractNumId w:val="41"/>
  </w:num>
  <w:num w:numId="2">
    <w:abstractNumId w:val="40"/>
  </w:num>
  <w:num w:numId="3">
    <w:abstractNumId w:val="17"/>
  </w:num>
  <w:num w:numId="4">
    <w:abstractNumId w:val="1"/>
  </w:num>
  <w:num w:numId="5">
    <w:abstractNumId w:val="37"/>
  </w:num>
  <w:num w:numId="6">
    <w:abstractNumId w:val="31"/>
  </w:num>
  <w:num w:numId="7">
    <w:abstractNumId w:val="24"/>
  </w:num>
  <w:num w:numId="8">
    <w:abstractNumId w:val="18"/>
  </w:num>
  <w:num w:numId="9">
    <w:abstractNumId w:val="8"/>
  </w:num>
  <w:num w:numId="10">
    <w:abstractNumId w:val="21"/>
  </w:num>
  <w:num w:numId="11">
    <w:abstractNumId w:val="15"/>
  </w:num>
  <w:num w:numId="12">
    <w:abstractNumId w:val="19"/>
  </w:num>
  <w:num w:numId="13">
    <w:abstractNumId w:val="6"/>
    <w:lvlOverride w:ilvl="0">
      <w:lvl w:ilvl="0">
        <w:start w:val="1"/>
        <w:numFmt w:val="decimal"/>
        <w:lvlText w:val="%1."/>
        <w:lvlJc w:val="left"/>
        <w:pPr>
          <w:ind w:left="360" w:hanging="360"/>
        </w:pPr>
        <w:rPr>
          <w:rFonts w:ascii="Arial" w:hAnsi="Arial"/>
          <w:color w:val="FFFFFF" w:themeColor="background1"/>
          <w:sz w:val="24"/>
        </w:rPr>
      </w:lvl>
    </w:lvlOverride>
  </w:num>
  <w:num w:numId="14">
    <w:abstractNumId w:val="23"/>
  </w:num>
  <w:num w:numId="15">
    <w:abstractNumId w:val="6"/>
    <w:lvlOverride w:ilvl="0">
      <w:lvl w:ilvl="0">
        <w:start w:val="1"/>
        <w:numFmt w:val="decimal"/>
        <w:lvlText w:val="%1."/>
        <w:lvlJc w:val="left"/>
        <w:pPr>
          <w:ind w:left="360" w:hanging="360"/>
        </w:pPr>
        <w:rPr>
          <w:rFonts w:ascii="Arial" w:hAnsi="Arial"/>
          <w:color w:val="auto"/>
          <w:sz w:val="24"/>
        </w:r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3"/>
  </w:num>
  <w:num w:numId="17">
    <w:abstractNumId w:val="20"/>
  </w:num>
  <w:num w:numId="18">
    <w:abstractNumId w:val="11"/>
  </w:num>
  <w:num w:numId="19">
    <w:abstractNumId w:val="12"/>
  </w:num>
  <w:num w:numId="20">
    <w:abstractNumId w:val="34"/>
  </w:num>
  <w:num w:numId="21">
    <w:abstractNumId w:val="29"/>
  </w:num>
  <w:num w:numId="22">
    <w:abstractNumId w:val="39"/>
  </w:num>
  <w:num w:numId="23">
    <w:abstractNumId w:val="14"/>
  </w:num>
  <w:num w:numId="24">
    <w:abstractNumId w:val="35"/>
  </w:num>
  <w:num w:numId="25">
    <w:abstractNumId w:val="7"/>
  </w:num>
  <w:num w:numId="26">
    <w:abstractNumId w:val="5"/>
  </w:num>
  <w:num w:numId="27">
    <w:abstractNumId w:val="3"/>
  </w:num>
  <w:num w:numId="28">
    <w:abstractNumId w:val="4"/>
  </w:num>
  <w:num w:numId="29">
    <w:abstractNumId w:val="32"/>
  </w:num>
  <w:num w:numId="30">
    <w:abstractNumId w:val="2"/>
  </w:num>
  <w:num w:numId="31">
    <w:abstractNumId w:val="28"/>
  </w:num>
  <w:num w:numId="32">
    <w:abstractNumId w:val="0"/>
  </w:num>
  <w:num w:numId="33">
    <w:abstractNumId w:val="33"/>
  </w:num>
  <w:num w:numId="34">
    <w:abstractNumId w:val="22"/>
  </w:num>
  <w:num w:numId="35">
    <w:abstractNumId w:val="30"/>
  </w:num>
  <w:num w:numId="36">
    <w:abstractNumId w:val="36"/>
  </w:num>
  <w:num w:numId="37">
    <w:abstractNumId w:val="27"/>
  </w:num>
  <w:num w:numId="38">
    <w:abstractNumId w:val="27"/>
    <w:lvlOverride w:ilvl="0">
      <w:lvl w:ilvl="0">
        <w:start w:val="2"/>
        <w:numFmt w:val="decimal"/>
        <w:lvlText w:val="%1."/>
        <w:lvlJc w:val="left"/>
        <w:pPr>
          <w:ind w:left="720" w:hanging="720"/>
        </w:pPr>
        <w:rPr>
          <w:rFonts w:hint="default"/>
        </w:rPr>
      </w:lvl>
    </w:lvlOverride>
    <w:lvlOverride w:ilvl="1">
      <w:lvl w:ilvl="1">
        <w:start w:val="1"/>
        <w:numFmt w:val="decimal"/>
        <w:lvlText w:val="4.%2."/>
        <w:lvlJc w:val="left"/>
        <w:pPr>
          <w:ind w:left="1332" w:hanging="720"/>
        </w:pPr>
        <w:rPr>
          <w:rFonts w:hint="default"/>
        </w:rPr>
      </w:lvl>
    </w:lvlOverride>
    <w:lvlOverride w:ilvl="2">
      <w:lvl w:ilvl="2">
        <w:start w:val="10"/>
        <w:numFmt w:val="decimal"/>
        <w:lvlText w:val="%1.%2.%3."/>
        <w:lvlJc w:val="left"/>
        <w:pPr>
          <w:ind w:left="1944" w:hanging="720"/>
        </w:pPr>
        <w:rPr>
          <w:rFonts w:hint="default"/>
        </w:rPr>
      </w:lvl>
    </w:lvlOverride>
    <w:lvlOverride w:ilvl="3">
      <w:lvl w:ilvl="3">
        <w:start w:val="1"/>
        <w:numFmt w:val="decimal"/>
        <w:lvlText w:val="%1.%2.%3.%4."/>
        <w:lvlJc w:val="left"/>
        <w:pPr>
          <w:ind w:left="2916" w:hanging="1080"/>
        </w:pPr>
        <w:rPr>
          <w:rFonts w:hint="default"/>
        </w:rPr>
      </w:lvl>
    </w:lvlOverride>
    <w:lvlOverride w:ilvl="4">
      <w:lvl w:ilvl="4">
        <w:start w:val="1"/>
        <w:numFmt w:val="decimal"/>
        <w:lvlText w:val="%1.%2.%3.%4.%5."/>
        <w:lvlJc w:val="left"/>
        <w:pPr>
          <w:ind w:left="3528" w:hanging="1080"/>
        </w:pPr>
        <w:rPr>
          <w:rFonts w:hint="default"/>
        </w:rPr>
      </w:lvl>
    </w:lvlOverride>
    <w:lvlOverride w:ilvl="5">
      <w:lvl w:ilvl="5">
        <w:start w:val="1"/>
        <w:numFmt w:val="decimal"/>
        <w:lvlText w:val="%1.%2.%3.%4.%5.%6."/>
        <w:lvlJc w:val="left"/>
        <w:pPr>
          <w:ind w:left="4500" w:hanging="1440"/>
        </w:pPr>
        <w:rPr>
          <w:rFonts w:hint="default"/>
        </w:rPr>
      </w:lvl>
    </w:lvlOverride>
    <w:lvlOverride w:ilvl="6">
      <w:lvl w:ilvl="6">
        <w:start w:val="1"/>
        <w:numFmt w:val="decimal"/>
        <w:lvlText w:val="%1.%2.%3.%4.%5.%6.%7."/>
        <w:lvlJc w:val="left"/>
        <w:pPr>
          <w:ind w:left="5112" w:hanging="1440"/>
        </w:pPr>
        <w:rPr>
          <w:rFonts w:hint="default"/>
        </w:rPr>
      </w:lvl>
    </w:lvlOverride>
    <w:lvlOverride w:ilvl="7">
      <w:lvl w:ilvl="7">
        <w:start w:val="1"/>
        <w:numFmt w:val="decimal"/>
        <w:lvlText w:val="%1.%2.%3.%4.%5.%6.%7.%8."/>
        <w:lvlJc w:val="left"/>
        <w:pPr>
          <w:ind w:left="6084" w:hanging="1800"/>
        </w:pPr>
        <w:rPr>
          <w:rFonts w:hint="default"/>
        </w:rPr>
      </w:lvl>
    </w:lvlOverride>
    <w:lvlOverride w:ilvl="8">
      <w:lvl w:ilvl="8">
        <w:start w:val="1"/>
        <w:numFmt w:val="decimal"/>
        <w:lvlText w:val="%1.%2.%3.%4.%5.%6.%7.%8.%9."/>
        <w:lvlJc w:val="left"/>
        <w:pPr>
          <w:ind w:left="7056" w:hanging="2160"/>
        </w:pPr>
        <w:rPr>
          <w:rFonts w:hint="default"/>
        </w:rPr>
      </w:lvl>
    </w:lvlOverride>
  </w:num>
  <w:num w:numId="39">
    <w:abstractNumId w:val="25"/>
  </w:num>
  <w:num w:numId="40">
    <w:abstractNumId w:val="27"/>
    <w:lvlOverride w:ilvl="0">
      <w:lvl w:ilvl="0">
        <w:start w:val="2"/>
        <w:numFmt w:val="decimal"/>
        <w:lvlText w:val="%1."/>
        <w:lvlJc w:val="left"/>
        <w:pPr>
          <w:ind w:left="720" w:hanging="720"/>
        </w:pPr>
        <w:rPr>
          <w:rFonts w:hint="default"/>
        </w:rPr>
      </w:lvl>
    </w:lvlOverride>
    <w:lvlOverride w:ilvl="1">
      <w:lvl w:ilvl="1">
        <w:start w:val="1"/>
        <w:numFmt w:val="decimal"/>
        <w:lvlText w:val="5.%2."/>
        <w:lvlJc w:val="left"/>
        <w:pPr>
          <w:ind w:left="1332" w:hanging="720"/>
        </w:pPr>
        <w:rPr>
          <w:rFonts w:hint="default"/>
        </w:rPr>
      </w:lvl>
    </w:lvlOverride>
    <w:lvlOverride w:ilvl="2">
      <w:lvl w:ilvl="2">
        <w:start w:val="10"/>
        <w:numFmt w:val="decimal"/>
        <w:lvlText w:val="%1.%2.%3."/>
        <w:lvlJc w:val="left"/>
        <w:pPr>
          <w:ind w:left="1944" w:hanging="720"/>
        </w:pPr>
        <w:rPr>
          <w:rFonts w:hint="default"/>
        </w:rPr>
      </w:lvl>
    </w:lvlOverride>
    <w:lvlOverride w:ilvl="3">
      <w:lvl w:ilvl="3">
        <w:start w:val="1"/>
        <w:numFmt w:val="decimal"/>
        <w:lvlText w:val="%1.%2.%3.%4."/>
        <w:lvlJc w:val="left"/>
        <w:pPr>
          <w:ind w:left="2916" w:hanging="1080"/>
        </w:pPr>
        <w:rPr>
          <w:rFonts w:hint="default"/>
        </w:rPr>
      </w:lvl>
    </w:lvlOverride>
    <w:lvlOverride w:ilvl="4">
      <w:lvl w:ilvl="4">
        <w:start w:val="1"/>
        <w:numFmt w:val="decimal"/>
        <w:lvlText w:val="%1.%2.%3.%4.%5."/>
        <w:lvlJc w:val="left"/>
        <w:pPr>
          <w:ind w:left="3528" w:hanging="1080"/>
        </w:pPr>
        <w:rPr>
          <w:rFonts w:hint="default"/>
        </w:rPr>
      </w:lvl>
    </w:lvlOverride>
    <w:lvlOverride w:ilvl="5">
      <w:lvl w:ilvl="5">
        <w:start w:val="1"/>
        <w:numFmt w:val="decimal"/>
        <w:lvlText w:val="%1.%2.%3.%4.%5.%6."/>
        <w:lvlJc w:val="left"/>
        <w:pPr>
          <w:ind w:left="4500" w:hanging="1440"/>
        </w:pPr>
        <w:rPr>
          <w:rFonts w:hint="default"/>
        </w:rPr>
      </w:lvl>
    </w:lvlOverride>
    <w:lvlOverride w:ilvl="6">
      <w:lvl w:ilvl="6">
        <w:start w:val="1"/>
        <w:numFmt w:val="decimal"/>
        <w:lvlText w:val="%1.%2.%3.%4.%5.%6.%7."/>
        <w:lvlJc w:val="left"/>
        <w:pPr>
          <w:ind w:left="5112" w:hanging="1440"/>
        </w:pPr>
        <w:rPr>
          <w:rFonts w:hint="default"/>
        </w:rPr>
      </w:lvl>
    </w:lvlOverride>
    <w:lvlOverride w:ilvl="7">
      <w:lvl w:ilvl="7">
        <w:start w:val="1"/>
        <w:numFmt w:val="decimal"/>
        <w:lvlText w:val="%1.%2.%3.%4.%5.%6.%7.%8."/>
        <w:lvlJc w:val="left"/>
        <w:pPr>
          <w:ind w:left="6084" w:hanging="1800"/>
        </w:pPr>
        <w:rPr>
          <w:rFonts w:hint="default"/>
        </w:rPr>
      </w:lvl>
    </w:lvlOverride>
    <w:lvlOverride w:ilvl="8">
      <w:lvl w:ilvl="8">
        <w:start w:val="1"/>
        <w:numFmt w:val="decimal"/>
        <w:lvlText w:val="%1.%2.%3.%4.%5.%6.%7.%8.%9."/>
        <w:lvlJc w:val="left"/>
        <w:pPr>
          <w:ind w:left="7056" w:hanging="2160"/>
        </w:pPr>
        <w:rPr>
          <w:rFonts w:hint="default"/>
        </w:rPr>
      </w:lvl>
    </w:lvlOverride>
  </w:num>
  <w:num w:numId="41">
    <w:abstractNumId w:val="9"/>
  </w:num>
  <w:num w:numId="42">
    <w:abstractNumId w:val="10"/>
  </w:num>
  <w:num w:numId="43">
    <w:abstractNumId w:val="26"/>
  </w:num>
  <w:num w:numId="44">
    <w:abstractNumId w:val="38"/>
  </w:num>
  <w:num w:numId="45">
    <w:abstractNumId w:val="3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9.%3."/>
        <w:lvlJc w:val="left"/>
        <w:pPr>
          <w:ind w:left="1224" w:hanging="504"/>
        </w:pPr>
        <w:rPr>
          <w:rFonts w:hint="default"/>
          <w:b/>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6"/>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8193"/>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3C"/>
    <w:rsid w:val="000002E1"/>
    <w:rsid w:val="0000071F"/>
    <w:rsid w:val="00000D95"/>
    <w:rsid w:val="000017FC"/>
    <w:rsid w:val="00001832"/>
    <w:rsid w:val="00001A7A"/>
    <w:rsid w:val="00002958"/>
    <w:rsid w:val="00004416"/>
    <w:rsid w:val="00004C38"/>
    <w:rsid w:val="000058F6"/>
    <w:rsid w:val="00006060"/>
    <w:rsid w:val="000063B8"/>
    <w:rsid w:val="00006EBE"/>
    <w:rsid w:val="0000711F"/>
    <w:rsid w:val="00007A07"/>
    <w:rsid w:val="00007F77"/>
    <w:rsid w:val="00010331"/>
    <w:rsid w:val="00010816"/>
    <w:rsid w:val="000119A8"/>
    <w:rsid w:val="00011E34"/>
    <w:rsid w:val="00013A1F"/>
    <w:rsid w:val="00013E74"/>
    <w:rsid w:val="00015FBB"/>
    <w:rsid w:val="000165BA"/>
    <w:rsid w:val="000169D4"/>
    <w:rsid w:val="000204AE"/>
    <w:rsid w:val="0002236D"/>
    <w:rsid w:val="00023039"/>
    <w:rsid w:val="00023EC4"/>
    <w:rsid w:val="000244AC"/>
    <w:rsid w:val="00024A1B"/>
    <w:rsid w:val="0002544E"/>
    <w:rsid w:val="00025A01"/>
    <w:rsid w:val="000269D7"/>
    <w:rsid w:val="00026F67"/>
    <w:rsid w:val="00027422"/>
    <w:rsid w:val="000301D5"/>
    <w:rsid w:val="00030218"/>
    <w:rsid w:val="00030475"/>
    <w:rsid w:val="00030481"/>
    <w:rsid w:val="000309C3"/>
    <w:rsid w:val="00030C81"/>
    <w:rsid w:val="000311C3"/>
    <w:rsid w:val="000322ED"/>
    <w:rsid w:val="00033253"/>
    <w:rsid w:val="000337CA"/>
    <w:rsid w:val="00034024"/>
    <w:rsid w:val="000346F7"/>
    <w:rsid w:val="00034A5B"/>
    <w:rsid w:val="00034F68"/>
    <w:rsid w:val="0003579F"/>
    <w:rsid w:val="00035B15"/>
    <w:rsid w:val="0003601D"/>
    <w:rsid w:val="000368BC"/>
    <w:rsid w:val="0004022A"/>
    <w:rsid w:val="000416CF"/>
    <w:rsid w:val="00041A96"/>
    <w:rsid w:val="000424EB"/>
    <w:rsid w:val="00043D9F"/>
    <w:rsid w:val="00045097"/>
    <w:rsid w:val="000450A1"/>
    <w:rsid w:val="00045A08"/>
    <w:rsid w:val="00045B1F"/>
    <w:rsid w:val="00047EFB"/>
    <w:rsid w:val="000500F1"/>
    <w:rsid w:val="00050222"/>
    <w:rsid w:val="0005067B"/>
    <w:rsid w:val="00050AE9"/>
    <w:rsid w:val="00050E1D"/>
    <w:rsid w:val="00051385"/>
    <w:rsid w:val="000513A5"/>
    <w:rsid w:val="00052D78"/>
    <w:rsid w:val="000534F7"/>
    <w:rsid w:val="00053546"/>
    <w:rsid w:val="0005487C"/>
    <w:rsid w:val="00056191"/>
    <w:rsid w:val="00056269"/>
    <w:rsid w:val="000562A7"/>
    <w:rsid w:val="000565B8"/>
    <w:rsid w:val="00056ADC"/>
    <w:rsid w:val="00056E43"/>
    <w:rsid w:val="00057099"/>
    <w:rsid w:val="00057D66"/>
    <w:rsid w:val="00060774"/>
    <w:rsid w:val="00062669"/>
    <w:rsid w:val="000634EB"/>
    <w:rsid w:val="00063E95"/>
    <w:rsid w:val="00063F0C"/>
    <w:rsid w:val="00064B4B"/>
    <w:rsid w:val="00065FEE"/>
    <w:rsid w:val="00067199"/>
    <w:rsid w:val="000678C1"/>
    <w:rsid w:val="00067E8D"/>
    <w:rsid w:val="00070104"/>
    <w:rsid w:val="000703D5"/>
    <w:rsid w:val="00070411"/>
    <w:rsid w:val="0007055E"/>
    <w:rsid w:val="00070917"/>
    <w:rsid w:val="000710FE"/>
    <w:rsid w:val="00071202"/>
    <w:rsid w:val="000714CC"/>
    <w:rsid w:val="00071601"/>
    <w:rsid w:val="00071AC1"/>
    <w:rsid w:val="0007212F"/>
    <w:rsid w:val="000724FD"/>
    <w:rsid w:val="000727C9"/>
    <w:rsid w:val="00072CB3"/>
    <w:rsid w:val="00073E57"/>
    <w:rsid w:val="00073FDF"/>
    <w:rsid w:val="00074500"/>
    <w:rsid w:val="00074D7D"/>
    <w:rsid w:val="00075832"/>
    <w:rsid w:val="00076027"/>
    <w:rsid w:val="00076568"/>
    <w:rsid w:val="00076750"/>
    <w:rsid w:val="00076C80"/>
    <w:rsid w:val="00076FD5"/>
    <w:rsid w:val="00077967"/>
    <w:rsid w:val="00080945"/>
    <w:rsid w:val="00080A0E"/>
    <w:rsid w:val="00081138"/>
    <w:rsid w:val="000825DA"/>
    <w:rsid w:val="00083270"/>
    <w:rsid w:val="00083512"/>
    <w:rsid w:val="000836E8"/>
    <w:rsid w:val="00084E73"/>
    <w:rsid w:val="00085469"/>
    <w:rsid w:val="00085A4B"/>
    <w:rsid w:val="000863DD"/>
    <w:rsid w:val="00087590"/>
    <w:rsid w:val="00087EF2"/>
    <w:rsid w:val="0009077C"/>
    <w:rsid w:val="00090A95"/>
    <w:rsid w:val="00092F3C"/>
    <w:rsid w:val="000932E4"/>
    <w:rsid w:val="00093861"/>
    <w:rsid w:val="00093A86"/>
    <w:rsid w:val="00093C8C"/>
    <w:rsid w:val="00094896"/>
    <w:rsid w:val="00094ACB"/>
    <w:rsid w:val="00095C97"/>
    <w:rsid w:val="00097E38"/>
    <w:rsid w:val="000A021F"/>
    <w:rsid w:val="000A094F"/>
    <w:rsid w:val="000A0E8D"/>
    <w:rsid w:val="000A118E"/>
    <w:rsid w:val="000A22AB"/>
    <w:rsid w:val="000A2950"/>
    <w:rsid w:val="000A2C7A"/>
    <w:rsid w:val="000A4E1E"/>
    <w:rsid w:val="000A5D49"/>
    <w:rsid w:val="000A6F86"/>
    <w:rsid w:val="000A6F8F"/>
    <w:rsid w:val="000B045B"/>
    <w:rsid w:val="000B1576"/>
    <w:rsid w:val="000B236F"/>
    <w:rsid w:val="000B282D"/>
    <w:rsid w:val="000B286B"/>
    <w:rsid w:val="000B3448"/>
    <w:rsid w:val="000B4978"/>
    <w:rsid w:val="000B4CDB"/>
    <w:rsid w:val="000B4E79"/>
    <w:rsid w:val="000B5516"/>
    <w:rsid w:val="000B565F"/>
    <w:rsid w:val="000B5DB0"/>
    <w:rsid w:val="000B6D63"/>
    <w:rsid w:val="000B7100"/>
    <w:rsid w:val="000B72C9"/>
    <w:rsid w:val="000B79B0"/>
    <w:rsid w:val="000C0F01"/>
    <w:rsid w:val="000C14A3"/>
    <w:rsid w:val="000C1E84"/>
    <w:rsid w:val="000C32AA"/>
    <w:rsid w:val="000C3A40"/>
    <w:rsid w:val="000C3BE0"/>
    <w:rsid w:val="000C4572"/>
    <w:rsid w:val="000C4D98"/>
    <w:rsid w:val="000C5D2A"/>
    <w:rsid w:val="000C68DD"/>
    <w:rsid w:val="000C706B"/>
    <w:rsid w:val="000C7076"/>
    <w:rsid w:val="000C7DC2"/>
    <w:rsid w:val="000D03BC"/>
    <w:rsid w:val="000D09A5"/>
    <w:rsid w:val="000D1B33"/>
    <w:rsid w:val="000D1BF3"/>
    <w:rsid w:val="000D26CF"/>
    <w:rsid w:val="000D270D"/>
    <w:rsid w:val="000D316E"/>
    <w:rsid w:val="000D37B4"/>
    <w:rsid w:val="000D3D5D"/>
    <w:rsid w:val="000D7424"/>
    <w:rsid w:val="000D7D9E"/>
    <w:rsid w:val="000E1B9D"/>
    <w:rsid w:val="000E1D4C"/>
    <w:rsid w:val="000E1E8D"/>
    <w:rsid w:val="000E284F"/>
    <w:rsid w:val="000E3609"/>
    <w:rsid w:val="000E3E03"/>
    <w:rsid w:val="000E4273"/>
    <w:rsid w:val="000E5C6F"/>
    <w:rsid w:val="000E6437"/>
    <w:rsid w:val="000E6E00"/>
    <w:rsid w:val="000E7763"/>
    <w:rsid w:val="000E7783"/>
    <w:rsid w:val="000F00EA"/>
    <w:rsid w:val="000F1229"/>
    <w:rsid w:val="000F45A6"/>
    <w:rsid w:val="000F4C73"/>
    <w:rsid w:val="000F5315"/>
    <w:rsid w:val="000F6511"/>
    <w:rsid w:val="000F71B1"/>
    <w:rsid w:val="000F71E5"/>
    <w:rsid w:val="000F7245"/>
    <w:rsid w:val="00100203"/>
    <w:rsid w:val="00100309"/>
    <w:rsid w:val="00100893"/>
    <w:rsid w:val="00101B95"/>
    <w:rsid w:val="00101CB5"/>
    <w:rsid w:val="00102461"/>
    <w:rsid w:val="001034AF"/>
    <w:rsid w:val="00104D70"/>
    <w:rsid w:val="00104DEE"/>
    <w:rsid w:val="0010556C"/>
    <w:rsid w:val="0010617D"/>
    <w:rsid w:val="00106493"/>
    <w:rsid w:val="0010712D"/>
    <w:rsid w:val="0010718D"/>
    <w:rsid w:val="00107504"/>
    <w:rsid w:val="00110821"/>
    <w:rsid w:val="00111B8C"/>
    <w:rsid w:val="00111D45"/>
    <w:rsid w:val="00112539"/>
    <w:rsid w:val="00112E04"/>
    <w:rsid w:val="001130B7"/>
    <w:rsid w:val="001134D4"/>
    <w:rsid w:val="00113F68"/>
    <w:rsid w:val="00114BF6"/>
    <w:rsid w:val="0011564A"/>
    <w:rsid w:val="0011625F"/>
    <w:rsid w:val="00117B8F"/>
    <w:rsid w:val="0012114E"/>
    <w:rsid w:val="0012154B"/>
    <w:rsid w:val="00121B5B"/>
    <w:rsid w:val="00121E30"/>
    <w:rsid w:val="0012299E"/>
    <w:rsid w:val="00123223"/>
    <w:rsid w:val="001234CF"/>
    <w:rsid w:val="001236C0"/>
    <w:rsid w:val="00124073"/>
    <w:rsid w:val="00124880"/>
    <w:rsid w:val="0012494E"/>
    <w:rsid w:val="001249BF"/>
    <w:rsid w:val="00124A09"/>
    <w:rsid w:val="00125E6B"/>
    <w:rsid w:val="001264BB"/>
    <w:rsid w:val="00126B9F"/>
    <w:rsid w:val="00127109"/>
    <w:rsid w:val="00127F8C"/>
    <w:rsid w:val="00130C1D"/>
    <w:rsid w:val="00132EB8"/>
    <w:rsid w:val="00132F81"/>
    <w:rsid w:val="00133506"/>
    <w:rsid w:val="0013382A"/>
    <w:rsid w:val="00133D25"/>
    <w:rsid w:val="00134496"/>
    <w:rsid w:val="001347F6"/>
    <w:rsid w:val="00134AB2"/>
    <w:rsid w:val="00135699"/>
    <w:rsid w:val="00135B05"/>
    <w:rsid w:val="00135D9F"/>
    <w:rsid w:val="00135DCC"/>
    <w:rsid w:val="0013676D"/>
    <w:rsid w:val="00136DE0"/>
    <w:rsid w:val="00140161"/>
    <w:rsid w:val="00140EB9"/>
    <w:rsid w:val="00143182"/>
    <w:rsid w:val="00144032"/>
    <w:rsid w:val="001440EE"/>
    <w:rsid w:val="001442FF"/>
    <w:rsid w:val="00144568"/>
    <w:rsid w:val="0014475D"/>
    <w:rsid w:val="00145028"/>
    <w:rsid w:val="00145833"/>
    <w:rsid w:val="00145901"/>
    <w:rsid w:val="00145B67"/>
    <w:rsid w:val="0014661F"/>
    <w:rsid w:val="001467A5"/>
    <w:rsid w:val="001471AF"/>
    <w:rsid w:val="00147798"/>
    <w:rsid w:val="00147AE3"/>
    <w:rsid w:val="00147C83"/>
    <w:rsid w:val="00147F5E"/>
    <w:rsid w:val="00147FC1"/>
    <w:rsid w:val="00150A9F"/>
    <w:rsid w:val="00150BB2"/>
    <w:rsid w:val="00150DF1"/>
    <w:rsid w:val="001520CD"/>
    <w:rsid w:val="00152197"/>
    <w:rsid w:val="0015250B"/>
    <w:rsid w:val="00152567"/>
    <w:rsid w:val="00153031"/>
    <w:rsid w:val="00153064"/>
    <w:rsid w:val="001535A3"/>
    <w:rsid w:val="001540F9"/>
    <w:rsid w:val="00156EC6"/>
    <w:rsid w:val="001572BE"/>
    <w:rsid w:val="00157B9A"/>
    <w:rsid w:val="00160BC8"/>
    <w:rsid w:val="00161509"/>
    <w:rsid w:val="001626A5"/>
    <w:rsid w:val="001639EA"/>
    <w:rsid w:val="00164200"/>
    <w:rsid w:val="0016540D"/>
    <w:rsid w:val="001677B2"/>
    <w:rsid w:val="00167D6D"/>
    <w:rsid w:val="00170313"/>
    <w:rsid w:val="001703D7"/>
    <w:rsid w:val="001704FA"/>
    <w:rsid w:val="00170D53"/>
    <w:rsid w:val="00170D92"/>
    <w:rsid w:val="00172261"/>
    <w:rsid w:val="00173723"/>
    <w:rsid w:val="001737C7"/>
    <w:rsid w:val="00173EAD"/>
    <w:rsid w:val="00174113"/>
    <w:rsid w:val="0017412C"/>
    <w:rsid w:val="0017464C"/>
    <w:rsid w:val="00174712"/>
    <w:rsid w:val="00174840"/>
    <w:rsid w:val="00174914"/>
    <w:rsid w:val="00175D1E"/>
    <w:rsid w:val="00176462"/>
    <w:rsid w:val="001775F7"/>
    <w:rsid w:val="0018094E"/>
    <w:rsid w:val="00180E0E"/>
    <w:rsid w:val="0018188A"/>
    <w:rsid w:val="00181FC7"/>
    <w:rsid w:val="00182147"/>
    <w:rsid w:val="00182B1F"/>
    <w:rsid w:val="00183189"/>
    <w:rsid w:val="00183293"/>
    <w:rsid w:val="001842C1"/>
    <w:rsid w:val="0018454E"/>
    <w:rsid w:val="001845BA"/>
    <w:rsid w:val="001847B5"/>
    <w:rsid w:val="00185C62"/>
    <w:rsid w:val="001863E6"/>
    <w:rsid w:val="00187537"/>
    <w:rsid w:val="001875AA"/>
    <w:rsid w:val="00187E2D"/>
    <w:rsid w:val="00187E37"/>
    <w:rsid w:val="00187E58"/>
    <w:rsid w:val="00192DBE"/>
    <w:rsid w:val="00193263"/>
    <w:rsid w:val="001939AD"/>
    <w:rsid w:val="00193DC6"/>
    <w:rsid w:val="00194049"/>
    <w:rsid w:val="0019465D"/>
    <w:rsid w:val="00194FDB"/>
    <w:rsid w:val="001959BC"/>
    <w:rsid w:val="001963FF"/>
    <w:rsid w:val="001965E2"/>
    <w:rsid w:val="0019687F"/>
    <w:rsid w:val="00196F94"/>
    <w:rsid w:val="00197CB6"/>
    <w:rsid w:val="001A0663"/>
    <w:rsid w:val="001A1505"/>
    <w:rsid w:val="001A1CF0"/>
    <w:rsid w:val="001A1D7C"/>
    <w:rsid w:val="001A1FD4"/>
    <w:rsid w:val="001A231D"/>
    <w:rsid w:val="001A2A07"/>
    <w:rsid w:val="001A2C43"/>
    <w:rsid w:val="001A2EFF"/>
    <w:rsid w:val="001A2FE6"/>
    <w:rsid w:val="001A30DB"/>
    <w:rsid w:val="001A3158"/>
    <w:rsid w:val="001A5594"/>
    <w:rsid w:val="001A565D"/>
    <w:rsid w:val="001A5E8C"/>
    <w:rsid w:val="001A60D8"/>
    <w:rsid w:val="001A749E"/>
    <w:rsid w:val="001A7AC9"/>
    <w:rsid w:val="001B1356"/>
    <w:rsid w:val="001B17DF"/>
    <w:rsid w:val="001B19F5"/>
    <w:rsid w:val="001B1A25"/>
    <w:rsid w:val="001B27F7"/>
    <w:rsid w:val="001B2999"/>
    <w:rsid w:val="001B2EE6"/>
    <w:rsid w:val="001B2FC6"/>
    <w:rsid w:val="001B30B4"/>
    <w:rsid w:val="001B30C3"/>
    <w:rsid w:val="001B3AAE"/>
    <w:rsid w:val="001B46CA"/>
    <w:rsid w:val="001B4AAC"/>
    <w:rsid w:val="001B4FDF"/>
    <w:rsid w:val="001B5255"/>
    <w:rsid w:val="001B5BAA"/>
    <w:rsid w:val="001B6214"/>
    <w:rsid w:val="001B67E5"/>
    <w:rsid w:val="001B77C9"/>
    <w:rsid w:val="001C0400"/>
    <w:rsid w:val="001C09A4"/>
    <w:rsid w:val="001C1046"/>
    <w:rsid w:val="001C1200"/>
    <w:rsid w:val="001C1C6A"/>
    <w:rsid w:val="001C2828"/>
    <w:rsid w:val="001C3D72"/>
    <w:rsid w:val="001C49CA"/>
    <w:rsid w:val="001C5DE6"/>
    <w:rsid w:val="001C6121"/>
    <w:rsid w:val="001C628D"/>
    <w:rsid w:val="001C66A8"/>
    <w:rsid w:val="001C73E7"/>
    <w:rsid w:val="001C7C0F"/>
    <w:rsid w:val="001D039E"/>
    <w:rsid w:val="001D0662"/>
    <w:rsid w:val="001D0D7D"/>
    <w:rsid w:val="001D15A2"/>
    <w:rsid w:val="001D171C"/>
    <w:rsid w:val="001D1752"/>
    <w:rsid w:val="001D18B0"/>
    <w:rsid w:val="001D33A7"/>
    <w:rsid w:val="001D406D"/>
    <w:rsid w:val="001D4954"/>
    <w:rsid w:val="001D4B6B"/>
    <w:rsid w:val="001D511E"/>
    <w:rsid w:val="001D58C1"/>
    <w:rsid w:val="001D5FCB"/>
    <w:rsid w:val="001D62A0"/>
    <w:rsid w:val="001D68F5"/>
    <w:rsid w:val="001D77C5"/>
    <w:rsid w:val="001E02B9"/>
    <w:rsid w:val="001E3D3E"/>
    <w:rsid w:val="001E3E3B"/>
    <w:rsid w:val="001E4ADF"/>
    <w:rsid w:val="001E4B9C"/>
    <w:rsid w:val="001E5F83"/>
    <w:rsid w:val="001E63B9"/>
    <w:rsid w:val="001E6D4B"/>
    <w:rsid w:val="001E7420"/>
    <w:rsid w:val="001E763C"/>
    <w:rsid w:val="001E780F"/>
    <w:rsid w:val="001F088D"/>
    <w:rsid w:val="001F0BBF"/>
    <w:rsid w:val="001F227E"/>
    <w:rsid w:val="001F2427"/>
    <w:rsid w:val="001F35FB"/>
    <w:rsid w:val="001F36E0"/>
    <w:rsid w:val="001F385D"/>
    <w:rsid w:val="001F3930"/>
    <w:rsid w:val="001F3A40"/>
    <w:rsid w:val="001F3DD3"/>
    <w:rsid w:val="001F4216"/>
    <w:rsid w:val="001F42D6"/>
    <w:rsid w:val="001F4618"/>
    <w:rsid w:val="001F563F"/>
    <w:rsid w:val="001F5683"/>
    <w:rsid w:val="001F66DA"/>
    <w:rsid w:val="001F73D7"/>
    <w:rsid w:val="00201B31"/>
    <w:rsid w:val="00201FAE"/>
    <w:rsid w:val="00202227"/>
    <w:rsid w:val="0020252F"/>
    <w:rsid w:val="002029AB"/>
    <w:rsid w:val="0020414F"/>
    <w:rsid w:val="002054B5"/>
    <w:rsid w:val="00206C05"/>
    <w:rsid w:val="00206C9B"/>
    <w:rsid w:val="00207041"/>
    <w:rsid w:val="002109DA"/>
    <w:rsid w:val="002116D6"/>
    <w:rsid w:val="00211E52"/>
    <w:rsid w:val="00212081"/>
    <w:rsid w:val="002121A2"/>
    <w:rsid w:val="002126B0"/>
    <w:rsid w:val="00212CCB"/>
    <w:rsid w:val="00212D50"/>
    <w:rsid w:val="00212F27"/>
    <w:rsid w:val="002130E3"/>
    <w:rsid w:val="00213AE8"/>
    <w:rsid w:val="00213D89"/>
    <w:rsid w:val="00214120"/>
    <w:rsid w:val="002154BA"/>
    <w:rsid w:val="002157A2"/>
    <w:rsid w:val="00216B01"/>
    <w:rsid w:val="00220A49"/>
    <w:rsid w:val="00220CB0"/>
    <w:rsid w:val="00222711"/>
    <w:rsid w:val="00223132"/>
    <w:rsid w:val="0022382B"/>
    <w:rsid w:val="00224B7B"/>
    <w:rsid w:val="0022543F"/>
    <w:rsid w:val="002260E7"/>
    <w:rsid w:val="00226EFB"/>
    <w:rsid w:val="00227CC0"/>
    <w:rsid w:val="00227E3C"/>
    <w:rsid w:val="002315D5"/>
    <w:rsid w:val="00231690"/>
    <w:rsid w:val="00231769"/>
    <w:rsid w:val="00232888"/>
    <w:rsid w:val="00233480"/>
    <w:rsid w:val="00233C92"/>
    <w:rsid w:val="00233DF2"/>
    <w:rsid w:val="002343C1"/>
    <w:rsid w:val="00234BED"/>
    <w:rsid w:val="00235172"/>
    <w:rsid w:val="00235CF2"/>
    <w:rsid w:val="00235E00"/>
    <w:rsid w:val="00236286"/>
    <w:rsid w:val="002362FD"/>
    <w:rsid w:val="00236AC0"/>
    <w:rsid w:val="00236DE6"/>
    <w:rsid w:val="0024022A"/>
    <w:rsid w:val="00240720"/>
    <w:rsid w:val="00241129"/>
    <w:rsid w:val="002419F8"/>
    <w:rsid w:val="0024225A"/>
    <w:rsid w:val="00243255"/>
    <w:rsid w:val="0024509C"/>
    <w:rsid w:val="00245BBB"/>
    <w:rsid w:val="00246098"/>
    <w:rsid w:val="00246C49"/>
    <w:rsid w:val="00246FBB"/>
    <w:rsid w:val="002476DC"/>
    <w:rsid w:val="00247BF4"/>
    <w:rsid w:val="00250027"/>
    <w:rsid w:val="00250917"/>
    <w:rsid w:val="00250EEC"/>
    <w:rsid w:val="002519A9"/>
    <w:rsid w:val="00251FDB"/>
    <w:rsid w:val="00251FFD"/>
    <w:rsid w:val="00252607"/>
    <w:rsid w:val="002530CF"/>
    <w:rsid w:val="00253174"/>
    <w:rsid w:val="00254C2D"/>
    <w:rsid w:val="00254F92"/>
    <w:rsid w:val="00255294"/>
    <w:rsid w:val="002558D8"/>
    <w:rsid w:val="00255A2F"/>
    <w:rsid w:val="00256E47"/>
    <w:rsid w:val="0025794F"/>
    <w:rsid w:val="002606E9"/>
    <w:rsid w:val="00261123"/>
    <w:rsid w:val="002624E1"/>
    <w:rsid w:val="0026282D"/>
    <w:rsid w:val="00262CF3"/>
    <w:rsid w:val="002630E3"/>
    <w:rsid w:val="002639CD"/>
    <w:rsid w:val="00263E21"/>
    <w:rsid w:val="002640E6"/>
    <w:rsid w:val="00264B18"/>
    <w:rsid w:val="00264B29"/>
    <w:rsid w:val="00265839"/>
    <w:rsid w:val="00265A25"/>
    <w:rsid w:val="00266383"/>
    <w:rsid w:val="00267456"/>
    <w:rsid w:val="00267868"/>
    <w:rsid w:val="00267DD6"/>
    <w:rsid w:val="0027169C"/>
    <w:rsid w:val="00271E37"/>
    <w:rsid w:val="00272109"/>
    <w:rsid w:val="002726B4"/>
    <w:rsid w:val="00272F47"/>
    <w:rsid w:val="00273A04"/>
    <w:rsid w:val="00274F78"/>
    <w:rsid w:val="00275C49"/>
    <w:rsid w:val="00275E01"/>
    <w:rsid w:val="00276379"/>
    <w:rsid w:val="00277187"/>
    <w:rsid w:val="00277737"/>
    <w:rsid w:val="0028136B"/>
    <w:rsid w:val="002813A4"/>
    <w:rsid w:val="002813F9"/>
    <w:rsid w:val="0028219A"/>
    <w:rsid w:val="002825CE"/>
    <w:rsid w:val="00282666"/>
    <w:rsid w:val="00283503"/>
    <w:rsid w:val="002839C4"/>
    <w:rsid w:val="00285E9C"/>
    <w:rsid w:val="00286861"/>
    <w:rsid w:val="00286D2E"/>
    <w:rsid w:val="00286FA1"/>
    <w:rsid w:val="00287B65"/>
    <w:rsid w:val="00287DF6"/>
    <w:rsid w:val="0029023A"/>
    <w:rsid w:val="002906E1"/>
    <w:rsid w:val="002914BB"/>
    <w:rsid w:val="00291510"/>
    <w:rsid w:val="00292149"/>
    <w:rsid w:val="0029293C"/>
    <w:rsid w:val="00292C01"/>
    <w:rsid w:val="00293364"/>
    <w:rsid w:val="0029359A"/>
    <w:rsid w:val="00293AB5"/>
    <w:rsid w:val="00293D47"/>
    <w:rsid w:val="0029423A"/>
    <w:rsid w:val="0029589C"/>
    <w:rsid w:val="00295FF9"/>
    <w:rsid w:val="002961FD"/>
    <w:rsid w:val="00296597"/>
    <w:rsid w:val="00296F82"/>
    <w:rsid w:val="00297F94"/>
    <w:rsid w:val="002A0A43"/>
    <w:rsid w:val="002A1323"/>
    <w:rsid w:val="002A15C3"/>
    <w:rsid w:val="002A25A0"/>
    <w:rsid w:val="002A2B6D"/>
    <w:rsid w:val="002A2DD8"/>
    <w:rsid w:val="002A30BB"/>
    <w:rsid w:val="002A3569"/>
    <w:rsid w:val="002A3914"/>
    <w:rsid w:val="002A53D4"/>
    <w:rsid w:val="002A5CB3"/>
    <w:rsid w:val="002A5DAF"/>
    <w:rsid w:val="002A6838"/>
    <w:rsid w:val="002A6DF5"/>
    <w:rsid w:val="002A7F38"/>
    <w:rsid w:val="002B00F8"/>
    <w:rsid w:val="002B05FB"/>
    <w:rsid w:val="002B06AC"/>
    <w:rsid w:val="002B0B36"/>
    <w:rsid w:val="002B121A"/>
    <w:rsid w:val="002B1272"/>
    <w:rsid w:val="002B1FAC"/>
    <w:rsid w:val="002B22C5"/>
    <w:rsid w:val="002B3B2C"/>
    <w:rsid w:val="002B4205"/>
    <w:rsid w:val="002B46D2"/>
    <w:rsid w:val="002B4BAE"/>
    <w:rsid w:val="002B5392"/>
    <w:rsid w:val="002B62AF"/>
    <w:rsid w:val="002B66CA"/>
    <w:rsid w:val="002B71BE"/>
    <w:rsid w:val="002B7C25"/>
    <w:rsid w:val="002C0456"/>
    <w:rsid w:val="002C067B"/>
    <w:rsid w:val="002C0D0A"/>
    <w:rsid w:val="002C1FA5"/>
    <w:rsid w:val="002C2328"/>
    <w:rsid w:val="002C2FEE"/>
    <w:rsid w:val="002C3563"/>
    <w:rsid w:val="002C36E8"/>
    <w:rsid w:val="002C3B8E"/>
    <w:rsid w:val="002C5981"/>
    <w:rsid w:val="002C598C"/>
    <w:rsid w:val="002C5BB5"/>
    <w:rsid w:val="002C627E"/>
    <w:rsid w:val="002C6FB0"/>
    <w:rsid w:val="002C72F8"/>
    <w:rsid w:val="002D0CD4"/>
    <w:rsid w:val="002D13B9"/>
    <w:rsid w:val="002D171A"/>
    <w:rsid w:val="002D1BF9"/>
    <w:rsid w:val="002D28EA"/>
    <w:rsid w:val="002D2A80"/>
    <w:rsid w:val="002D3B9B"/>
    <w:rsid w:val="002D407C"/>
    <w:rsid w:val="002D4311"/>
    <w:rsid w:val="002D46AA"/>
    <w:rsid w:val="002D4791"/>
    <w:rsid w:val="002D47B9"/>
    <w:rsid w:val="002D61AD"/>
    <w:rsid w:val="002D79FA"/>
    <w:rsid w:val="002D7F63"/>
    <w:rsid w:val="002E0B44"/>
    <w:rsid w:val="002E192B"/>
    <w:rsid w:val="002E21AF"/>
    <w:rsid w:val="002E2316"/>
    <w:rsid w:val="002E2753"/>
    <w:rsid w:val="002E2A09"/>
    <w:rsid w:val="002E39B3"/>
    <w:rsid w:val="002E3B20"/>
    <w:rsid w:val="002E600E"/>
    <w:rsid w:val="002E6278"/>
    <w:rsid w:val="002E6986"/>
    <w:rsid w:val="002E7005"/>
    <w:rsid w:val="002E7BB4"/>
    <w:rsid w:val="002E7D66"/>
    <w:rsid w:val="002F0144"/>
    <w:rsid w:val="002F018B"/>
    <w:rsid w:val="002F1A41"/>
    <w:rsid w:val="002F2315"/>
    <w:rsid w:val="002F25F8"/>
    <w:rsid w:val="002F2DE7"/>
    <w:rsid w:val="002F3270"/>
    <w:rsid w:val="002F38CE"/>
    <w:rsid w:val="002F3FB7"/>
    <w:rsid w:val="002F4D23"/>
    <w:rsid w:val="002F4F0E"/>
    <w:rsid w:val="002F5D2A"/>
    <w:rsid w:val="002F5E22"/>
    <w:rsid w:val="002F5F2D"/>
    <w:rsid w:val="002F5F4B"/>
    <w:rsid w:val="002F78C7"/>
    <w:rsid w:val="002F7AEB"/>
    <w:rsid w:val="003015F6"/>
    <w:rsid w:val="00301D2B"/>
    <w:rsid w:val="0030252A"/>
    <w:rsid w:val="00302A63"/>
    <w:rsid w:val="00302B60"/>
    <w:rsid w:val="003038EA"/>
    <w:rsid w:val="00303BF2"/>
    <w:rsid w:val="00303D68"/>
    <w:rsid w:val="0030415A"/>
    <w:rsid w:val="003049FA"/>
    <w:rsid w:val="00304B6D"/>
    <w:rsid w:val="0030523C"/>
    <w:rsid w:val="00305D1E"/>
    <w:rsid w:val="003076AE"/>
    <w:rsid w:val="003109C4"/>
    <w:rsid w:val="00310A8F"/>
    <w:rsid w:val="00311263"/>
    <w:rsid w:val="00311C2F"/>
    <w:rsid w:val="00312211"/>
    <w:rsid w:val="00312A34"/>
    <w:rsid w:val="00312C5C"/>
    <w:rsid w:val="00312F5E"/>
    <w:rsid w:val="00313836"/>
    <w:rsid w:val="003148DB"/>
    <w:rsid w:val="003167F4"/>
    <w:rsid w:val="0031693D"/>
    <w:rsid w:val="003179FA"/>
    <w:rsid w:val="00317C5B"/>
    <w:rsid w:val="0032060B"/>
    <w:rsid w:val="00321148"/>
    <w:rsid w:val="00321D74"/>
    <w:rsid w:val="00321E1D"/>
    <w:rsid w:val="00322234"/>
    <w:rsid w:val="003228B2"/>
    <w:rsid w:val="00323E28"/>
    <w:rsid w:val="00323FD7"/>
    <w:rsid w:val="00327172"/>
    <w:rsid w:val="00327827"/>
    <w:rsid w:val="0032791A"/>
    <w:rsid w:val="00330C7B"/>
    <w:rsid w:val="003314C7"/>
    <w:rsid w:val="00332265"/>
    <w:rsid w:val="00333237"/>
    <w:rsid w:val="0033383C"/>
    <w:rsid w:val="003343DE"/>
    <w:rsid w:val="00335215"/>
    <w:rsid w:val="00335246"/>
    <w:rsid w:val="00337D05"/>
    <w:rsid w:val="00340F57"/>
    <w:rsid w:val="00341109"/>
    <w:rsid w:val="00341EF3"/>
    <w:rsid w:val="0034240A"/>
    <w:rsid w:val="003439F6"/>
    <w:rsid w:val="00344724"/>
    <w:rsid w:val="00344DF8"/>
    <w:rsid w:val="003450FB"/>
    <w:rsid w:val="003453AF"/>
    <w:rsid w:val="00345C66"/>
    <w:rsid w:val="0034636F"/>
    <w:rsid w:val="00346E59"/>
    <w:rsid w:val="00347508"/>
    <w:rsid w:val="00350285"/>
    <w:rsid w:val="0035030D"/>
    <w:rsid w:val="00350E1D"/>
    <w:rsid w:val="00350F0B"/>
    <w:rsid w:val="00352D92"/>
    <w:rsid w:val="00353E69"/>
    <w:rsid w:val="00353ED5"/>
    <w:rsid w:val="00354A41"/>
    <w:rsid w:val="00354FDD"/>
    <w:rsid w:val="003557C0"/>
    <w:rsid w:val="00355FA3"/>
    <w:rsid w:val="00356049"/>
    <w:rsid w:val="0035643F"/>
    <w:rsid w:val="0035682A"/>
    <w:rsid w:val="00356FB0"/>
    <w:rsid w:val="00357147"/>
    <w:rsid w:val="00357E47"/>
    <w:rsid w:val="00360403"/>
    <w:rsid w:val="00360BF1"/>
    <w:rsid w:val="00360D81"/>
    <w:rsid w:val="003615D8"/>
    <w:rsid w:val="00363280"/>
    <w:rsid w:val="003635E5"/>
    <w:rsid w:val="00364700"/>
    <w:rsid w:val="00364ABD"/>
    <w:rsid w:val="0036575A"/>
    <w:rsid w:val="003659DE"/>
    <w:rsid w:val="003665FD"/>
    <w:rsid w:val="0036779C"/>
    <w:rsid w:val="00367AF4"/>
    <w:rsid w:val="00371023"/>
    <w:rsid w:val="00371767"/>
    <w:rsid w:val="003722D8"/>
    <w:rsid w:val="00372328"/>
    <w:rsid w:val="003729B0"/>
    <w:rsid w:val="00372F4E"/>
    <w:rsid w:val="003736EC"/>
    <w:rsid w:val="00373884"/>
    <w:rsid w:val="00374A42"/>
    <w:rsid w:val="00374B90"/>
    <w:rsid w:val="0037545E"/>
    <w:rsid w:val="00375562"/>
    <w:rsid w:val="003755C0"/>
    <w:rsid w:val="00376090"/>
    <w:rsid w:val="0037616A"/>
    <w:rsid w:val="0037669D"/>
    <w:rsid w:val="003776A3"/>
    <w:rsid w:val="00377BD0"/>
    <w:rsid w:val="00377D8B"/>
    <w:rsid w:val="003800AE"/>
    <w:rsid w:val="00380214"/>
    <w:rsid w:val="00380E04"/>
    <w:rsid w:val="00381929"/>
    <w:rsid w:val="0038255F"/>
    <w:rsid w:val="00382776"/>
    <w:rsid w:val="003827D2"/>
    <w:rsid w:val="00383121"/>
    <w:rsid w:val="0038469D"/>
    <w:rsid w:val="003848C4"/>
    <w:rsid w:val="00384AD2"/>
    <w:rsid w:val="003853C7"/>
    <w:rsid w:val="00385778"/>
    <w:rsid w:val="00385C79"/>
    <w:rsid w:val="003862F5"/>
    <w:rsid w:val="00386BE5"/>
    <w:rsid w:val="00386EC4"/>
    <w:rsid w:val="0039229F"/>
    <w:rsid w:val="003922A0"/>
    <w:rsid w:val="003926C0"/>
    <w:rsid w:val="003928C7"/>
    <w:rsid w:val="00392964"/>
    <w:rsid w:val="00392B21"/>
    <w:rsid w:val="003930D3"/>
    <w:rsid w:val="003936A3"/>
    <w:rsid w:val="00394260"/>
    <w:rsid w:val="003947A2"/>
    <w:rsid w:val="003953D1"/>
    <w:rsid w:val="003957FB"/>
    <w:rsid w:val="00395897"/>
    <w:rsid w:val="00395DFB"/>
    <w:rsid w:val="00395F0A"/>
    <w:rsid w:val="00396581"/>
    <w:rsid w:val="00396F65"/>
    <w:rsid w:val="0039724F"/>
    <w:rsid w:val="00397661"/>
    <w:rsid w:val="00397D5D"/>
    <w:rsid w:val="00397F3D"/>
    <w:rsid w:val="003A0AC5"/>
    <w:rsid w:val="003A0EFF"/>
    <w:rsid w:val="003A1416"/>
    <w:rsid w:val="003A1C6B"/>
    <w:rsid w:val="003A2B5D"/>
    <w:rsid w:val="003A2CB5"/>
    <w:rsid w:val="003A30C7"/>
    <w:rsid w:val="003A3517"/>
    <w:rsid w:val="003A371B"/>
    <w:rsid w:val="003A3803"/>
    <w:rsid w:val="003A42CD"/>
    <w:rsid w:val="003A4339"/>
    <w:rsid w:val="003A4DC9"/>
    <w:rsid w:val="003A55AD"/>
    <w:rsid w:val="003A582A"/>
    <w:rsid w:val="003A64A0"/>
    <w:rsid w:val="003A6C60"/>
    <w:rsid w:val="003A7719"/>
    <w:rsid w:val="003A7B00"/>
    <w:rsid w:val="003A7C53"/>
    <w:rsid w:val="003B0209"/>
    <w:rsid w:val="003B0C52"/>
    <w:rsid w:val="003B0F72"/>
    <w:rsid w:val="003B1C81"/>
    <w:rsid w:val="003B2885"/>
    <w:rsid w:val="003B2C48"/>
    <w:rsid w:val="003B3543"/>
    <w:rsid w:val="003B3FBD"/>
    <w:rsid w:val="003B4AD6"/>
    <w:rsid w:val="003B5819"/>
    <w:rsid w:val="003B634C"/>
    <w:rsid w:val="003B660A"/>
    <w:rsid w:val="003B6684"/>
    <w:rsid w:val="003B7461"/>
    <w:rsid w:val="003B7AE0"/>
    <w:rsid w:val="003C1649"/>
    <w:rsid w:val="003C18B2"/>
    <w:rsid w:val="003C18BB"/>
    <w:rsid w:val="003C247E"/>
    <w:rsid w:val="003C31AA"/>
    <w:rsid w:val="003C33F0"/>
    <w:rsid w:val="003C36B1"/>
    <w:rsid w:val="003C39C0"/>
    <w:rsid w:val="003C3EF0"/>
    <w:rsid w:val="003C41B6"/>
    <w:rsid w:val="003C42EC"/>
    <w:rsid w:val="003C431B"/>
    <w:rsid w:val="003C5297"/>
    <w:rsid w:val="003C6E2D"/>
    <w:rsid w:val="003C736F"/>
    <w:rsid w:val="003D0158"/>
    <w:rsid w:val="003D089B"/>
    <w:rsid w:val="003D0F57"/>
    <w:rsid w:val="003D248F"/>
    <w:rsid w:val="003D26C2"/>
    <w:rsid w:val="003D4053"/>
    <w:rsid w:val="003D441E"/>
    <w:rsid w:val="003D467D"/>
    <w:rsid w:val="003D48FD"/>
    <w:rsid w:val="003D491D"/>
    <w:rsid w:val="003D56EF"/>
    <w:rsid w:val="003D5EE7"/>
    <w:rsid w:val="003D6A42"/>
    <w:rsid w:val="003D6C39"/>
    <w:rsid w:val="003D7685"/>
    <w:rsid w:val="003D7DBF"/>
    <w:rsid w:val="003E060C"/>
    <w:rsid w:val="003E0ACC"/>
    <w:rsid w:val="003E0B8B"/>
    <w:rsid w:val="003E0BB5"/>
    <w:rsid w:val="003E0DE2"/>
    <w:rsid w:val="003E1398"/>
    <w:rsid w:val="003E189A"/>
    <w:rsid w:val="003E2297"/>
    <w:rsid w:val="003E3A3A"/>
    <w:rsid w:val="003E44CD"/>
    <w:rsid w:val="003E46AD"/>
    <w:rsid w:val="003E506E"/>
    <w:rsid w:val="003E6B55"/>
    <w:rsid w:val="003E6CFC"/>
    <w:rsid w:val="003F05D4"/>
    <w:rsid w:val="003F0A4D"/>
    <w:rsid w:val="003F171D"/>
    <w:rsid w:val="003F1B06"/>
    <w:rsid w:val="003F21EA"/>
    <w:rsid w:val="003F2286"/>
    <w:rsid w:val="003F2FDF"/>
    <w:rsid w:val="003F452A"/>
    <w:rsid w:val="003F4DD3"/>
    <w:rsid w:val="003F64E7"/>
    <w:rsid w:val="003F69CB"/>
    <w:rsid w:val="003F6FF4"/>
    <w:rsid w:val="003F71C1"/>
    <w:rsid w:val="004005F3"/>
    <w:rsid w:val="004006DE"/>
    <w:rsid w:val="00401084"/>
    <w:rsid w:val="0040114B"/>
    <w:rsid w:val="004013B3"/>
    <w:rsid w:val="00401E77"/>
    <w:rsid w:val="00402B54"/>
    <w:rsid w:val="00404F61"/>
    <w:rsid w:val="0040558F"/>
    <w:rsid w:val="00406156"/>
    <w:rsid w:val="00406FEC"/>
    <w:rsid w:val="00407C84"/>
    <w:rsid w:val="00407E43"/>
    <w:rsid w:val="004108A8"/>
    <w:rsid w:val="0041148E"/>
    <w:rsid w:val="00411CEE"/>
    <w:rsid w:val="004122C9"/>
    <w:rsid w:val="00412459"/>
    <w:rsid w:val="0041260E"/>
    <w:rsid w:val="0041263F"/>
    <w:rsid w:val="00412910"/>
    <w:rsid w:val="00412A37"/>
    <w:rsid w:val="00413723"/>
    <w:rsid w:val="00413BF9"/>
    <w:rsid w:val="0041607E"/>
    <w:rsid w:val="00416178"/>
    <w:rsid w:val="004162B6"/>
    <w:rsid w:val="00417806"/>
    <w:rsid w:val="00417953"/>
    <w:rsid w:val="0041797E"/>
    <w:rsid w:val="00417A20"/>
    <w:rsid w:val="00417A26"/>
    <w:rsid w:val="004201C1"/>
    <w:rsid w:val="00420E63"/>
    <w:rsid w:val="004212A9"/>
    <w:rsid w:val="004217C4"/>
    <w:rsid w:val="00422636"/>
    <w:rsid w:val="00422BE8"/>
    <w:rsid w:val="00424169"/>
    <w:rsid w:val="00424486"/>
    <w:rsid w:val="004255BB"/>
    <w:rsid w:val="00425E7B"/>
    <w:rsid w:val="00426E7E"/>
    <w:rsid w:val="004270FF"/>
    <w:rsid w:val="00427C68"/>
    <w:rsid w:val="00431946"/>
    <w:rsid w:val="004329F3"/>
    <w:rsid w:val="00432DED"/>
    <w:rsid w:val="00434EC8"/>
    <w:rsid w:val="004350C1"/>
    <w:rsid w:val="00436058"/>
    <w:rsid w:val="004362D9"/>
    <w:rsid w:val="00436825"/>
    <w:rsid w:val="00436D3A"/>
    <w:rsid w:val="004418C3"/>
    <w:rsid w:val="00442FDA"/>
    <w:rsid w:val="00444691"/>
    <w:rsid w:val="004452D4"/>
    <w:rsid w:val="00445E2B"/>
    <w:rsid w:val="00445F18"/>
    <w:rsid w:val="0044651D"/>
    <w:rsid w:val="004465ED"/>
    <w:rsid w:val="00446699"/>
    <w:rsid w:val="004467A8"/>
    <w:rsid w:val="00446955"/>
    <w:rsid w:val="00446DCD"/>
    <w:rsid w:val="00447A59"/>
    <w:rsid w:val="00447DF9"/>
    <w:rsid w:val="004507E6"/>
    <w:rsid w:val="00450F0B"/>
    <w:rsid w:val="00451064"/>
    <w:rsid w:val="00452FB7"/>
    <w:rsid w:val="004531E5"/>
    <w:rsid w:val="00453B22"/>
    <w:rsid w:val="00453FCD"/>
    <w:rsid w:val="00454B75"/>
    <w:rsid w:val="00454CC5"/>
    <w:rsid w:val="004560E8"/>
    <w:rsid w:val="004570AF"/>
    <w:rsid w:val="004573E3"/>
    <w:rsid w:val="004574D6"/>
    <w:rsid w:val="004574EC"/>
    <w:rsid w:val="004579E3"/>
    <w:rsid w:val="00457EA7"/>
    <w:rsid w:val="00460150"/>
    <w:rsid w:val="004605F9"/>
    <w:rsid w:val="00460C82"/>
    <w:rsid w:val="00461BAC"/>
    <w:rsid w:val="00461D17"/>
    <w:rsid w:val="00462715"/>
    <w:rsid w:val="0046277B"/>
    <w:rsid w:val="004644B9"/>
    <w:rsid w:val="0046487C"/>
    <w:rsid w:val="00465CEC"/>
    <w:rsid w:val="00465F79"/>
    <w:rsid w:val="00466455"/>
    <w:rsid w:val="00466F3F"/>
    <w:rsid w:val="0046733C"/>
    <w:rsid w:val="004674F4"/>
    <w:rsid w:val="00470E5E"/>
    <w:rsid w:val="00471249"/>
    <w:rsid w:val="004719A6"/>
    <w:rsid w:val="00471A68"/>
    <w:rsid w:val="00472BA1"/>
    <w:rsid w:val="00473360"/>
    <w:rsid w:val="00473A9B"/>
    <w:rsid w:val="00473AD0"/>
    <w:rsid w:val="00473B12"/>
    <w:rsid w:val="00473D4D"/>
    <w:rsid w:val="00475394"/>
    <w:rsid w:val="00475692"/>
    <w:rsid w:val="00475ADC"/>
    <w:rsid w:val="00475F37"/>
    <w:rsid w:val="00476A09"/>
    <w:rsid w:val="0047725A"/>
    <w:rsid w:val="00477789"/>
    <w:rsid w:val="004778D4"/>
    <w:rsid w:val="00477EF5"/>
    <w:rsid w:val="0048160C"/>
    <w:rsid w:val="004817D6"/>
    <w:rsid w:val="00481DA8"/>
    <w:rsid w:val="004820A6"/>
    <w:rsid w:val="0048265E"/>
    <w:rsid w:val="00482CC9"/>
    <w:rsid w:val="0048316B"/>
    <w:rsid w:val="00483971"/>
    <w:rsid w:val="004850B8"/>
    <w:rsid w:val="00485647"/>
    <w:rsid w:val="00485B83"/>
    <w:rsid w:val="00487BE8"/>
    <w:rsid w:val="004901FD"/>
    <w:rsid w:val="004909CD"/>
    <w:rsid w:val="00491791"/>
    <w:rsid w:val="00491D9A"/>
    <w:rsid w:val="00491EB3"/>
    <w:rsid w:val="004925DD"/>
    <w:rsid w:val="004933F9"/>
    <w:rsid w:val="00493514"/>
    <w:rsid w:val="004940AC"/>
    <w:rsid w:val="004963AA"/>
    <w:rsid w:val="00496636"/>
    <w:rsid w:val="00496AE0"/>
    <w:rsid w:val="00497985"/>
    <w:rsid w:val="00497E14"/>
    <w:rsid w:val="004A06FC"/>
    <w:rsid w:val="004A11B0"/>
    <w:rsid w:val="004A2197"/>
    <w:rsid w:val="004A3118"/>
    <w:rsid w:val="004A3D11"/>
    <w:rsid w:val="004A4639"/>
    <w:rsid w:val="004A4822"/>
    <w:rsid w:val="004A48CE"/>
    <w:rsid w:val="004A53D0"/>
    <w:rsid w:val="004A5563"/>
    <w:rsid w:val="004A6276"/>
    <w:rsid w:val="004A66C0"/>
    <w:rsid w:val="004A67C3"/>
    <w:rsid w:val="004A6819"/>
    <w:rsid w:val="004A70A7"/>
    <w:rsid w:val="004A7279"/>
    <w:rsid w:val="004B0264"/>
    <w:rsid w:val="004B08CB"/>
    <w:rsid w:val="004B0AE2"/>
    <w:rsid w:val="004B190C"/>
    <w:rsid w:val="004B2AA9"/>
    <w:rsid w:val="004B3A7E"/>
    <w:rsid w:val="004B4304"/>
    <w:rsid w:val="004B4338"/>
    <w:rsid w:val="004B4BEC"/>
    <w:rsid w:val="004B4E9C"/>
    <w:rsid w:val="004B58A8"/>
    <w:rsid w:val="004B631F"/>
    <w:rsid w:val="004B6413"/>
    <w:rsid w:val="004B6A62"/>
    <w:rsid w:val="004B6DC3"/>
    <w:rsid w:val="004B70C3"/>
    <w:rsid w:val="004B77C2"/>
    <w:rsid w:val="004C0C59"/>
    <w:rsid w:val="004C0FD1"/>
    <w:rsid w:val="004C3475"/>
    <w:rsid w:val="004C3857"/>
    <w:rsid w:val="004C4679"/>
    <w:rsid w:val="004C5FEB"/>
    <w:rsid w:val="004C63A7"/>
    <w:rsid w:val="004C78A4"/>
    <w:rsid w:val="004C7C88"/>
    <w:rsid w:val="004D0F7F"/>
    <w:rsid w:val="004D0FDA"/>
    <w:rsid w:val="004D1C02"/>
    <w:rsid w:val="004D214B"/>
    <w:rsid w:val="004D2D53"/>
    <w:rsid w:val="004D2EB4"/>
    <w:rsid w:val="004D3DC3"/>
    <w:rsid w:val="004D4C76"/>
    <w:rsid w:val="004D592B"/>
    <w:rsid w:val="004D6F8B"/>
    <w:rsid w:val="004D70AA"/>
    <w:rsid w:val="004D7F93"/>
    <w:rsid w:val="004E05F0"/>
    <w:rsid w:val="004E0B47"/>
    <w:rsid w:val="004E0F40"/>
    <w:rsid w:val="004E1B04"/>
    <w:rsid w:val="004E1C43"/>
    <w:rsid w:val="004E1F41"/>
    <w:rsid w:val="004E200B"/>
    <w:rsid w:val="004E29BB"/>
    <w:rsid w:val="004E2F47"/>
    <w:rsid w:val="004E3B75"/>
    <w:rsid w:val="004E4740"/>
    <w:rsid w:val="004E53AF"/>
    <w:rsid w:val="004E62DA"/>
    <w:rsid w:val="004E7263"/>
    <w:rsid w:val="004F0940"/>
    <w:rsid w:val="004F0EEC"/>
    <w:rsid w:val="004F1605"/>
    <w:rsid w:val="004F26D9"/>
    <w:rsid w:val="004F3299"/>
    <w:rsid w:val="004F32DC"/>
    <w:rsid w:val="004F37D2"/>
    <w:rsid w:val="004F454F"/>
    <w:rsid w:val="004F4BFC"/>
    <w:rsid w:val="004F644C"/>
    <w:rsid w:val="004F69BA"/>
    <w:rsid w:val="004F6A15"/>
    <w:rsid w:val="004F7306"/>
    <w:rsid w:val="004F7492"/>
    <w:rsid w:val="004F76DF"/>
    <w:rsid w:val="00500A79"/>
    <w:rsid w:val="00500B21"/>
    <w:rsid w:val="005012C4"/>
    <w:rsid w:val="00501309"/>
    <w:rsid w:val="0050216C"/>
    <w:rsid w:val="00502BFE"/>
    <w:rsid w:val="00504689"/>
    <w:rsid w:val="00504973"/>
    <w:rsid w:val="00505716"/>
    <w:rsid w:val="005068DC"/>
    <w:rsid w:val="005073AD"/>
    <w:rsid w:val="0050794E"/>
    <w:rsid w:val="0051068C"/>
    <w:rsid w:val="005106E8"/>
    <w:rsid w:val="00510FE3"/>
    <w:rsid w:val="00511013"/>
    <w:rsid w:val="0051114F"/>
    <w:rsid w:val="005118FE"/>
    <w:rsid w:val="0051297E"/>
    <w:rsid w:val="005152A2"/>
    <w:rsid w:val="0051594D"/>
    <w:rsid w:val="00515DFC"/>
    <w:rsid w:val="0051642A"/>
    <w:rsid w:val="00516D9E"/>
    <w:rsid w:val="00517493"/>
    <w:rsid w:val="005176E3"/>
    <w:rsid w:val="00517B7F"/>
    <w:rsid w:val="00520125"/>
    <w:rsid w:val="0052023F"/>
    <w:rsid w:val="00520321"/>
    <w:rsid w:val="00520627"/>
    <w:rsid w:val="00520AE7"/>
    <w:rsid w:val="0052246A"/>
    <w:rsid w:val="00522E33"/>
    <w:rsid w:val="005230FD"/>
    <w:rsid w:val="00523755"/>
    <w:rsid w:val="005243ED"/>
    <w:rsid w:val="00524722"/>
    <w:rsid w:val="005247FF"/>
    <w:rsid w:val="00525A6E"/>
    <w:rsid w:val="00526032"/>
    <w:rsid w:val="005265C6"/>
    <w:rsid w:val="0052688B"/>
    <w:rsid w:val="00526A4B"/>
    <w:rsid w:val="00526BC4"/>
    <w:rsid w:val="00527220"/>
    <w:rsid w:val="00527252"/>
    <w:rsid w:val="00527D55"/>
    <w:rsid w:val="0053068E"/>
    <w:rsid w:val="0053084F"/>
    <w:rsid w:val="00530B6F"/>
    <w:rsid w:val="00531103"/>
    <w:rsid w:val="00531369"/>
    <w:rsid w:val="00532411"/>
    <w:rsid w:val="00534A23"/>
    <w:rsid w:val="00534EDF"/>
    <w:rsid w:val="0053523A"/>
    <w:rsid w:val="005365C5"/>
    <w:rsid w:val="005366B3"/>
    <w:rsid w:val="00536C2F"/>
    <w:rsid w:val="0053766B"/>
    <w:rsid w:val="005379AD"/>
    <w:rsid w:val="0054006A"/>
    <w:rsid w:val="0054007D"/>
    <w:rsid w:val="00540476"/>
    <w:rsid w:val="00540771"/>
    <w:rsid w:val="00540996"/>
    <w:rsid w:val="00543F08"/>
    <w:rsid w:val="00543FFB"/>
    <w:rsid w:val="0054424A"/>
    <w:rsid w:val="00544701"/>
    <w:rsid w:val="0054474A"/>
    <w:rsid w:val="0054490A"/>
    <w:rsid w:val="00544919"/>
    <w:rsid w:val="00545ED8"/>
    <w:rsid w:val="00546066"/>
    <w:rsid w:val="005468F7"/>
    <w:rsid w:val="005471A2"/>
    <w:rsid w:val="005471A8"/>
    <w:rsid w:val="00547704"/>
    <w:rsid w:val="00547A4D"/>
    <w:rsid w:val="00547B49"/>
    <w:rsid w:val="00547EA0"/>
    <w:rsid w:val="00547FC9"/>
    <w:rsid w:val="00547FE4"/>
    <w:rsid w:val="00550457"/>
    <w:rsid w:val="00550495"/>
    <w:rsid w:val="00550896"/>
    <w:rsid w:val="00550E3B"/>
    <w:rsid w:val="005516AD"/>
    <w:rsid w:val="00551D73"/>
    <w:rsid w:val="0055254A"/>
    <w:rsid w:val="005534D8"/>
    <w:rsid w:val="0055366C"/>
    <w:rsid w:val="0055478D"/>
    <w:rsid w:val="00554DE7"/>
    <w:rsid w:val="00555084"/>
    <w:rsid w:val="00555515"/>
    <w:rsid w:val="00555ECF"/>
    <w:rsid w:val="0055614A"/>
    <w:rsid w:val="0055640A"/>
    <w:rsid w:val="00556688"/>
    <w:rsid w:val="005567F3"/>
    <w:rsid w:val="00557039"/>
    <w:rsid w:val="0056038B"/>
    <w:rsid w:val="00560DDF"/>
    <w:rsid w:val="00561267"/>
    <w:rsid w:val="00561426"/>
    <w:rsid w:val="00561B4F"/>
    <w:rsid w:val="00562DF2"/>
    <w:rsid w:val="005631AA"/>
    <w:rsid w:val="00563334"/>
    <w:rsid w:val="005634A7"/>
    <w:rsid w:val="00563715"/>
    <w:rsid w:val="00564C7C"/>
    <w:rsid w:val="00564F16"/>
    <w:rsid w:val="00565D34"/>
    <w:rsid w:val="005665C9"/>
    <w:rsid w:val="00566A95"/>
    <w:rsid w:val="00567074"/>
    <w:rsid w:val="0056749B"/>
    <w:rsid w:val="005678E4"/>
    <w:rsid w:val="00567F6B"/>
    <w:rsid w:val="005703F0"/>
    <w:rsid w:val="00570F7C"/>
    <w:rsid w:val="0057108B"/>
    <w:rsid w:val="00571301"/>
    <w:rsid w:val="00571F44"/>
    <w:rsid w:val="00572446"/>
    <w:rsid w:val="00572D38"/>
    <w:rsid w:val="00573F8D"/>
    <w:rsid w:val="00574001"/>
    <w:rsid w:val="00574FC1"/>
    <w:rsid w:val="00575331"/>
    <w:rsid w:val="00575A3C"/>
    <w:rsid w:val="00576531"/>
    <w:rsid w:val="00576860"/>
    <w:rsid w:val="005774C4"/>
    <w:rsid w:val="00580317"/>
    <w:rsid w:val="00580754"/>
    <w:rsid w:val="00581EDD"/>
    <w:rsid w:val="0058201B"/>
    <w:rsid w:val="00584E8B"/>
    <w:rsid w:val="00585EA8"/>
    <w:rsid w:val="00586040"/>
    <w:rsid w:val="00586CA1"/>
    <w:rsid w:val="005871FA"/>
    <w:rsid w:val="00587867"/>
    <w:rsid w:val="005905C4"/>
    <w:rsid w:val="0059174E"/>
    <w:rsid w:val="00591A08"/>
    <w:rsid w:val="00591BB7"/>
    <w:rsid w:val="0059276D"/>
    <w:rsid w:val="005928A6"/>
    <w:rsid w:val="00592D34"/>
    <w:rsid w:val="00592F6E"/>
    <w:rsid w:val="005932D9"/>
    <w:rsid w:val="0059555C"/>
    <w:rsid w:val="00595947"/>
    <w:rsid w:val="00595CB3"/>
    <w:rsid w:val="0059726F"/>
    <w:rsid w:val="0059784E"/>
    <w:rsid w:val="005A0A9E"/>
    <w:rsid w:val="005A0C2A"/>
    <w:rsid w:val="005A0C6B"/>
    <w:rsid w:val="005A2EA9"/>
    <w:rsid w:val="005A387A"/>
    <w:rsid w:val="005A412B"/>
    <w:rsid w:val="005A4542"/>
    <w:rsid w:val="005A5B52"/>
    <w:rsid w:val="005A5D14"/>
    <w:rsid w:val="005B162E"/>
    <w:rsid w:val="005B1C31"/>
    <w:rsid w:val="005B2D03"/>
    <w:rsid w:val="005B2E5A"/>
    <w:rsid w:val="005B301D"/>
    <w:rsid w:val="005B3D6E"/>
    <w:rsid w:val="005B3FAC"/>
    <w:rsid w:val="005B41D1"/>
    <w:rsid w:val="005B4249"/>
    <w:rsid w:val="005B460E"/>
    <w:rsid w:val="005B4BF7"/>
    <w:rsid w:val="005B5443"/>
    <w:rsid w:val="005B5968"/>
    <w:rsid w:val="005B5BF8"/>
    <w:rsid w:val="005B6485"/>
    <w:rsid w:val="005B65AD"/>
    <w:rsid w:val="005B698C"/>
    <w:rsid w:val="005B6F91"/>
    <w:rsid w:val="005B71D8"/>
    <w:rsid w:val="005B7E64"/>
    <w:rsid w:val="005C0D1D"/>
    <w:rsid w:val="005C1662"/>
    <w:rsid w:val="005C1FE1"/>
    <w:rsid w:val="005C25D3"/>
    <w:rsid w:val="005C2B8C"/>
    <w:rsid w:val="005C308F"/>
    <w:rsid w:val="005C416E"/>
    <w:rsid w:val="005C4625"/>
    <w:rsid w:val="005C4783"/>
    <w:rsid w:val="005C528C"/>
    <w:rsid w:val="005C5D46"/>
    <w:rsid w:val="005C5EE1"/>
    <w:rsid w:val="005C6313"/>
    <w:rsid w:val="005C6333"/>
    <w:rsid w:val="005C68E9"/>
    <w:rsid w:val="005C6A2D"/>
    <w:rsid w:val="005C6CE0"/>
    <w:rsid w:val="005C6D93"/>
    <w:rsid w:val="005C6FF9"/>
    <w:rsid w:val="005C74D2"/>
    <w:rsid w:val="005C7F7C"/>
    <w:rsid w:val="005D0F81"/>
    <w:rsid w:val="005D13C8"/>
    <w:rsid w:val="005D1712"/>
    <w:rsid w:val="005D1C80"/>
    <w:rsid w:val="005D2605"/>
    <w:rsid w:val="005D2D53"/>
    <w:rsid w:val="005D36F4"/>
    <w:rsid w:val="005D4360"/>
    <w:rsid w:val="005D4A3F"/>
    <w:rsid w:val="005D4BCA"/>
    <w:rsid w:val="005D54E5"/>
    <w:rsid w:val="005D5ADA"/>
    <w:rsid w:val="005D60DD"/>
    <w:rsid w:val="005D6190"/>
    <w:rsid w:val="005D66D9"/>
    <w:rsid w:val="005D70E4"/>
    <w:rsid w:val="005E0214"/>
    <w:rsid w:val="005E16E0"/>
    <w:rsid w:val="005E1BE1"/>
    <w:rsid w:val="005E24C5"/>
    <w:rsid w:val="005E2FEC"/>
    <w:rsid w:val="005E33F8"/>
    <w:rsid w:val="005E3CF7"/>
    <w:rsid w:val="005E4967"/>
    <w:rsid w:val="005E5164"/>
    <w:rsid w:val="005E5A47"/>
    <w:rsid w:val="005E5B01"/>
    <w:rsid w:val="005E5E6A"/>
    <w:rsid w:val="005E6377"/>
    <w:rsid w:val="005E6F9F"/>
    <w:rsid w:val="005E7957"/>
    <w:rsid w:val="005F202F"/>
    <w:rsid w:val="005F2201"/>
    <w:rsid w:val="005F24B1"/>
    <w:rsid w:val="005F26F9"/>
    <w:rsid w:val="005F283C"/>
    <w:rsid w:val="005F3238"/>
    <w:rsid w:val="005F3993"/>
    <w:rsid w:val="005F45F6"/>
    <w:rsid w:val="005F4A0A"/>
    <w:rsid w:val="005F53DE"/>
    <w:rsid w:val="005F558B"/>
    <w:rsid w:val="006001A7"/>
    <w:rsid w:val="00601223"/>
    <w:rsid w:val="006019CF"/>
    <w:rsid w:val="006022A2"/>
    <w:rsid w:val="006023BF"/>
    <w:rsid w:val="0060315F"/>
    <w:rsid w:val="00603704"/>
    <w:rsid w:val="00603BAE"/>
    <w:rsid w:val="00604268"/>
    <w:rsid w:val="0060485B"/>
    <w:rsid w:val="00604DDE"/>
    <w:rsid w:val="0060580E"/>
    <w:rsid w:val="0060668D"/>
    <w:rsid w:val="00606A3C"/>
    <w:rsid w:val="006070B7"/>
    <w:rsid w:val="0061003E"/>
    <w:rsid w:val="00610489"/>
    <w:rsid w:val="00610A6F"/>
    <w:rsid w:val="00610CD8"/>
    <w:rsid w:val="006117A2"/>
    <w:rsid w:val="00613AED"/>
    <w:rsid w:val="00614E7B"/>
    <w:rsid w:val="006155E4"/>
    <w:rsid w:val="006158CD"/>
    <w:rsid w:val="00617399"/>
    <w:rsid w:val="0061772F"/>
    <w:rsid w:val="00617A90"/>
    <w:rsid w:val="006203E8"/>
    <w:rsid w:val="00620714"/>
    <w:rsid w:val="00620A98"/>
    <w:rsid w:val="00622A9C"/>
    <w:rsid w:val="00622C45"/>
    <w:rsid w:val="006237B3"/>
    <w:rsid w:val="0062414C"/>
    <w:rsid w:val="006242E4"/>
    <w:rsid w:val="006258CD"/>
    <w:rsid w:val="0062599A"/>
    <w:rsid w:val="0062601F"/>
    <w:rsid w:val="006265CC"/>
    <w:rsid w:val="00627103"/>
    <w:rsid w:val="00627D65"/>
    <w:rsid w:val="006306CA"/>
    <w:rsid w:val="00631D78"/>
    <w:rsid w:val="006323D9"/>
    <w:rsid w:val="0063387B"/>
    <w:rsid w:val="0063390E"/>
    <w:rsid w:val="00633997"/>
    <w:rsid w:val="00634261"/>
    <w:rsid w:val="00634B7E"/>
    <w:rsid w:val="00636476"/>
    <w:rsid w:val="006368B3"/>
    <w:rsid w:val="006378E2"/>
    <w:rsid w:val="00640305"/>
    <w:rsid w:val="006411F3"/>
    <w:rsid w:val="00641701"/>
    <w:rsid w:val="00643870"/>
    <w:rsid w:val="00643E82"/>
    <w:rsid w:val="00643ED3"/>
    <w:rsid w:val="00644DAF"/>
    <w:rsid w:val="0064591B"/>
    <w:rsid w:val="0064759B"/>
    <w:rsid w:val="00650AD7"/>
    <w:rsid w:val="00651220"/>
    <w:rsid w:val="00651B77"/>
    <w:rsid w:val="00651CA9"/>
    <w:rsid w:val="00652AAC"/>
    <w:rsid w:val="00654B53"/>
    <w:rsid w:val="0065619A"/>
    <w:rsid w:val="00656388"/>
    <w:rsid w:val="00656FB2"/>
    <w:rsid w:val="006570FF"/>
    <w:rsid w:val="006600D2"/>
    <w:rsid w:val="006610B2"/>
    <w:rsid w:val="0066150D"/>
    <w:rsid w:val="00661633"/>
    <w:rsid w:val="0066202C"/>
    <w:rsid w:val="00662946"/>
    <w:rsid w:val="006633CE"/>
    <w:rsid w:val="00664E27"/>
    <w:rsid w:val="006662D3"/>
    <w:rsid w:val="00666425"/>
    <w:rsid w:val="006668DA"/>
    <w:rsid w:val="006676D5"/>
    <w:rsid w:val="006679C3"/>
    <w:rsid w:val="00671536"/>
    <w:rsid w:val="006717F6"/>
    <w:rsid w:val="0067231B"/>
    <w:rsid w:val="00672546"/>
    <w:rsid w:val="00672A81"/>
    <w:rsid w:val="0067320C"/>
    <w:rsid w:val="0067370C"/>
    <w:rsid w:val="0067411C"/>
    <w:rsid w:val="00675F5F"/>
    <w:rsid w:val="00677F6A"/>
    <w:rsid w:val="006806D4"/>
    <w:rsid w:val="006841DE"/>
    <w:rsid w:val="006842C5"/>
    <w:rsid w:val="00684323"/>
    <w:rsid w:val="0068598B"/>
    <w:rsid w:val="006863C7"/>
    <w:rsid w:val="006870BB"/>
    <w:rsid w:val="00690358"/>
    <w:rsid w:val="0069202B"/>
    <w:rsid w:val="0069222D"/>
    <w:rsid w:val="00693081"/>
    <w:rsid w:val="00693BD7"/>
    <w:rsid w:val="00694B41"/>
    <w:rsid w:val="00694E98"/>
    <w:rsid w:val="006952FF"/>
    <w:rsid w:val="0069585F"/>
    <w:rsid w:val="0069594D"/>
    <w:rsid w:val="00696611"/>
    <w:rsid w:val="00696FA5"/>
    <w:rsid w:val="0069750E"/>
    <w:rsid w:val="006A110B"/>
    <w:rsid w:val="006A2F14"/>
    <w:rsid w:val="006A32BF"/>
    <w:rsid w:val="006A3848"/>
    <w:rsid w:val="006A5AE5"/>
    <w:rsid w:val="006A5C3A"/>
    <w:rsid w:val="006A5CB1"/>
    <w:rsid w:val="006A76D0"/>
    <w:rsid w:val="006A7FB1"/>
    <w:rsid w:val="006B04A2"/>
    <w:rsid w:val="006B05E9"/>
    <w:rsid w:val="006B0F07"/>
    <w:rsid w:val="006B116D"/>
    <w:rsid w:val="006B1592"/>
    <w:rsid w:val="006B1D4B"/>
    <w:rsid w:val="006B1F48"/>
    <w:rsid w:val="006B2907"/>
    <w:rsid w:val="006B2FAF"/>
    <w:rsid w:val="006B37E0"/>
    <w:rsid w:val="006B3CA0"/>
    <w:rsid w:val="006B4EBD"/>
    <w:rsid w:val="006B5BC1"/>
    <w:rsid w:val="006B733A"/>
    <w:rsid w:val="006B7857"/>
    <w:rsid w:val="006B78AE"/>
    <w:rsid w:val="006C02A5"/>
    <w:rsid w:val="006C09FB"/>
    <w:rsid w:val="006C0A1A"/>
    <w:rsid w:val="006C0A3D"/>
    <w:rsid w:val="006C0E82"/>
    <w:rsid w:val="006C19FE"/>
    <w:rsid w:val="006C1CF8"/>
    <w:rsid w:val="006C3328"/>
    <w:rsid w:val="006C397F"/>
    <w:rsid w:val="006C3D64"/>
    <w:rsid w:val="006C3FDE"/>
    <w:rsid w:val="006C4241"/>
    <w:rsid w:val="006C43C0"/>
    <w:rsid w:val="006C495C"/>
    <w:rsid w:val="006C49F5"/>
    <w:rsid w:val="006C5673"/>
    <w:rsid w:val="006C66A2"/>
    <w:rsid w:val="006C752F"/>
    <w:rsid w:val="006D103A"/>
    <w:rsid w:val="006D1516"/>
    <w:rsid w:val="006D197C"/>
    <w:rsid w:val="006D3435"/>
    <w:rsid w:val="006D39F1"/>
    <w:rsid w:val="006D3B23"/>
    <w:rsid w:val="006D48F2"/>
    <w:rsid w:val="006D4C5E"/>
    <w:rsid w:val="006D4D9D"/>
    <w:rsid w:val="006D518F"/>
    <w:rsid w:val="006D579C"/>
    <w:rsid w:val="006D5DB1"/>
    <w:rsid w:val="006D63E2"/>
    <w:rsid w:val="006D77B5"/>
    <w:rsid w:val="006E06DE"/>
    <w:rsid w:val="006E0714"/>
    <w:rsid w:val="006E0C02"/>
    <w:rsid w:val="006E1870"/>
    <w:rsid w:val="006E1C9E"/>
    <w:rsid w:val="006E26FA"/>
    <w:rsid w:val="006E2CB2"/>
    <w:rsid w:val="006E3488"/>
    <w:rsid w:val="006E52FE"/>
    <w:rsid w:val="006E6576"/>
    <w:rsid w:val="006E6D71"/>
    <w:rsid w:val="006E6E71"/>
    <w:rsid w:val="006F02E3"/>
    <w:rsid w:val="006F1FE6"/>
    <w:rsid w:val="006F3647"/>
    <w:rsid w:val="006F43C9"/>
    <w:rsid w:val="006F446F"/>
    <w:rsid w:val="006F481E"/>
    <w:rsid w:val="006F4F6A"/>
    <w:rsid w:val="006F7E97"/>
    <w:rsid w:val="007005AB"/>
    <w:rsid w:val="00700C82"/>
    <w:rsid w:val="00700F98"/>
    <w:rsid w:val="00701177"/>
    <w:rsid w:val="007014C7"/>
    <w:rsid w:val="007023BD"/>
    <w:rsid w:val="00702812"/>
    <w:rsid w:val="007035B3"/>
    <w:rsid w:val="007036FC"/>
    <w:rsid w:val="00703C3C"/>
    <w:rsid w:val="007047BA"/>
    <w:rsid w:val="00704E98"/>
    <w:rsid w:val="00704EB3"/>
    <w:rsid w:val="0070573B"/>
    <w:rsid w:val="007059CD"/>
    <w:rsid w:val="00705ACE"/>
    <w:rsid w:val="007069D0"/>
    <w:rsid w:val="00710703"/>
    <w:rsid w:val="007112AC"/>
    <w:rsid w:val="007119B8"/>
    <w:rsid w:val="00711BCC"/>
    <w:rsid w:val="00713B12"/>
    <w:rsid w:val="00715494"/>
    <w:rsid w:val="00715D9B"/>
    <w:rsid w:val="007166E9"/>
    <w:rsid w:val="00716A6D"/>
    <w:rsid w:val="00716E3E"/>
    <w:rsid w:val="0071719D"/>
    <w:rsid w:val="00717332"/>
    <w:rsid w:val="00717630"/>
    <w:rsid w:val="0071793A"/>
    <w:rsid w:val="00717A1E"/>
    <w:rsid w:val="00720B27"/>
    <w:rsid w:val="00720E81"/>
    <w:rsid w:val="00722842"/>
    <w:rsid w:val="00732DBA"/>
    <w:rsid w:val="00736946"/>
    <w:rsid w:val="00736F10"/>
    <w:rsid w:val="007370CA"/>
    <w:rsid w:val="007403EA"/>
    <w:rsid w:val="0074088C"/>
    <w:rsid w:val="00740CBA"/>
    <w:rsid w:val="007414D8"/>
    <w:rsid w:val="00742139"/>
    <w:rsid w:val="00744B37"/>
    <w:rsid w:val="00745068"/>
    <w:rsid w:val="007450DD"/>
    <w:rsid w:val="00745254"/>
    <w:rsid w:val="0074547F"/>
    <w:rsid w:val="007458C6"/>
    <w:rsid w:val="007460BA"/>
    <w:rsid w:val="00747112"/>
    <w:rsid w:val="00747A1B"/>
    <w:rsid w:val="00750C57"/>
    <w:rsid w:val="00751048"/>
    <w:rsid w:val="0075243F"/>
    <w:rsid w:val="00752DFB"/>
    <w:rsid w:val="007530C5"/>
    <w:rsid w:val="00754C22"/>
    <w:rsid w:val="00754D30"/>
    <w:rsid w:val="007563BA"/>
    <w:rsid w:val="0075759E"/>
    <w:rsid w:val="007616EC"/>
    <w:rsid w:val="007617D6"/>
    <w:rsid w:val="0076191D"/>
    <w:rsid w:val="00762650"/>
    <w:rsid w:val="0076315C"/>
    <w:rsid w:val="00764555"/>
    <w:rsid w:val="00764E16"/>
    <w:rsid w:val="00764E33"/>
    <w:rsid w:val="00765C95"/>
    <w:rsid w:val="0076661F"/>
    <w:rsid w:val="00767051"/>
    <w:rsid w:val="0076770D"/>
    <w:rsid w:val="007727ED"/>
    <w:rsid w:val="0077298E"/>
    <w:rsid w:val="00774917"/>
    <w:rsid w:val="00775B44"/>
    <w:rsid w:val="00776197"/>
    <w:rsid w:val="00776333"/>
    <w:rsid w:val="00777043"/>
    <w:rsid w:val="007770BC"/>
    <w:rsid w:val="007776DA"/>
    <w:rsid w:val="00777EEE"/>
    <w:rsid w:val="007800BD"/>
    <w:rsid w:val="0078041E"/>
    <w:rsid w:val="00780D88"/>
    <w:rsid w:val="00782285"/>
    <w:rsid w:val="00783026"/>
    <w:rsid w:val="0078322F"/>
    <w:rsid w:val="0078329F"/>
    <w:rsid w:val="00783C81"/>
    <w:rsid w:val="007840E1"/>
    <w:rsid w:val="0078417C"/>
    <w:rsid w:val="00784BA9"/>
    <w:rsid w:val="00785250"/>
    <w:rsid w:val="007858A3"/>
    <w:rsid w:val="00785956"/>
    <w:rsid w:val="00785E11"/>
    <w:rsid w:val="00786181"/>
    <w:rsid w:val="0078640A"/>
    <w:rsid w:val="00786510"/>
    <w:rsid w:val="00790105"/>
    <w:rsid w:val="007910AE"/>
    <w:rsid w:val="0079122D"/>
    <w:rsid w:val="0079136D"/>
    <w:rsid w:val="007913A8"/>
    <w:rsid w:val="00791E4B"/>
    <w:rsid w:val="007931D7"/>
    <w:rsid w:val="00793F85"/>
    <w:rsid w:val="007949F4"/>
    <w:rsid w:val="0079567C"/>
    <w:rsid w:val="007958FC"/>
    <w:rsid w:val="00795F96"/>
    <w:rsid w:val="007976D3"/>
    <w:rsid w:val="00797992"/>
    <w:rsid w:val="007A1CDA"/>
    <w:rsid w:val="007A1D27"/>
    <w:rsid w:val="007A20BA"/>
    <w:rsid w:val="007A3175"/>
    <w:rsid w:val="007A38C9"/>
    <w:rsid w:val="007A48B4"/>
    <w:rsid w:val="007A5B8B"/>
    <w:rsid w:val="007A5FDE"/>
    <w:rsid w:val="007A601C"/>
    <w:rsid w:val="007A65B4"/>
    <w:rsid w:val="007A6E96"/>
    <w:rsid w:val="007A7195"/>
    <w:rsid w:val="007A798F"/>
    <w:rsid w:val="007A7D14"/>
    <w:rsid w:val="007B0588"/>
    <w:rsid w:val="007B0BDE"/>
    <w:rsid w:val="007B1417"/>
    <w:rsid w:val="007B2E5B"/>
    <w:rsid w:val="007B37E9"/>
    <w:rsid w:val="007B3A4A"/>
    <w:rsid w:val="007B4A16"/>
    <w:rsid w:val="007B5666"/>
    <w:rsid w:val="007B5D9B"/>
    <w:rsid w:val="007B6E7A"/>
    <w:rsid w:val="007B6F9F"/>
    <w:rsid w:val="007B706D"/>
    <w:rsid w:val="007B76A1"/>
    <w:rsid w:val="007B7EA5"/>
    <w:rsid w:val="007C040A"/>
    <w:rsid w:val="007C08C7"/>
    <w:rsid w:val="007C0C47"/>
    <w:rsid w:val="007C1CE6"/>
    <w:rsid w:val="007C1DF4"/>
    <w:rsid w:val="007C246D"/>
    <w:rsid w:val="007C2B3C"/>
    <w:rsid w:val="007C2D2F"/>
    <w:rsid w:val="007C3186"/>
    <w:rsid w:val="007C3DD3"/>
    <w:rsid w:val="007C429B"/>
    <w:rsid w:val="007C4982"/>
    <w:rsid w:val="007C4AA9"/>
    <w:rsid w:val="007C4DAA"/>
    <w:rsid w:val="007C5148"/>
    <w:rsid w:val="007C568A"/>
    <w:rsid w:val="007C5B96"/>
    <w:rsid w:val="007C5E90"/>
    <w:rsid w:val="007C6FA2"/>
    <w:rsid w:val="007C7D7F"/>
    <w:rsid w:val="007D1648"/>
    <w:rsid w:val="007D2024"/>
    <w:rsid w:val="007D21B1"/>
    <w:rsid w:val="007D2603"/>
    <w:rsid w:val="007D2823"/>
    <w:rsid w:val="007D2942"/>
    <w:rsid w:val="007D2C6F"/>
    <w:rsid w:val="007D30D8"/>
    <w:rsid w:val="007D3CB0"/>
    <w:rsid w:val="007D42BF"/>
    <w:rsid w:val="007D4A9B"/>
    <w:rsid w:val="007D4A9D"/>
    <w:rsid w:val="007D4C22"/>
    <w:rsid w:val="007D4EFA"/>
    <w:rsid w:val="007D4F93"/>
    <w:rsid w:val="007D5103"/>
    <w:rsid w:val="007D52FC"/>
    <w:rsid w:val="007D54AC"/>
    <w:rsid w:val="007D596F"/>
    <w:rsid w:val="007D65B9"/>
    <w:rsid w:val="007D6BFD"/>
    <w:rsid w:val="007D6D7C"/>
    <w:rsid w:val="007D7352"/>
    <w:rsid w:val="007E23CB"/>
    <w:rsid w:val="007E261F"/>
    <w:rsid w:val="007E2E3F"/>
    <w:rsid w:val="007E45A0"/>
    <w:rsid w:val="007E5290"/>
    <w:rsid w:val="007E5706"/>
    <w:rsid w:val="007E5983"/>
    <w:rsid w:val="007E69DB"/>
    <w:rsid w:val="007E6CF6"/>
    <w:rsid w:val="007E7121"/>
    <w:rsid w:val="007E728A"/>
    <w:rsid w:val="007E760F"/>
    <w:rsid w:val="007F0499"/>
    <w:rsid w:val="007F0B25"/>
    <w:rsid w:val="007F2FF0"/>
    <w:rsid w:val="007F309D"/>
    <w:rsid w:val="007F3A45"/>
    <w:rsid w:val="007F3C85"/>
    <w:rsid w:val="007F5248"/>
    <w:rsid w:val="007F5617"/>
    <w:rsid w:val="007F617C"/>
    <w:rsid w:val="007F6AF2"/>
    <w:rsid w:val="007F6D9F"/>
    <w:rsid w:val="007F7578"/>
    <w:rsid w:val="007F79D2"/>
    <w:rsid w:val="007F7A5A"/>
    <w:rsid w:val="00800EB7"/>
    <w:rsid w:val="00802179"/>
    <w:rsid w:val="00802311"/>
    <w:rsid w:val="00805570"/>
    <w:rsid w:val="00806D26"/>
    <w:rsid w:val="00807038"/>
    <w:rsid w:val="0080792A"/>
    <w:rsid w:val="008106DE"/>
    <w:rsid w:val="00810B95"/>
    <w:rsid w:val="00810C7E"/>
    <w:rsid w:val="00812D69"/>
    <w:rsid w:val="0081318C"/>
    <w:rsid w:val="00813AAE"/>
    <w:rsid w:val="00815274"/>
    <w:rsid w:val="008157B4"/>
    <w:rsid w:val="00817288"/>
    <w:rsid w:val="0081736B"/>
    <w:rsid w:val="00817407"/>
    <w:rsid w:val="00817A09"/>
    <w:rsid w:val="00817B10"/>
    <w:rsid w:val="00817D40"/>
    <w:rsid w:val="008200B1"/>
    <w:rsid w:val="008203CB"/>
    <w:rsid w:val="0082087C"/>
    <w:rsid w:val="008213BE"/>
    <w:rsid w:val="00821407"/>
    <w:rsid w:val="008217BA"/>
    <w:rsid w:val="00821A95"/>
    <w:rsid w:val="00821D28"/>
    <w:rsid w:val="00822D80"/>
    <w:rsid w:val="008237F1"/>
    <w:rsid w:val="008243B1"/>
    <w:rsid w:val="00824432"/>
    <w:rsid w:val="008254FB"/>
    <w:rsid w:val="0082555B"/>
    <w:rsid w:val="00825BF9"/>
    <w:rsid w:val="0082625C"/>
    <w:rsid w:val="00826487"/>
    <w:rsid w:val="00827146"/>
    <w:rsid w:val="00827357"/>
    <w:rsid w:val="00827AF4"/>
    <w:rsid w:val="00827B48"/>
    <w:rsid w:val="00830883"/>
    <w:rsid w:val="008323CD"/>
    <w:rsid w:val="00832A8D"/>
    <w:rsid w:val="0083320F"/>
    <w:rsid w:val="00834D65"/>
    <w:rsid w:val="00835D0D"/>
    <w:rsid w:val="008363A2"/>
    <w:rsid w:val="0084190A"/>
    <w:rsid w:val="008429E4"/>
    <w:rsid w:val="00842ADA"/>
    <w:rsid w:val="00842FE1"/>
    <w:rsid w:val="008430F9"/>
    <w:rsid w:val="00843944"/>
    <w:rsid w:val="00843AD3"/>
    <w:rsid w:val="0084431A"/>
    <w:rsid w:val="00844F2C"/>
    <w:rsid w:val="00846AA9"/>
    <w:rsid w:val="008506A0"/>
    <w:rsid w:val="00850798"/>
    <w:rsid w:val="008507E3"/>
    <w:rsid w:val="00850C29"/>
    <w:rsid w:val="008513F1"/>
    <w:rsid w:val="00851415"/>
    <w:rsid w:val="00851841"/>
    <w:rsid w:val="00851AD6"/>
    <w:rsid w:val="00851DCA"/>
    <w:rsid w:val="0085268C"/>
    <w:rsid w:val="00852756"/>
    <w:rsid w:val="00853218"/>
    <w:rsid w:val="0085363E"/>
    <w:rsid w:val="00853767"/>
    <w:rsid w:val="00855321"/>
    <w:rsid w:val="00855AB6"/>
    <w:rsid w:val="00855CEC"/>
    <w:rsid w:val="00855EAA"/>
    <w:rsid w:val="00856A7E"/>
    <w:rsid w:val="00857182"/>
    <w:rsid w:val="008618EE"/>
    <w:rsid w:val="00861B02"/>
    <w:rsid w:val="00862218"/>
    <w:rsid w:val="008625D9"/>
    <w:rsid w:val="00862CA0"/>
    <w:rsid w:val="0086342A"/>
    <w:rsid w:val="00863F7A"/>
    <w:rsid w:val="008645AA"/>
    <w:rsid w:val="00864740"/>
    <w:rsid w:val="008647A4"/>
    <w:rsid w:val="00864EE3"/>
    <w:rsid w:val="00865D43"/>
    <w:rsid w:val="00866D09"/>
    <w:rsid w:val="00867106"/>
    <w:rsid w:val="00867DE9"/>
    <w:rsid w:val="00870275"/>
    <w:rsid w:val="00872B8D"/>
    <w:rsid w:val="0087343C"/>
    <w:rsid w:val="008750F0"/>
    <w:rsid w:val="0087630C"/>
    <w:rsid w:val="0087664B"/>
    <w:rsid w:val="0087708A"/>
    <w:rsid w:val="008806ED"/>
    <w:rsid w:val="00880C1F"/>
    <w:rsid w:val="0088237A"/>
    <w:rsid w:val="0088251C"/>
    <w:rsid w:val="00884453"/>
    <w:rsid w:val="00885006"/>
    <w:rsid w:val="008856EE"/>
    <w:rsid w:val="00885D5D"/>
    <w:rsid w:val="00886269"/>
    <w:rsid w:val="00886DA3"/>
    <w:rsid w:val="00886F65"/>
    <w:rsid w:val="00887E79"/>
    <w:rsid w:val="0089010F"/>
    <w:rsid w:val="00890177"/>
    <w:rsid w:val="00891DCE"/>
    <w:rsid w:val="00892A31"/>
    <w:rsid w:val="00893086"/>
    <w:rsid w:val="008931EA"/>
    <w:rsid w:val="0089334B"/>
    <w:rsid w:val="00893535"/>
    <w:rsid w:val="0089491A"/>
    <w:rsid w:val="00894B84"/>
    <w:rsid w:val="00895609"/>
    <w:rsid w:val="008956BE"/>
    <w:rsid w:val="008957F2"/>
    <w:rsid w:val="00895B40"/>
    <w:rsid w:val="008969D8"/>
    <w:rsid w:val="00897C0B"/>
    <w:rsid w:val="008A1791"/>
    <w:rsid w:val="008A298A"/>
    <w:rsid w:val="008A2AC9"/>
    <w:rsid w:val="008A3158"/>
    <w:rsid w:val="008A343D"/>
    <w:rsid w:val="008A36AE"/>
    <w:rsid w:val="008A36D2"/>
    <w:rsid w:val="008A3A4E"/>
    <w:rsid w:val="008A3C50"/>
    <w:rsid w:val="008A453F"/>
    <w:rsid w:val="008A4618"/>
    <w:rsid w:val="008A51D3"/>
    <w:rsid w:val="008A527C"/>
    <w:rsid w:val="008A53F5"/>
    <w:rsid w:val="008A5BDF"/>
    <w:rsid w:val="008A5CE8"/>
    <w:rsid w:val="008A68F1"/>
    <w:rsid w:val="008A6BFA"/>
    <w:rsid w:val="008B050C"/>
    <w:rsid w:val="008B0591"/>
    <w:rsid w:val="008B07E9"/>
    <w:rsid w:val="008B0CF0"/>
    <w:rsid w:val="008B17A1"/>
    <w:rsid w:val="008B1949"/>
    <w:rsid w:val="008B19EF"/>
    <w:rsid w:val="008B1A84"/>
    <w:rsid w:val="008B1BD1"/>
    <w:rsid w:val="008B2ACD"/>
    <w:rsid w:val="008B33F3"/>
    <w:rsid w:val="008B3C2A"/>
    <w:rsid w:val="008B421E"/>
    <w:rsid w:val="008B5265"/>
    <w:rsid w:val="008B558E"/>
    <w:rsid w:val="008B5A74"/>
    <w:rsid w:val="008B65CD"/>
    <w:rsid w:val="008B6862"/>
    <w:rsid w:val="008B6DA4"/>
    <w:rsid w:val="008B7771"/>
    <w:rsid w:val="008B7893"/>
    <w:rsid w:val="008B7F05"/>
    <w:rsid w:val="008C093F"/>
    <w:rsid w:val="008C1866"/>
    <w:rsid w:val="008C1DBA"/>
    <w:rsid w:val="008C32DE"/>
    <w:rsid w:val="008C3593"/>
    <w:rsid w:val="008C4A17"/>
    <w:rsid w:val="008C4D47"/>
    <w:rsid w:val="008C4F82"/>
    <w:rsid w:val="008C5E01"/>
    <w:rsid w:val="008C69AD"/>
    <w:rsid w:val="008C7B43"/>
    <w:rsid w:val="008C7E1F"/>
    <w:rsid w:val="008D00CD"/>
    <w:rsid w:val="008D0237"/>
    <w:rsid w:val="008D0B84"/>
    <w:rsid w:val="008D1BD1"/>
    <w:rsid w:val="008D3471"/>
    <w:rsid w:val="008D40DA"/>
    <w:rsid w:val="008D4313"/>
    <w:rsid w:val="008D49DF"/>
    <w:rsid w:val="008D4AFA"/>
    <w:rsid w:val="008D4EF6"/>
    <w:rsid w:val="008D604A"/>
    <w:rsid w:val="008D6109"/>
    <w:rsid w:val="008D63C9"/>
    <w:rsid w:val="008D661F"/>
    <w:rsid w:val="008D6D56"/>
    <w:rsid w:val="008D758A"/>
    <w:rsid w:val="008E1101"/>
    <w:rsid w:val="008E1791"/>
    <w:rsid w:val="008E1CB9"/>
    <w:rsid w:val="008E2597"/>
    <w:rsid w:val="008E2825"/>
    <w:rsid w:val="008E454A"/>
    <w:rsid w:val="008E57B2"/>
    <w:rsid w:val="008E59CD"/>
    <w:rsid w:val="008E6F9E"/>
    <w:rsid w:val="008E706A"/>
    <w:rsid w:val="008E768E"/>
    <w:rsid w:val="008F03E4"/>
    <w:rsid w:val="008F09E3"/>
    <w:rsid w:val="008F11B3"/>
    <w:rsid w:val="008F1884"/>
    <w:rsid w:val="008F2275"/>
    <w:rsid w:val="008F235B"/>
    <w:rsid w:val="008F2515"/>
    <w:rsid w:val="008F2B45"/>
    <w:rsid w:val="008F2B58"/>
    <w:rsid w:val="008F32EF"/>
    <w:rsid w:val="008F33B7"/>
    <w:rsid w:val="008F33DF"/>
    <w:rsid w:val="008F37BC"/>
    <w:rsid w:val="008F4707"/>
    <w:rsid w:val="008F47D1"/>
    <w:rsid w:val="008F67D5"/>
    <w:rsid w:val="008F6FB0"/>
    <w:rsid w:val="009004E6"/>
    <w:rsid w:val="009011DE"/>
    <w:rsid w:val="00902707"/>
    <w:rsid w:val="009027B8"/>
    <w:rsid w:val="00903E07"/>
    <w:rsid w:val="0090460E"/>
    <w:rsid w:val="00904D2F"/>
    <w:rsid w:val="00905209"/>
    <w:rsid w:val="0090556D"/>
    <w:rsid w:val="00905C1A"/>
    <w:rsid w:val="009060E1"/>
    <w:rsid w:val="0090628B"/>
    <w:rsid w:val="0090657E"/>
    <w:rsid w:val="00906E90"/>
    <w:rsid w:val="00906EBE"/>
    <w:rsid w:val="009071B9"/>
    <w:rsid w:val="009072E4"/>
    <w:rsid w:val="00907ACC"/>
    <w:rsid w:val="00907D71"/>
    <w:rsid w:val="00907DBB"/>
    <w:rsid w:val="00911CD9"/>
    <w:rsid w:val="00912533"/>
    <w:rsid w:val="009126A6"/>
    <w:rsid w:val="0091383B"/>
    <w:rsid w:val="00913985"/>
    <w:rsid w:val="00914B22"/>
    <w:rsid w:val="00916087"/>
    <w:rsid w:val="0091727F"/>
    <w:rsid w:val="00920087"/>
    <w:rsid w:val="009202CF"/>
    <w:rsid w:val="009204E1"/>
    <w:rsid w:val="0092158B"/>
    <w:rsid w:val="0092218E"/>
    <w:rsid w:val="009224C0"/>
    <w:rsid w:val="0092384E"/>
    <w:rsid w:val="009242E6"/>
    <w:rsid w:val="00924A67"/>
    <w:rsid w:val="00924D32"/>
    <w:rsid w:val="00925212"/>
    <w:rsid w:val="0092550D"/>
    <w:rsid w:val="00925AE9"/>
    <w:rsid w:val="00925D8C"/>
    <w:rsid w:val="009261D5"/>
    <w:rsid w:val="00926376"/>
    <w:rsid w:val="00926BA1"/>
    <w:rsid w:val="0092706C"/>
    <w:rsid w:val="00930168"/>
    <w:rsid w:val="00930402"/>
    <w:rsid w:val="009306A4"/>
    <w:rsid w:val="0093103E"/>
    <w:rsid w:val="00931B5B"/>
    <w:rsid w:val="00931C8B"/>
    <w:rsid w:val="00931F62"/>
    <w:rsid w:val="009327B0"/>
    <w:rsid w:val="009335D1"/>
    <w:rsid w:val="00933677"/>
    <w:rsid w:val="00933E62"/>
    <w:rsid w:val="00934499"/>
    <w:rsid w:val="00934857"/>
    <w:rsid w:val="00934E21"/>
    <w:rsid w:val="00935E8B"/>
    <w:rsid w:val="009371DA"/>
    <w:rsid w:val="0093772B"/>
    <w:rsid w:val="009378BF"/>
    <w:rsid w:val="00940936"/>
    <w:rsid w:val="0094130C"/>
    <w:rsid w:val="009432E0"/>
    <w:rsid w:val="00943901"/>
    <w:rsid w:val="0094418C"/>
    <w:rsid w:val="00944221"/>
    <w:rsid w:val="009443C8"/>
    <w:rsid w:val="00944BCC"/>
    <w:rsid w:val="009459B7"/>
    <w:rsid w:val="00945C94"/>
    <w:rsid w:val="00947900"/>
    <w:rsid w:val="00950400"/>
    <w:rsid w:val="00950BC6"/>
    <w:rsid w:val="00952542"/>
    <w:rsid w:val="00952EEC"/>
    <w:rsid w:val="009530E2"/>
    <w:rsid w:val="009530FF"/>
    <w:rsid w:val="00953F61"/>
    <w:rsid w:val="009548C0"/>
    <w:rsid w:val="0095494B"/>
    <w:rsid w:val="00955A46"/>
    <w:rsid w:val="00955BCB"/>
    <w:rsid w:val="00955C26"/>
    <w:rsid w:val="00955D98"/>
    <w:rsid w:val="00955E3B"/>
    <w:rsid w:val="00956138"/>
    <w:rsid w:val="0095744D"/>
    <w:rsid w:val="00961234"/>
    <w:rsid w:val="00961421"/>
    <w:rsid w:val="00961A11"/>
    <w:rsid w:val="009625C6"/>
    <w:rsid w:val="00964212"/>
    <w:rsid w:val="009645F7"/>
    <w:rsid w:val="00964794"/>
    <w:rsid w:val="00964863"/>
    <w:rsid w:val="00964ECA"/>
    <w:rsid w:val="00964F38"/>
    <w:rsid w:val="0096588F"/>
    <w:rsid w:val="00965A2F"/>
    <w:rsid w:val="009660EF"/>
    <w:rsid w:val="00966336"/>
    <w:rsid w:val="00966D85"/>
    <w:rsid w:val="009703DC"/>
    <w:rsid w:val="00970D03"/>
    <w:rsid w:val="00970F77"/>
    <w:rsid w:val="00972A55"/>
    <w:rsid w:val="00972FB8"/>
    <w:rsid w:val="009745E1"/>
    <w:rsid w:val="009759DB"/>
    <w:rsid w:val="00976C80"/>
    <w:rsid w:val="0097725D"/>
    <w:rsid w:val="00977B99"/>
    <w:rsid w:val="0098064C"/>
    <w:rsid w:val="009814E7"/>
    <w:rsid w:val="00981A5D"/>
    <w:rsid w:val="0098282D"/>
    <w:rsid w:val="00982848"/>
    <w:rsid w:val="0098292B"/>
    <w:rsid w:val="00983A6B"/>
    <w:rsid w:val="00983CA8"/>
    <w:rsid w:val="00984597"/>
    <w:rsid w:val="0098494E"/>
    <w:rsid w:val="00984DAD"/>
    <w:rsid w:val="00986975"/>
    <w:rsid w:val="00986FBA"/>
    <w:rsid w:val="00987223"/>
    <w:rsid w:val="00987E95"/>
    <w:rsid w:val="009922EF"/>
    <w:rsid w:val="00993D5F"/>
    <w:rsid w:val="00994F63"/>
    <w:rsid w:val="009952A1"/>
    <w:rsid w:val="00996801"/>
    <w:rsid w:val="00997654"/>
    <w:rsid w:val="00997B93"/>
    <w:rsid w:val="00997C34"/>
    <w:rsid w:val="009A0474"/>
    <w:rsid w:val="009A0DB9"/>
    <w:rsid w:val="009A0F28"/>
    <w:rsid w:val="009A1EF3"/>
    <w:rsid w:val="009A24C1"/>
    <w:rsid w:val="009A2842"/>
    <w:rsid w:val="009A29ED"/>
    <w:rsid w:val="009A2F12"/>
    <w:rsid w:val="009A305F"/>
    <w:rsid w:val="009A308F"/>
    <w:rsid w:val="009A3C73"/>
    <w:rsid w:val="009A43D9"/>
    <w:rsid w:val="009A45D8"/>
    <w:rsid w:val="009A4776"/>
    <w:rsid w:val="009A48A3"/>
    <w:rsid w:val="009A4C33"/>
    <w:rsid w:val="009A4EF8"/>
    <w:rsid w:val="009A5128"/>
    <w:rsid w:val="009A52C5"/>
    <w:rsid w:val="009A5587"/>
    <w:rsid w:val="009A56C3"/>
    <w:rsid w:val="009A65BA"/>
    <w:rsid w:val="009A6805"/>
    <w:rsid w:val="009A70A1"/>
    <w:rsid w:val="009A720F"/>
    <w:rsid w:val="009B1157"/>
    <w:rsid w:val="009B1430"/>
    <w:rsid w:val="009B1E5C"/>
    <w:rsid w:val="009B1EC9"/>
    <w:rsid w:val="009B292E"/>
    <w:rsid w:val="009B2C35"/>
    <w:rsid w:val="009B2D0A"/>
    <w:rsid w:val="009B2E18"/>
    <w:rsid w:val="009B3CE1"/>
    <w:rsid w:val="009B5B94"/>
    <w:rsid w:val="009B60A2"/>
    <w:rsid w:val="009B65AC"/>
    <w:rsid w:val="009B687D"/>
    <w:rsid w:val="009B6A0B"/>
    <w:rsid w:val="009B72B3"/>
    <w:rsid w:val="009B746F"/>
    <w:rsid w:val="009B7A07"/>
    <w:rsid w:val="009C042B"/>
    <w:rsid w:val="009C09C4"/>
    <w:rsid w:val="009C120D"/>
    <w:rsid w:val="009C1A83"/>
    <w:rsid w:val="009C1CC7"/>
    <w:rsid w:val="009C217F"/>
    <w:rsid w:val="009C436F"/>
    <w:rsid w:val="009C48E3"/>
    <w:rsid w:val="009C4BD2"/>
    <w:rsid w:val="009C564F"/>
    <w:rsid w:val="009C63ED"/>
    <w:rsid w:val="009C6940"/>
    <w:rsid w:val="009D0355"/>
    <w:rsid w:val="009D278B"/>
    <w:rsid w:val="009D29CD"/>
    <w:rsid w:val="009D3AAD"/>
    <w:rsid w:val="009D3F8D"/>
    <w:rsid w:val="009D41BA"/>
    <w:rsid w:val="009D549B"/>
    <w:rsid w:val="009D650C"/>
    <w:rsid w:val="009D6F06"/>
    <w:rsid w:val="009D7C5A"/>
    <w:rsid w:val="009E2232"/>
    <w:rsid w:val="009E2340"/>
    <w:rsid w:val="009E23AB"/>
    <w:rsid w:val="009E29F3"/>
    <w:rsid w:val="009E2B12"/>
    <w:rsid w:val="009E3ADD"/>
    <w:rsid w:val="009E3ED5"/>
    <w:rsid w:val="009E4EF8"/>
    <w:rsid w:val="009E4F59"/>
    <w:rsid w:val="009E56FC"/>
    <w:rsid w:val="009E5A81"/>
    <w:rsid w:val="009E5AAB"/>
    <w:rsid w:val="009E6D6D"/>
    <w:rsid w:val="009E6E7F"/>
    <w:rsid w:val="009E6FE5"/>
    <w:rsid w:val="009E7686"/>
    <w:rsid w:val="009E7725"/>
    <w:rsid w:val="009E7A9D"/>
    <w:rsid w:val="009F1C1F"/>
    <w:rsid w:val="009F20B5"/>
    <w:rsid w:val="009F24A3"/>
    <w:rsid w:val="009F250D"/>
    <w:rsid w:val="009F268B"/>
    <w:rsid w:val="009F496F"/>
    <w:rsid w:val="009F5C99"/>
    <w:rsid w:val="009F61CE"/>
    <w:rsid w:val="009F6570"/>
    <w:rsid w:val="009F7263"/>
    <w:rsid w:val="009F7E89"/>
    <w:rsid w:val="00A024C7"/>
    <w:rsid w:val="00A0278A"/>
    <w:rsid w:val="00A028C6"/>
    <w:rsid w:val="00A02D9E"/>
    <w:rsid w:val="00A02FF9"/>
    <w:rsid w:val="00A030C2"/>
    <w:rsid w:val="00A0507F"/>
    <w:rsid w:val="00A060AF"/>
    <w:rsid w:val="00A068E4"/>
    <w:rsid w:val="00A10787"/>
    <w:rsid w:val="00A10B9E"/>
    <w:rsid w:val="00A10EDF"/>
    <w:rsid w:val="00A11D2B"/>
    <w:rsid w:val="00A124D5"/>
    <w:rsid w:val="00A12B36"/>
    <w:rsid w:val="00A14CC2"/>
    <w:rsid w:val="00A15F05"/>
    <w:rsid w:val="00A1622C"/>
    <w:rsid w:val="00A16A88"/>
    <w:rsid w:val="00A16C2F"/>
    <w:rsid w:val="00A170B1"/>
    <w:rsid w:val="00A17E26"/>
    <w:rsid w:val="00A20C4F"/>
    <w:rsid w:val="00A20D79"/>
    <w:rsid w:val="00A219D5"/>
    <w:rsid w:val="00A21A20"/>
    <w:rsid w:val="00A220DA"/>
    <w:rsid w:val="00A22405"/>
    <w:rsid w:val="00A244C2"/>
    <w:rsid w:val="00A24BCC"/>
    <w:rsid w:val="00A24FF5"/>
    <w:rsid w:val="00A2535A"/>
    <w:rsid w:val="00A253B4"/>
    <w:rsid w:val="00A25893"/>
    <w:rsid w:val="00A25A3E"/>
    <w:rsid w:val="00A2616B"/>
    <w:rsid w:val="00A2729B"/>
    <w:rsid w:val="00A27398"/>
    <w:rsid w:val="00A275B2"/>
    <w:rsid w:val="00A276DC"/>
    <w:rsid w:val="00A27FEC"/>
    <w:rsid w:val="00A31F19"/>
    <w:rsid w:val="00A32383"/>
    <w:rsid w:val="00A3297C"/>
    <w:rsid w:val="00A33005"/>
    <w:rsid w:val="00A34AB2"/>
    <w:rsid w:val="00A35389"/>
    <w:rsid w:val="00A354E6"/>
    <w:rsid w:val="00A36AA3"/>
    <w:rsid w:val="00A36C13"/>
    <w:rsid w:val="00A36CF0"/>
    <w:rsid w:val="00A40256"/>
    <w:rsid w:val="00A404BD"/>
    <w:rsid w:val="00A40C3F"/>
    <w:rsid w:val="00A410BC"/>
    <w:rsid w:val="00A4243F"/>
    <w:rsid w:val="00A42CBE"/>
    <w:rsid w:val="00A42F53"/>
    <w:rsid w:val="00A44BB4"/>
    <w:rsid w:val="00A4509F"/>
    <w:rsid w:val="00A45B71"/>
    <w:rsid w:val="00A45E26"/>
    <w:rsid w:val="00A46764"/>
    <w:rsid w:val="00A46905"/>
    <w:rsid w:val="00A5039C"/>
    <w:rsid w:val="00A505EE"/>
    <w:rsid w:val="00A519B6"/>
    <w:rsid w:val="00A51ED1"/>
    <w:rsid w:val="00A5240B"/>
    <w:rsid w:val="00A52690"/>
    <w:rsid w:val="00A54486"/>
    <w:rsid w:val="00A546CE"/>
    <w:rsid w:val="00A5524A"/>
    <w:rsid w:val="00A55586"/>
    <w:rsid w:val="00A55A47"/>
    <w:rsid w:val="00A57977"/>
    <w:rsid w:val="00A5799F"/>
    <w:rsid w:val="00A57C19"/>
    <w:rsid w:val="00A627EB"/>
    <w:rsid w:val="00A63EBD"/>
    <w:rsid w:val="00A6413A"/>
    <w:rsid w:val="00A6422B"/>
    <w:rsid w:val="00A64646"/>
    <w:rsid w:val="00A66A3B"/>
    <w:rsid w:val="00A66BBF"/>
    <w:rsid w:val="00A66E85"/>
    <w:rsid w:val="00A67268"/>
    <w:rsid w:val="00A6744A"/>
    <w:rsid w:val="00A73818"/>
    <w:rsid w:val="00A74081"/>
    <w:rsid w:val="00A74266"/>
    <w:rsid w:val="00A751C6"/>
    <w:rsid w:val="00A75392"/>
    <w:rsid w:val="00A758B8"/>
    <w:rsid w:val="00A774A9"/>
    <w:rsid w:val="00A7787A"/>
    <w:rsid w:val="00A77B63"/>
    <w:rsid w:val="00A8012E"/>
    <w:rsid w:val="00A80306"/>
    <w:rsid w:val="00A803AD"/>
    <w:rsid w:val="00A80F4E"/>
    <w:rsid w:val="00A828DB"/>
    <w:rsid w:val="00A82F24"/>
    <w:rsid w:val="00A82FC3"/>
    <w:rsid w:val="00A83146"/>
    <w:rsid w:val="00A83CDE"/>
    <w:rsid w:val="00A851E8"/>
    <w:rsid w:val="00A85431"/>
    <w:rsid w:val="00A85F9D"/>
    <w:rsid w:val="00A90ABC"/>
    <w:rsid w:val="00A92588"/>
    <w:rsid w:val="00A9289E"/>
    <w:rsid w:val="00A92B92"/>
    <w:rsid w:val="00A92BE3"/>
    <w:rsid w:val="00A9346F"/>
    <w:rsid w:val="00A93944"/>
    <w:rsid w:val="00A9445C"/>
    <w:rsid w:val="00A95569"/>
    <w:rsid w:val="00A956E2"/>
    <w:rsid w:val="00A958D5"/>
    <w:rsid w:val="00A95D8B"/>
    <w:rsid w:val="00A962CB"/>
    <w:rsid w:val="00A96484"/>
    <w:rsid w:val="00A96731"/>
    <w:rsid w:val="00A97AC3"/>
    <w:rsid w:val="00A97EE5"/>
    <w:rsid w:val="00A97FBB"/>
    <w:rsid w:val="00AA02E7"/>
    <w:rsid w:val="00AA04DD"/>
    <w:rsid w:val="00AA05BE"/>
    <w:rsid w:val="00AA1360"/>
    <w:rsid w:val="00AA143B"/>
    <w:rsid w:val="00AA14DE"/>
    <w:rsid w:val="00AA22B5"/>
    <w:rsid w:val="00AA41D2"/>
    <w:rsid w:val="00AA4617"/>
    <w:rsid w:val="00AA5141"/>
    <w:rsid w:val="00AA57B2"/>
    <w:rsid w:val="00AA5E5D"/>
    <w:rsid w:val="00AA65A6"/>
    <w:rsid w:val="00AA721E"/>
    <w:rsid w:val="00AA733A"/>
    <w:rsid w:val="00AB041A"/>
    <w:rsid w:val="00AB0512"/>
    <w:rsid w:val="00AB113D"/>
    <w:rsid w:val="00AB1378"/>
    <w:rsid w:val="00AB2AC3"/>
    <w:rsid w:val="00AB2ED7"/>
    <w:rsid w:val="00AB3CEA"/>
    <w:rsid w:val="00AB3D81"/>
    <w:rsid w:val="00AB5AD7"/>
    <w:rsid w:val="00AB5E89"/>
    <w:rsid w:val="00AB6279"/>
    <w:rsid w:val="00AB6547"/>
    <w:rsid w:val="00AB6F58"/>
    <w:rsid w:val="00AC067E"/>
    <w:rsid w:val="00AC0A29"/>
    <w:rsid w:val="00AC1402"/>
    <w:rsid w:val="00AC1ECA"/>
    <w:rsid w:val="00AC290B"/>
    <w:rsid w:val="00AC4976"/>
    <w:rsid w:val="00AC57F6"/>
    <w:rsid w:val="00AC7207"/>
    <w:rsid w:val="00AC7615"/>
    <w:rsid w:val="00AC7EE5"/>
    <w:rsid w:val="00AC7FD3"/>
    <w:rsid w:val="00AD0AD6"/>
    <w:rsid w:val="00AD1FA2"/>
    <w:rsid w:val="00AD33C7"/>
    <w:rsid w:val="00AD4D05"/>
    <w:rsid w:val="00AD5E33"/>
    <w:rsid w:val="00AD6523"/>
    <w:rsid w:val="00AD6731"/>
    <w:rsid w:val="00AE10BD"/>
    <w:rsid w:val="00AE1579"/>
    <w:rsid w:val="00AE2334"/>
    <w:rsid w:val="00AE2456"/>
    <w:rsid w:val="00AE2A9D"/>
    <w:rsid w:val="00AE3210"/>
    <w:rsid w:val="00AE33DC"/>
    <w:rsid w:val="00AE436F"/>
    <w:rsid w:val="00AE4C7B"/>
    <w:rsid w:val="00AE619E"/>
    <w:rsid w:val="00AE6CCD"/>
    <w:rsid w:val="00AE6E7D"/>
    <w:rsid w:val="00AF037F"/>
    <w:rsid w:val="00AF067E"/>
    <w:rsid w:val="00AF10D8"/>
    <w:rsid w:val="00AF27DD"/>
    <w:rsid w:val="00AF29BF"/>
    <w:rsid w:val="00AF3C51"/>
    <w:rsid w:val="00AF40CE"/>
    <w:rsid w:val="00AF472B"/>
    <w:rsid w:val="00AF4DD7"/>
    <w:rsid w:val="00AF5325"/>
    <w:rsid w:val="00AF54A8"/>
    <w:rsid w:val="00AF576B"/>
    <w:rsid w:val="00AF57E3"/>
    <w:rsid w:val="00AF64D5"/>
    <w:rsid w:val="00AF6FED"/>
    <w:rsid w:val="00B0015A"/>
    <w:rsid w:val="00B0136F"/>
    <w:rsid w:val="00B02254"/>
    <w:rsid w:val="00B03174"/>
    <w:rsid w:val="00B04C6D"/>
    <w:rsid w:val="00B04DCA"/>
    <w:rsid w:val="00B050E7"/>
    <w:rsid w:val="00B057B6"/>
    <w:rsid w:val="00B063EA"/>
    <w:rsid w:val="00B0750E"/>
    <w:rsid w:val="00B076A1"/>
    <w:rsid w:val="00B10326"/>
    <w:rsid w:val="00B106E9"/>
    <w:rsid w:val="00B10BAD"/>
    <w:rsid w:val="00B10C8B"/>
    <w:rsid w:val="00B112A4"/>
    <w:rsid w:val="00B118AB"/>
    <w:rsid w:val="00B119EF"/>
    <w:rsid w:val="00B122CC"/>
    <w:rsid w:val="00B123A6"/>
    <w:rsid w:val="00B1243A"/>
    <w:rsid w:val="00B14DC9"/>
    <w:rsid w:val="00B150D2"/>
    <w:rsid w:val="00B15829"/>
    <w:rsid w:val="00B15F88"/>
    <w:rsid w:val="00B16E59"/>
    <w:rsid w:val="00B1743C"/>
    <w:rsid w:val="00B17849"/>
    <w:rsid w:val="00B17F9B"/>
    <w:rsid w:val="00B2187C"/>
    <w:rsid w:val="00B22853"/>
    <w:rsid w:val="00B22E4B"/>
    <w:rsid w:val="00B244A2"/>
    <w:rsid w:val="00B24A46"/>
    <w:rsid w:val="00B24D38"/>
    <w:rsid w:val="00B26055"/>
    <w:rsid w:val="00B26686"/>
    <w:rsid w:val="00B27531"/>
    <w:rsid w:val="00B27F20"/>
    <w:rsid w:val="00B30B3D"/>
    <w:rsid w:val="00B312A1"/>
    <w:rsid w:val="00B32027"/>
    <w:rsid w:val="00B323DF"/>
    <w:rsid w:val="00B328E2"/>
    <w:rsid w:val="00B32D93"/>
    <w:rsid w:val="00B33CAD"/>
    <w:rsid w:val="00B34AC2"/>
    <w:rsid w:val="00B355DC"/>
    <w:rsid w:val="00B3568B"/>
    <w:rsid w:val="00B363A8"/>
    <w:rsid w:val="00B365D7"/>
    <w:rsid w:val="00B36AB0"/>
    <w:rsid w:val="00B36C07"/>
    <w:rsid w:val="00B36D11"/>
    <w:rsid w:val="00B36D8B"/>
    <w:rsid w:val="00B40542"/>
    <w:rsid w:val="00B407FD"/>
    <w:rsid w:val="00B418F5"/>
    <w:rsid w:val="00B41D8F"/>
    <w:rsid w:val="00B41FEF"/>
    <w:rsid w:val="00B421E6"/>
    <w:rsid w:val="00B4281D"/>
    <w:rsid w:val="00B43145"/>
    <w:rsid w:val="00B43163"/>
    <w:rsid w:val="00B43A21"/>
    <w:rsid w:val="00B43A65"/>
    <w:rsid w:val="00B44F00"/>
    <w:rsid w:val="00B44FF4"/>
    <w:rsid w:val="00B4565F"/>
    <w:rsid w:val="00B476E2"/>
    <w:rsid w:val="00B47BBE"/>
    <w:rsid w:val="00B502F2"/>
    <w:rsid w:val="00B51900"/>
    <w:rsid w:val="00B51FBE"/>
    <w:rsid w:val="00B520A7"/>
    <w:rsid w:val="00B52E71"/>
    <w:rsid w:val="00B5429D"/>
    <w:rsid w:val="00B54A5A"/>
    <w:rsid w:val="00B54AC7"/>
    <w:rsid w:val="00B55027"/>
    <w:rsid w:val="00B5512E"/>
    <w:rsid w:val="00B556FF"/>
    <w:rsid w:val="00B558E9"/>
    <w:rsid w:val="00B567FD"/>
    <w:rsid w:val="00B56AEF"/>
    <w:rsid w:val="00B57213"/>
    <w:rsid w:val="00B5738F"/>
    <w:rsid w:val="00B57499"/>
    <w:rsid w:val="00B60F02"/>
    <w:rsid w:val="00B611B6"/>
    <w:rsid w:val="00B611ED"/>
    <w:rsid w:val="00B6199C"/>
    <w:rsid w:val="00B61B29"/>
    <w:rsid w:val="00B62734"/>
    <w:rsid w:val="00B62AFF"/>
    <w:rsid w:val="00B62BF2"/>
    <w:rsid w:val="00B64D2A"/>
    <w:rsid w:val="00B650F6"/>
    <w:rsid w:val="00B65619"/>
    <w:rsid w:val="00B662C4"/>
    <w:rsid w:val="00B668B1"/>
    <w:rsid w:val="00B66EA6"/>
    <w:rsid w:val="00B671B2"/>
    <w:rsid w:val="00B67D1D"/>
    <w:rsid w:val="00B7004D"/>
    <w:rsid w:val="00B70D4F"/>
    <w:rsid w:val="00B733D1"/>
    <w:rsid w:val="00B735BC"/>
    <w:rsid w:val="00B736B1"/>
    <w:rsid w:val="00B740F2"/>
    <w:rsid w:val="00B74815"/>
    <w:rsid w:val="00B75FF5"/>
    <w:rsid w:val="00B766E4"/>
    <w:rsid w:val="00B76DCF"/>
    <w:rsid w:val="00B77C1D"/>
    <w:rsid w:val="00B80B6F"/>
    <w:rsid w:val="00B816DE"/>
    <w:rsid w:val="00B832A5"/>
    <w:rsid w:val="00B83BB1"/>
    <w:rsid w:val="00B8445E"/>
    <w:rsid w:val="00B85146"/>
    <w:rsid w:val="00B8591E"/>
    <w:rsid w:val="00B85D04"/>
    <w:rsid w:val="00B869E9"/>
    <w:rsid w:val="00B86DDA"/>
    <w:rsid w:val="00B8731A"/>
    <w:rsid w:val="00B876FD"/>
    <w:rsid w:val="00B87E75"/>
    <w:rsid w:val="00B9129A"/>
    <w:rsid w:val="00B919BD"/>
    <w:rsid w:val="00B91E55"/>
    <w:rsid w:val="00B92DD1"/>
    <w:rsid w:val="00B932EE"/>
    <w:rsid w:val="00B9402D"/>
    <w:rsid w:val="00B941FD"/>
    <w:rsid w:val="00B94FC1"/>
    <w:rsid w:val="00B950A0"/>
    <w:rsid w:val="00B952BE"/>
    <w:rsid w:val="00B9561C"/>
    <w:rsid w:val="00B96E62"/>
    <w:rsid w:val="00B978C7"/>
    <w:rsid w:val="00B97F69"/>
    <w:rsid w:val="00BA03D9"/>
    <w:rsid w:val="00BA092A"/>
    <w:rsid w:val="00BA1567"/>
    <w:rsid w:val="00BA2C17"/>
    <w:rsid w:val="00BA2E7F"/>
    <w:rsid w:val="00BA332D"/>
    <w:rsid w:val="00BA48C6"/>
    <w:rsid w:val="00BA49D5"/>
    <w:rsid w:val="00BA4D10"/>
    <w:rsid w:val="00BA5DED"/>
    <w:rsid w:val="00BA6FAD"/>
    <w:rsid w:val="00BA7321"/>
    <w:rsid w:val="00BA75C9"/>
    <w:rsid w:val="00BB022E"/>
    <w:rsid w:val="00BB0FDC"/>
    <w:rsid w:val="00BB190A"/>
    <w:rsid w:val="00BB259E"/>
    <w:rsid w:val="00BB32D0"/>
    <w:rsid w:val="00BB3C1A"/>
    <w:rsid w:val="00BB3ED7"/>
    <w:rsid w:val="00BB3FCD"/>
    <w:rsid w:val="00BB41D3"/>
    <w:rsid w:val="00BB4641"/>
    <w:rsid w:val="00BB4FDF"/>
    <w:rsid w:val="00BB5225"/>
    <w:rsid w:val="00BB57CC"/>
    <w:rsid w:val="00BB65A6"/>
    <w:rsid w:val="00BB698A"/>
    <w:rsid w:val="00BB6A12"/>
    <w:rsid w:val="00BB76D2"/>
    <w:rsid w:val="00BB7731"/>
    <w:rsid w:val="00BB7EDB"/>
    <w:rsid w:val="00BC08F5"/>
    <w:rsid w:val="00BC1B34"/>
    <w:rsid w:val="00BC2C73"/>
    <w:rsid w:val="00BC2D5E"/>
    <w:rsid w:val="00BC34CB"/>
    <w:rsid w:val="00BC40B3"/>
    <w:rsid w:val="00BC4203"/>
    <w:rsid w:val="00BC4BA0"/>
    <w:rsid w:val="00BC533A"/>
    <w:rsid w:val="00BC5BFF"/>
    <w:rsid w:val="00BC5C92"/>
    <w:rsid w:val="00BC65AF"/>
    <w:rsid w:val="00BC7065"/>
    <w:rsid w:val="00BC7561"/>
    <w:rsid w:val="00BC7719"/>
    <w:rsid w:val="00BD0549"/>
    <w:rsid w:val="00BD0DCE"/>
    <w:rsid w:val="00BD10B5"/>
    <w:rsid w:val="00BD1963"/>
    <w:rsid w:val="00BD1C7A"/>
    <w:rsid w:val="00BD28D1"/>
    <w:rsid w:val="00BD2CD6"/>
    <w:rsid w:val="00BD3528"/>
    <w:rsid w:val="00BD35E7"/>
    <w:rsid w:val="00BD3989"/>
    <w:rsid w:val="00BD4188"/>
    <w:rsid w:val="00BD4531"/>
    <w:rsid w:val="00BD46F8"/>
    <w:rsid w:val="00BD581F"/>
    <w:rsid w:val="00BD5B28"/>
    <w:rsid w:val="00BD6785"/>
    <w:rsid w:val="00BD6ACB"/>
    <w:rsid w:val="00BD6B2A"/>
    <w:rsid w:val="00BD6E9B"/>
    <w:rsid w:val="00BD75D9"/>
    <w:rsid w:val="00BD7752"/>
    <w:rsid w:val="00BD7AC0"/>
    <w:rsid w:val="00BD7D2A"/>
    <w:rsid w:val="00BE139B"/>
    <w:rsid w:val="00BE2106"/>
    <w:rsid w:val="00BE2130"/>
    <w:rsid w:val="00BE2796"/>
    <w:rsid w:val="00BE3360"/>
    <w:rsid w:val="00BE4161"/>
    <w:rsid w:val="00BE41B5"/>
    <w:rsid w:val="00BE7A10"/>
    <w:rsid w:val="00BE7E72"/>
    <w:rsid w:val="00BF0800"/>
    <w:rsid w:val="00BF260D"/>
    <w:rsid w:val="00BF2FC9"/>
    <w:rsid w:val="00BF3A5F"/>
    <w:rsid w:val="00BF3C18"/>
    <w:rsid w:val="00BF48B7"/>
    <w:rsid w:val="00BF5BF5"/>
    <w:rsid w:val="00BF62AF"/>
    <w:rsid w:val="00BF65DF"/>
    <w:rsid w:val="00BF67B2"/>
    <w:rsid w:val="00BF6FEB"/>
    <w:rsid w:val="00BF793C"/>
    <w:rsid w:val="00C02DC6"/>
    <w:rsid w:val="00C0320D"/>
    <w:rsid w:val="00C032B9"/>
    <w:rsid w:val="00C05824"/>
    <w:rsid w:val="00C05BBC"/>
    <w:rsid w:val="00C05CC1"/>
    <w:rsid w:val="00C05ED6"/>
    <w:rsid w:val="00C11082"/>
    <w:rsid w:val="00C120E1"/>
    <w:rsid w:val="00C126EE"/>
    <w:rsid w:val="00C12899"/>
    <w:rsid w:val="00C13077"/>
    <w:rsid w:val="00C13663"/>
    <w:rsid w:val="00C14642"/>
    <w:rsid w:val="00C14773"/>
    <w:rsid w:val="00C15FFE"/>
    <w:rsid w:val="00C16645"/>
    <w:rsid w:val="00C17990"/>
    <w:rsid w:val="00C17CD0"/>
    <w:rsid w:val="00C17DD2"/>
    <w:rsid w:val="00C17FB6"/>
    <w:rsid w:val="00C218C4"/>
    <w:rsid w:val="00C21B45"/>
    <w:rsid w:val="00C21C6B"/>
    <w:rsid w:val="00C22198"/>
    <w:rsid w:val="00C22DA8"/>
    <w:rsid w:val="00C22F0F"/>
    <w:rsid w:val="00C24392"/>
    <w:rsid w:val="00C2478F"/>
    <w:rsid w:val="00C2480F"/>
    <w:rsid w:val="00C24F9A"/>
    <w:rsid w:val="00C253E9"/>
    <w:rsid w:val="00C255E7"/>
    <w:rsid w:val="00C25B85"/>
    <w:rsid w:val="00C25C4B"/>
    <w:rsid w:val="00C2793E"/>
    <w:rsid w:val="00C27E57"/>
    <w:rsid w:val="00C27F36"/>
    <w:rsid w:val="00C27FA8"/>
    <w:rsid w:val="00C30866"/>
    <w:rsid w:val="00C30B0B"/>
    <w:rsid w:val="00C31050"/>
    <w:rsid w:val="00C313A0"/>
    <w:rsid w:val="00C31B97"/>
    <w:rsid w:val="00C32D3D"/>
    <w:rsid w:val="00C33B31"/>
    <w:rsid w:val="00C33D9B"/>
    <w:rsid w:val="00C357A5"/>
    <w:rsid w:val="00C36C5C"/>
    <w:rsid w:val="00C3720A"/>
    <w:rsid w:val="00C37426"/>
    <w:rsid w:val="00C37EBC"/>
    <w:rsid w:val="00C4049B"/>
    <w:rsid w:val="00C404D6"/>
    <w:rsid w:val="00C407F2"/>
    <w:rsid w:val="00C40BC9"/>
    <w:rsid w:val="00C40C98"/>
    <w:rsid w:val="00C411B4"/>
    <w:rsid w:val="00C41792"/>
    <w:rsid w:val="00C41956"/>
    <w:rsid w:val="00C41EA5"/>
    <w:rsid w:val="00C431F1"/>
    <w:rsid w:val="00C4340D"/>
    <w:rsid w:val="00C4460C"/>
    <w:rsid w:val="00C45021"/>
    <w:rsid w:val="00C45316"/>
    <w:rsid w:val="00C4634C"/>
    <w:rsid w:val="00C46600"/>
    <w:rsid w:val="00C468DD"/>
    <w:rsid w:val="00C4693D"/>
    <w:rsid w:val="00C46AAE"/>
    <w:rsid w:val="00C47D59"/>
    <w:rsid w:val="00C50807"/>
    <w:rsid w:val="00C5082F"/>
    <w:rsid w:val="00C50F13"/>
    <w:rsid w:val="00C5146B"/>
    <w:rsid w:val="00C51ACE"/>
    <w:rsid w:val="00C532F0"/>
    <w:rsid w:val="00C53572"/>
    <w:rsid w:val="00C536DB"/>
    <w:rsid w:val="00C537DD"/>
    <w:rsid w:val="00C53A6F"/>
    <w:rsid w:val="00C541B1"/>
    <w:rsid w:val="00C54A9A"/>
    <w:rsid w:val="00C54AFF"/>
    <w:rsid w:val="00C54B2E"/>
    <w:rsid w:val="00C54D79"/>
    <w:rsid w:val="00C551D5"/>
    <w:rsid w:val="00C559E9"/>
    <w:rsid w:val="00C55DB0"/>
    <w:rsid w:val="00C563B1"/>
    <w:rsid w:val="00C57169"/>
    <w:rsid w:val="00C576F2"/>
    <w:rsid w:val="00C60788"/>
    <w:rsid w:val="00C60CF7"/>
    <w:rsid w:val="00C62306"/>
    <w:rsid w:val="00C62734"/>
    <w:rsid w:val="00C62C5D"/>
    <w:rsid w:val="00C63BED"/>
    <w:rsid w:val="00C64623"/>
    <w:rsid w:val="00C64C94"/>
    <w:rsid w:val="00C655C8"/>
    <w:rsid w:val="00C66427"/>
    <w:rsid w:val="00C67EFD"/>
    <w:rsid w:val="00C7050E"/>
    <w:rsid w:val="00C70A68"/>
    <w:rsid w:val="00C70F4B"/>
    <w:rsid w:val="00C71574"/>
    <w:rsid w:val="00C71A01"/>
    <w:rsid w:val="00C71C3C"/>
    <w:rsid w:val="00C72D32"/>
    <w:rsid w:val="00C73E61"/>
    <w:rsid w:val="00C7461D"/>
    <w:rsid w:val="00C76261"/>
    <w:rsid w:val="00C76790"/>
    <w:rsid w:val="00C76D36"/>
    <w:rsid w:val="00C775B7"/>
    <w:rsid w:val="00C80893"/>
    <w:rsid w:val="00C81213"/>
    <w:rsid w:val="00C8231E"/>
    <w:rsid w:val="00C832E7"/>
    <w:rsid w:val="00C8408A"/>
    <w:rsid w:val="00C8443A"/>
    <w:rsid w:val="00C8552F"/>
    <w:rsid w:val="00C85873"/>
    <w:rsid w:val="00C858E3"/>
    <w:rsid w:val="00C85A3D"/>
    <w:rsid w:val="00C85AE2"/>
    <w:rsid w:val="00C85E0C"/>
    <w:rsid w:val="00C8659B"/>
    <w:rsid w:val="00C872C6"/>
    <w:rsid w:val="00C90044"/>
    <w:rsid w:val="00C90BFA"/>
    <w:rsid w:val="00C90F4F"/>
    <w:rsid w:val="00C913AA"/>
    <w:rsid w:val="00C91FDB"/>
    <w:rsid w:val="00C928F0"/>
    <w:rsid w:val="00C92EBB"/>
    <w:rsid w:val="00C93FA3"/>
    <w:rsid w:val="00C94BA8"/>
    <w:rsid w:val="00C94CB9"/>
    <w:rsid w:val="00C95D16"/>
    <w:rsid w:val="00C95EBE"/>
    <w:rsid w:val="00C963C5"/>
    <w:rsid w:val="00C9652E"/>
    <w:rsid w:val="00C96E5F"/>
    <w:rsid w:val="00C9718A"/>
    <w:rsid w:val="00C979AD"/>
    <w:rsid w:val="00C97C39"/>
    <w:rsid w:val="00CA057B"/>
    <w:rsid w:val="00CA1D18"/>
    <w:rsid w:val="00CA22D0"/>
    <w:rsid w:val="00CA41FF"/>
    <w:rsid w:val="00CA512E"/>
    <w:rsid w:val="00CA5A16"/>
    <w:rsid w:val="00CA5C2F"/>
    <w:rsid w:val="00CA6838"/>
    <w:rsid w:val="00CB0105"/>
    <w:rsid w:val="00CB0430"/>
    <w:rsid w:val="00CB1E81"/>
    <w:rsid w:val="00CB24A7"/>
    <w:rsid w:val="00CB333B"/>
    <w:rsid w:val="00CB3BEA"/>
    <w:rsid w:val="00CB3D70"/>
    <w:rsid w:val="00CB4315"/>
    <w:rsid w:val="00CB43D1"/>
    <w:rsid w:val="00CB4B0D"/>
    <w:rsid w:val="00CB4BD9"/>
    <w:rsid w:val="00CB4FFC"/>
    <w:rsid w:val="00CB76BB"/>
    <w:rsid w:val="00CB77D0"/>
    <w:rsid w:val="00CB79C7"/>
    <w:rsid w:val="00CB7F91"/>
    <w:rsid w:val="00CC1123"/>
    <w:rsid w:val="00CC288F"/>
    <w:rsid w:val="00CC6296"/>
    <w:rsid w:val="00CC6357"/>
    <w:rsid w:val="00CC6F47"/>
    <w:rsid w:val="00CD04BA"/>
    <w:rsid w:val="00CD0F4F"/>
    <w:rsid w:val="00CD23D7"/>
    <w:rsid w:val="00CD2924"/>
    <w:rsid w:val="00CD2E63"/>
    <w:rsid w:val="00CD3AA4"/>
    <w:rsid w:val="00CD3EFF"/>
    <w:rsid w:val="00CD4DBB"/>
    <w:rsid w:val="00CD559D"/>
    <w:rsid w:val="00CD5BF2"/>
    <w:rsid w:val="00CD672F"/>
    <w:rsid w:val="00CD763B"/>
    <w:rsid w:val="00CD7F7B"/>
    <w:rsid w:val="00CD7FB9"/>
    <w:rsid w:val="00CE09A6"/>
    <w:rsid w:val="00CE1367"/>
    <w:rsid w:val="00CE138A"/>
    <w:rsid w:val="00CE1FB8"/>
    <w:rsid w:val="00CE2EC4"/>
    <w:rsid w:val="00CE332B"/>
    <w:rsid w:val="00CE5759"/>
    <w:rsid w:val="00CE66D8"/>
    <w:rsid w:val="00CF04A4"/>
    <w:rsid w:val="00CF0A1F"/>
    <w:rsid w:val="00CF0AFC"/>
    <w:rsid w:val="00CF0D76"/>
    <w:rsid w:val="00CF0E66"/>
    <w:rsid w:val="00CF110F"/>
    <w:rsid w:val="00CF1310"/>
    <w:rsid w:val="00CF241B"/>
    <w:rsid w:val="00CF35ED"/>
    <w:rsid w:val="00CF4B4C"/>
    <w:rsid w:val="00CF5B3B"/>
    <w:rsid w:val="00CF71D8"/>
    <w:rsid w:val="00CF73A5"/>
    <w:rsid w:val="00CF77D2"/>
    <w:rsid w:val="00CF78CA"/>
    <w:rsid w:val="00D0015C"/>
    <w:rsid w:val="00D00280"/>
    <w:rsid w:val="00D00A7A"/>
    <w:rsid w:val="00D01277"/>
    <w:rsid w:val="00D0142A"/>
    <w:rsid w:val="00D01894"/>
    <w:rsid w:val="00D01E93"/>
    <w:rsid w:val="00D02869"/>
    <w:rsid w:val="00D029F5"/>
    <w:rsid w:val="00D03A05"/>
    <w:rsid w:val="00D03BFA"/>
    <w:rsid w:val="00D04EA6"/>
    <w:rsid w:val="00D058D5"/>
    <w:rsid w:val="00D0630A"/>
    <w:rsid w:val="00D06476"/>
    <w:rsid w:val="00D06FA4"/>
    <w:rsid w:val="00D0729F"/>
    <w:rsid w:val="00D103C7"/>
    <w:rsid w:val="00D11051"/>
    <w:rsid w:val="00D11E74"/>
    <w:rsid w:val="00D12DDB"/>
    <w:rsid w:val="00D13049"/>
    <w:rsid w:val="00D14B17"/>
    <w:rsid w:val="00D15190"/>
    <w:rsid w:val="00D1692C"/>
    <w:rsid w:val="00D17655"/>
    <w:rsid w:val="00D178BC"/>
    <w:rsid w:val="00D202DC"/>
    <w:rsid w:val="00D20E1C"/>
    <w:rsid w:val="00D2106A"/>
    <w:rsid w:val="00D2218B"/>
    <w:rsid w:val="00D23396"/>
    <w:rsid w:val="00D235B1"/>
    <w:rsid w:val="00D240AE"/>
    <w:rsid w:val="00D248B3"/>
    <w:rsid w:val="00D2506B"/>
    <w:rsid w:val="00D2526A"/>
    <w:rsid w:val="00D25F67"/>
    <w:rsid w:val="00D264B2"/>
    <w:rsid w:val="00D26A80"/>
    <w:rsid w:val="00D26AE6"/>
    <w:rsid w:val="00D26C6D"/>
    <w:rsid w:val="00D26EA4"/>
    <w:rsid w:val="00D27FF6"/>
    <w:rsid w:val="00D30EFA"/>
    <w:rsid w:val="00D31D2F"/>
    <w:rsid w:val="00D31E59"/>
    <w:rsid w:val="00D33263"/>
    <w:rsid w:val="00D33CB2"/>
    <w:rsid w:val="00D34334"/>
    <w:rsid w:val="00D34DB8"/>
    <w:rsid w:val="00D357FD"/>
    <w:rsid w:val="00D36EFB"/>
    <w:rsid w:val="00D37176"/>
    <w:rsid w:val="00D40114"/>
    <w:rsid w:val="00D405DC"/>
    <w:rsid w:val="00D41529"/>
    <w:rsid w:val="00D427B8"/>
    <w:rsid w:val="00D42B45"/>
    <w:rsid w:val="00D42B91"/>
    <w:rsid w:val="00D42F1B"/>
    <w:rsid w:val="00D43B9E"/>
    <w:rsid w:val="00D44237"/>
    <w:rsid w:val="00D4465F"/>
    <w:rsid w:val="00D45238"/>
    <w:rsid w:val="00D456B4"/>
    <w:rsid w:val="00D45F95"/>
    <w:rsid w:val="00D46D42"/>
    <w:rsid w:val="00D4728E"/>
    <w:rsid w:val="00D472A2"/>
    <w:rsid w:val="00D508B5"/>
    <w:rsid w:val="00D50B66"/>
    <w:rsid w:val="00D50F28"/>
    <w:rsid w:val="00D51413"/>
    <w:rsid w:val="00D521EF"/>
    <w:rsid w:val="00D525A3"/>
    <w:rsid w:val="00D52AB2"/>
    <w:rsid w:val="00D53862"/>
    <w:rsid w:val="00D53D60"/>
    <w:rsid w:val="00D54137"/>
    <w:rsid w:val="00D54BFF"/>
    <w:rsid w:val="00D55A19"/>
    <w:rsid w:val="00D55CC8"/>
    <w:rsid w:val="00D55EE0"/>
    <w:rsid w:val="00D5683C"/>
    <w:rsid w:val="00D57182"/>
    <w:rsid w:val="00D57E1D"/>
    <w:rsid w:val="00D60035"/>
    <w:rsid w:val="00D60849"/>
    <w:rsid w:val="00D60D38"/>
    <w:rsid w:val="00D62A74"/>
    <w:rsid w:val="00D63243"/>
    <w:rsid w:val="00D63852"/>
    <w:rsid w:val="00D63FE1"/>
    <w:rsid w:val="00D64C07"/>
    <w:rsid w:val="00D65240"/>
    <w:rsid w:val="00D6546C"/>
    <w:rsid w:val="00D65574"/>
    <w:rsid w:val="00D65836"/>
    <w:rsid w:val="00D65B3E"/>
    <w:rsid w:val="00D65EF3"/>
    <w:rsid w:val="00D6744C"/>
    <w:rsid w:val="00D67669"/>
    <w:rsid w:val="00D67A3E"/>
    <w:rsid w:val="00D67B23"/>
    <w:rsid w:val="00D67E11"/>
    <w:rsid w:val="00D67E1D"/>
    <w:rsid w:val="00D71579"/>
    <w:rsid w:val="00D71E5E"/>
    <w:rsid w:val="00D73C77"/>
    <w:rsid w:val="00D7498E"/>
    <w:rsid w:val="00D75D51"/>
    <w:rsid w:val="00D760C8"/>
    <w:rsid w:val="00D76B72"/>
    <w:rsid w:val="00D8021F"/>
    <w:rsid w:val="00D81629"/>
    <w:rsid w:val="00D817E8"/>
    <w:rsid w:val="00D830B9"/>
    <w:rsid w:val="00D8353A"/>
    <w:rsid w:val="00D8376E"/>
    <w:rsid w:val="00D85DA3"/>
    <w:rsid w:val="00D85F4D"/>
    <w:rsid w:val="00D86E1C"/>
    <w:rsid w:val="00D87170"/>
    <w:rsid w:val="00D872B8"/>
    <w:rsid w:val="00D90EBC"/>
    <w:rsid w:val="00D9144A"/>
    <w:rsid w:val="00D92622"/>
    <w:rsid w:val="00D92DFA"/>
    <w:rsid w:val="00D93612"/>
    <w:rsid w:val="00D937BD"/>
    <w:rsid w:val="00D94189"/>
    <w:rsid w:val="00D9464E"/>
    <w:rsid w:val="00D95B55"/>
    <w:rsid w:val="00D95F88"/>
    <w:rsid w:val="00D96107"/>
    <w:rsid w:val="00D96677"/>
    <w:rsid w:val="00D96AD9"/>
    <w:rsid w:val="00D97686"/>
    <w:rsid w:val="00DA03BB"/>
    <w:rsid w:val="00DA0D4F"/>
    <w:rsid w:val="00DA2065"/>
    <w:rsid w:val="00DA254C"/>
    <w:rsid w:val="00DA284D"/>
    <w:rsid w:val="00DA2AAC"/>
    <w:rsid w:val="00DA2BBC"/>
    <w:rsid w:val="00DA3D54"/>
    <w:rsid w:val="00DA3FA8"/>
    <w:rsid w:val="00DA54E7"/>
    <w:rsid w:val="00DA5558"/>
    <w:rsid w:val="00DA60A2"/>
    <w:rsid w:val="00DA6421"/>
    <w:rsid w:val="00DA6D2E"/>
    <w:rsid w:val="00DA6D42"/>
    <w:rsid w:val="00DA7BB2"/>
    <w:rsid w:val="00DA7D37"/>
    <w:rsid w:val="00DA7DBD"/>
    <w:rsid w:val="00DB00E1"/>
    <w:rsid w:val="00DB0982"/>
    <w:rsid w:val="00DB0FD0"/>
    <w:rsid w:val="00DB1DD6"/>
    <w:rsid w:val="00DB1EC6"/>
    <w:rsid w:val="00DB2264"/>
    <w:rsid w:val="00DB27F2"/>
    <w:rsid w:val="00DB2A16"/>
    <w:rsid w:val="00DB2BAA"/>
    <w:rsid w:val="00DB4329"/>
    <w:rsid w:val="00DB4DCD"/>
    <w:rsid w:val="00DB5773"/>
    <w:rsid w:val="00DB61C0"/>
    <w:rsid w:val="00DB66E0"/>
    <w:rsid w:val="00DB6D18"/>
    <w:rsid w:val="00DB77F7"/>
    <w:rsid w:val="00DB7C1B"/>
    <w:rsid w:val="00DC0624"/>
    <w:rsid w:val="00DC0729"/>
    <w:rsid w:val="00DC0A9F"/>
    <w:rsid w:val="00DC0B8F"/>
    <w:rsid w:val="00DC1715"/>
    <w:rsid w:val="00DC18D3"/>
    <w:rsid w:val="00DC2A00"/>
    <w:rsid w:val="00DC35B9"/>
    <w:rsid w:val="00DC383C"/>
    <w:rsid w:val="00DC4186"/>
    <w:rsid w:val="00DC4D19"/>
    <w:rsid w:val="00DC6417"/>
    <w:rsid w:val="00DC6E17"/>
    <w:rsid w:val="00DC772C"/>
    <w:rsid w:val="00DC7D5B"/>
    <w:rsid w:val="00DD04FC"/>
    <w:rsid w:val="00DD0F2E"/>
    <w:rsid w:val="00DD101F"/>
    <w:rsid w:val="00DD17E0"/>
    <w:rsid w:val="00DD1828"/>
    <w:rsid w:val="00DD23E8"/>
    <w:rsid w:val="00DD25F0"/>
    <w:rsid w:val="00DD269E"/>
    <w:rsid w:val="00DD35E3"/>
    <w:rsid w:val="00DD37AC"/>
    <w:rsid w:val="00DD62D8"/>
    <w:rsid w:val="00DD6BAA"/>
    <w:rsid w:val="00DD70DB"/>
    <w:rsid w:val="00DD7A1E"/>
    <w:rsid w:val="00DE02E1"/>
    <w:rsid w:val="00DE03AC"/>
    <w:rsid w:val="00DE1059"/>
    <w:rsid w:val="00DE2098"/>
    <w:rsid w:val="00DE26EF"/>
    <w:rsid w:val="00DE2918"/>
    <w:rsid w:val="00DE3C19"/>
    <w:rsid w:val="00DE3DDB"/>
    <w:rsid w:val="00DE41EC"/>
    <w:rsid w:val="00DE4635"/>
    <w:rsid w:val="00DE5633"/>
    <w:rsid w:val="00DE6283"/>
    <w:rsid w:val="00DE6294"/>
    <w:rsid w:val="00DE634B"/>
    <w:rsid w:val="00DE6379"/>
    <w:rsid w:val="00DE65EC"/>
    <w:rsid w:val="00DE6E92"/>
    <w:rsid w:val="00DE6FA3"/>
    <w:rsid w:val="00DE7600"/>
    <w:rsid w:val="00DE7E1E"/>
    <w:rsid w:val="00DE7F1C"/>
    <w:rsid w:val="00DF0CB4"/>
    <w:rsid w:val="00DF0E6F"/>
    <w:rsid w:val="00DF0FD2"/>
    <w:rsid w:val="00DF12F3"/>
    <w:rsid w:val="00DF3830"/>
    <w:rsid w:val="00DF3FCF"/>
    <w:rsid w:val="00DF4C62"/>
    <w:rsid w:val="00DF5384"/>
    <w:rsid w:val="00DF53AD"/>
    <w:rsid w:val="00DF5BF8"/>
    <w:rsid w:val="00DF6518"/>
    <w:rsid w:val="00DF66BD"/>
    <w:rsid w:val="00DF6862"/>
    <w:rsid w:val="00DF6C54"/>
    <w:rsid w:val="00DF70E2"/>
    <w:rsid w:val="00E006FC"/>
    <w:rsid w:val="00E008A6"/>
    <w:rsid w:val="00E00DF6"/>
    <w:rsid w:val="00E012DD"/>
    <w:rsid w:val="00E02076"/>
    <w:rsid w:val="00E02B26"/>
    <w:rsid w:val="00E02E0E"/>
    <w:rsid w:val="00E0313A"/>
    <w:rsid w:val="00E035EB"/>
    <w:rsid w:val="00E03CF7"/>
    <w:rsid w:val="00E03E22"/>
    <w:rsid w:val="00E0495E"/>
    <w:rsid w:val="00E04A2F"/>
    <w:rsid w:val="00E0694A"/>
    <w:rsid w:val="00E06C94"/>
    <w:rsid w:val="00E06D0A"/>
    <w:rsid w:val="00E0725C"/>
    <w:rsid w:val="00E07382"/>
    <w:rsid w:val="00E10281"/>
    <w:rsid w:val="00E11FA1"/>
    <w:rsid w:val="00E1213F"/>
    <w:rsid w:val="00E12302"/>
    <w:rsid w:val="00E12DD4"/>
    <w:rsid w:val="00E13E80"/>
    <w:rsid w:val="00E156C7"/>
    <w:rsid w:val="00E163CB"/>
    <w:rsid w:val="00E166BD"/>
    <w:rsid w:val="00E175FA"/>
    <w:rsid w:val="00E217A9"/>
    <w:rsid w:val="00E2221E"/>
    <w:rsid w:val="00E22557"/>
    <w:rsid w:val="00E226A1"/>
    <w:rsid w:val="00E22A69"/>
    <w:rsid w:val="00E22AE1"/>
    <w:rsid w:val="00E22DE1"/>
    <w:rsid w:val="00E22F0A"/>
    <w:rsid w:val="00E2478E"/>
    <w:rsid w:val="00E24A92"/>
    <w:rsid w:val="00E25550"/>
    <w:rsid w:val="00E26336"/>
    <w:rsid w:val="00E273D9"/>
    <w:rsid w:val="00E306CB"/>
    <w:rsid w:val="00E30AEE"/>
    <w:rsid w:val="00E315CB"/>
    <w:rsid w:val="00E31D71"/>
    <w:rsid w:val="00E32589"/>
    <w:rsid w:val="00E32C8D"/>
    <w:rsid w:val="00E33255"/>
    <w:rsid w:val="00E3340A"/>
    <w:rsid w:val="00E33B1D"/>
    <w:rsid w:val="00E33BED"/>
    <w:rsid w:val="00E3412F"/>
    <w:rsid w:val="00E344B7"/>
    <w:rsid w:val="00E34B55"/>
    <w:rsid w:val="00E35DFB"/>
    <w:rsid w:val="00E36609"/>
    <w:rsid w:val="00E366AE"/>
    <w:rsid w:val="00E36B78"/>
    <w:rsid w:val="00E372CF"/>
    <w:rsid w:val="00E37412"/>
    <w:rsid w:val="00E374D8"/>
    <w:rsid w:val="00E37633"/>
    <w:rsid w:val="00E40A20"/>
    <w:rsid w:val="00E41032"/>
    <w:rsid w:val="00E416FF"/>
    <w:rsid w:val="00E42439"/>
    <w:rsid w:val="00E447B4"/>
    <w:rsid w:val="00E44918"/>
    <w:rsid w:val="00E4498A"/>
    <w:rsid w:val="00E44BF8"/>
    <w:rsid w:val="00E463A7"/>
    <w:rsid w:val="00E470AC"/>
    <w:rsid w:val="00E47B11"/>
    <w:rsid w:val="00E506F3"/>
    <w:rsid w:val="00E50BCE"/>
    <w:rsid w:val="00E50E7D"/>
    <w:rsid w:val="00E51F0E"/>
    <w:rsid w:val="00E52127"/>
    <w:rsid w:val="00E522BE"/>
    <w:rsid w:val="00E52B01"/>
    <w:rsid w:val="00E52F45"/>
    <w:rsid w:val="00E54634"/>
    <w:rsid w:val="00E546B2"/>
    <w:rsid w:val="00E5492B"/>
    <w:rsid w:val="00E54DD1"/>
    <w:rsid w:val="00E567DB"/>
    <w:rsid w:val="00E56B58"/>
    <w:rsid w:val="00E57605"/>
    <w:rsid w:val="00E60405"/>
    <w:rsid w:val="00E60954"/>
    <w:rsid w:val="00E623F8"/>
    <w:rsid w:val="00E62B93"/>
    <w:rsid w:val="00E63284"/>
    <w:rsid w:val="00E6359F"/>
    <w:rsid w:val="00E63683"/>
    <w:rsid w:val="00E639D0"/>
    <w:rsid w:val="00E63CC2"/>
    <w:rsid w:val="00E63D16"/>
    <w:rsid w:val="00E63EC9"/>
    <w:rsid w:val="00E6458B"/>
    <w:rsid w:val="00E64677"/>
    <w:rsid w:val="00E65045"/>
    <w:rsid w:val="00E650E7"/>
    <w:rsid w:val="00E651A6"/>
    <w:rsid w:val="00E65D10"/>
    <w:rsid w:val="00E65D1B"/>
    <w:rsid w:val="00E70C36"/>
    <w:rsid w:val="00E712B2"/>
    <w:rsid w:val="00E7151A"/>
    <w:rsid w:val="00E71EAD"/>
    <w:rsid w:val="00E723C0"/>
    <w:rsid w:val="00E72C6A"/>
    <w:rsid w:val="00E7335A"/>
    <w:rsid w:val="00E743C6"/>
    <w:rsid w:val="00E74E6F"/>
    <w:rsid w:val="00E75433"/>
    <w:rsid w:val="00E7686C"/>
    <w:rsid w:val="00E76BB9"/>
    <w:rsid w:val="00E76EB2"/>
    <w:rsid w:val="00E771A8"/>
    <w:rsid w:val="00E77D7E"/>
    <w:rsid w:val="00E77E7E"/>
    <w:rsid w:val="00E8058F"/>
    <w:rsid w:val="00E80705"/>
    <w:rsid w:val="00E81A67"/>
    <w:rsid w:val="00E82465"/>
    <w:rsid w:val="00E827D8"/>
    <w:rsid w:val="00E8313E"/>
    <w:rsid w:val="00E8359B"/>
    <w:rsid w:val="00E83771"/>
    <w:rsid w:val="00E84882"/>
    <w:rsid w:val="00E85812"/>
    <w:rsid w:val="00E876CC"/>
    <w:rsid w:val="00E90816"/>
    <w:rsid w:val="00E90F0A"/>
    <w:rsid w:val="00E91156"/>
    <w:rsid w:val="00E91607"/>
    <w:rsid w:val="00E91823"/>
    <w:rsid w:val="00E92D5E"/>
    <w:rsid w:val="00E93898"/>
    <w:rsid w:val="00E93D2F"/>
    <w:rsid w:val="00E93DB8"/>
    <w:rsid w:val="00E93DD4"/>
    <w:rsid w:val="00E93DDF"/>
    <w:rsid w:val="00E941AD"/>
    <w:rsid w:val="00E9457E"/>
    <w:rsid w:val="00E9577A"/>
    <w:rsid w:val="00E9601D"/>
    <w:rsid w:val="00E968F8"/>
    <w:rsid w:val="00E96A77"/>
    <w:rsid w:val="00E9706E"/>
    <w:rsid w:val="00E9730D"/>
    <w:rsid w:val="00E9740E"/>
    <w:rsid w:val="00E97C79"/>
    <w:rsid w:val="00E97E18"/>
    <w:rsid w:val="00E97ED0"/>
    <w:rsid w:val="00EA1D28"/>
    <w:rsid w:val="00EA1E91"/>
    <w:rsid w:val="00EA2E93"/>
    <w:rsid w:val="00EA3661"/>
    <w:rsid w:val="00EA3A15"/>
    <w:rsid w:val="00EA3D77"/>
    <w:rsid w:val="00EA4341"/>
    <w:rsid w:val="00EA43C1"/>
    <w:rsid w:val="00EA5304"/>
    <w:rsid w:val="00EA5836"/>
    <w:rsid w:val="00EA77AB"/>
    <w:rsid w:val="00EA7B39"/>
    <w:rsid w:val="00EB026B"/>
    <w:rsid w:val="00EB10E6"/>
    <w:rsid w:val="00EB147A"/>
    <w:rsid w:val="00EB1B4A"/>
    <w:rsid w:val="00EB1BE9"/>
    <w:rsid w:val="00EB37AB"/>
    <w:rsid w:val="00EB392C"/>
    <w:rsid w:val="00EB3DD1"/>
    <w:rsid w:val="00EB4393"/>
    <w:rsid w:val="00EB4A74"/>
    <w:rsid w:val="00EB4B83"/>
    <w:rsid w:val="00EB4D74"/>
    <w:rsid w:val="00EB5067"/>
    <w:rsid w:val="00EB59B3"/>
    <w:rsid w:val="00EB5F1C"/>
    <w:rsid w:val="00EB616F"/>
    <w:rsid w:val="00EB681C"/>
    <w:rsid w:val="00EB739D"/>
    <w:rsid w:val="00EB7AD6"/>
    <w:rsid w:val="00EB7E76"/>
    <w:rsid w:val="00EC03CA"/>
    <w:rsid w:val="00EC0683"/>
    <w:rsid w:val="00EC08AB"/>
    <w:rsid w:val="00EC2ED3"/>
    <w:rsid w:val="00EC3983"/>
    <w:rsid w:val="00EC3E01"/>
    <w:rsid w:val="00EC45B8"/>
    <w:rsid w:val="00EC4D1E"/>
    <w:rsid w:val="00EC61D1"/>
    <w:rsid w:val="00EC6482"/>
    <w:rsid w:val="00EC6881"/>
    <w:rsid w:val="00EC7255"/>
    <w:rsid w:val="00EC74C4"/>
    <w:rsid w:val="00EC76A6"/>
    <w:rsid w:val="00EC7E6F"/>
    <w:rsid w:val="00EC7EFE"/>
    <w:rsid w:val="00ED05BD"/>
    <w:rsid w:val="00ED0BE5"/>
    <w:rsid w:val="00ED183A"/>
    <w:rsid w:val="00ED1DDA"/>
    <w:rsid w:val="00ED3879"/>
    <w:rsid w:val="00ED389C"/>
    <w:rsid w:val="00ED38E5"/>
    <w:rsid w:val="00ED555B"/>
    <w:rsid w:val="00ED606B"/>
    <w:rsid w:val="00ED72A6"/>
    <w:rsid w:val="00ED7769"/>
    <w:rsid w:val="00EE1035"/>
    <w:rsid w:val="00EE1344"/>
    <w:rsid w:val="00EE1CFA"/>
    <w:rsid w:val="00EE1D1E"/>
    <w:rsid w:val="00EE2CFE"/>
    <w:rsid w:val="00EE306F"/>
    <w:rsid w:val="00EE31D5"/>
    <w:rsid w:val="00EE493D"/>
    <w:rsid w:val="00EE5AA0"/>
    <w:rsid w:val="00EE627A"/>
    <w:rsid w:val="00EE6BAA"/>
    <w:rsid w:val="00EE7162"/>
    <w:rsid w:val="00EE7B82"/>
    <w:rsid w:val="00EE7C26"/>
    <w:rsid w:val="00EF06E5"/>
    <w:rsid w:val="00EF0966"/>
    <w:rsid w:val="00EF0EF3"/>
    <w:rsid w:val="00EF1C4B"/>
    <w:rsid w:val="00EF200C"/>
    <w:rsid w:val="00EF2128"/>
    <w:rsid w:val="00EF280D"/>
    <w:rsid w:val="00EF2E5B"/>
    <w:rsid w:val="00EF3620"/>
    <w:rsid w:val="00EF373B"/>
    <w:rsid w:val="00EF3D7D"/>
    <w:rsid w:val="00EF510A"/>
    <w:rsid w:val="00EF56A4"/>
    <w:rsid w:val="00EF6748"/>
    <w:rsid w:val="00EF67B7"/>
    <w:rsid w:val="00F01099"/>
    <w:rsid w:val="00F010F0"/>
    <w:rsid w:val="00F01523"/>
    <w:rsid w:val="00F02B38"/>
    <w:rsid w:val="00F02C01"/>
    <w:rsid w:val="00F02CEF"/>
    <w:rsid w:val="00F02D71"/>
    <w:rsid w:val="00F040BE"/>
    <w:rsid w:val="00F04417"/>
    <w:rsid w:val="00F064D0"/>
    <w:rsid w:val="00F0751A"/>
    <w:rsid w:val="00F07A15"/>
    <w:rsid w:val="00F100D6"/>
    <w:rsid w:val="00F106A0"/>
    <w:rsid w:val="00F10F42"/>
    <w:rsid w:val="00F10F70"/>
    <w:rsid w:val="00F125DC"/>
    <w:rsid w:val="00F132EA"/>
    <w:rsid w:val="00F13377"/>
    <w:rsid w:val="00F136E4"/>
    <w:rsid w:val="00F13781"/>
    <w:rsid w:val="00F13797"/>
    <w:rsid w:val="00F13ABD"/>
    <w:rsid w:val="00F14016"/>
    <w:rsid w:val="00F14984"/>
    <w:rsid w:val="00F14C47"/>
    <w:rsid w:val="00F165D0"/>
    <w:rsid w:val="00F16752"/>
    <w:rsid w:val="00F17CD9"/>
    <w:rsid w:val="00F17F49"/>
    <w:rsid w:val="00F206F9"/>
    <w:rsid w:val="00F2111E"/>
    <w:rsid w:val="00F215CB"/>
    <w:rsid w:val="00F215D3"/>
    <w:rsid w:val="00F21DFB"/>
    <w:rsid w:val="00F21E64"/>
    <w:rsid w:val="00F22636"/>
    <w:rsid w:val="00F22910"/>
    <w:rsid w:val="00F23ECE"/>
    <w:rsid w:val="00F24272"/>
    <w:rsid w:val="00F24E45"/>
    <w:rsid w:val="00F253CA"/>
    <w:rsid w:val="00F25D27"/>
    <w:rsid w:val="00F266D7"/>
    <w:rsid w:val="00F27127"/>
    <w:rsid w:val="00F27A6F"/>
    <w:rsid w:val="00F3044D"/>
    <w:rsid w:val="00F323F3"/>
    <w:rsid w:val="00F33EFB"/>
    <w:rsid w:val="00F34037"/>
    <w:rsid w:val="00F34EE1"/>
    <w:rsid w:val="00F368C2"/>
    <w:rsid w:val="00F36A00"/>
    <w:rsid w:val="00F3712C"/>
    <w:rsid w:val="00F377AE"/>
    <w:rsid w:val="00F4018D"/>
    <w:rsid w:val="00F40D4E"/>
    <w:rsid w:val="00F40FAA"/>
    <w:rsid w:val="00F4122A"/>
    <w:rsid w:val="00F4123A"/>
    <w:rsid w:val="00F42761"/>
    <w:rsid w:val="00F42B9A"/>
    <w:rsid w:val="00F42F24"/>
    <w:rsid w:val="00F43A27"/>
    <w:rsid w:val="00F4423A"/>
    <w:rsid w:val="00F44643"/>
    <w:rsid w:val="00F44AC7"/>
    <w:rsid w:val="00F45DFC"/>
    <w:rsid w:val="00F46AB7"/>
    <w:rsid w:val="00F47147"/>
    <w:rsid w:val="00F51FAF"/>
    <w:rsid w:val="00F52442"/>
    <w:rsid w:val="00F52D4F"/>
    <w:rsid w:val="00F53E8A"/>
    <w:rsid w:val="00F54147"/>
    <w:rsid w:val="00F548D2"/>
    <w:rsid w:val="00F56687"/>
    <w:rsid w:val="00F56A3D"/>
    <w:rsid w:val="00F5707B"/>
    <w:rsid w:val="00F5719B"/>
    <w:rsid w:val="00F5762B"/>
    <w:rsid w:val="00F579BA"/>
    <w:rsid w:val="00F57CC7"/>
    <w:rsid w:val="00F57F84"/>
    <w:rsid w:val="00F6038D"/>
    <w:rsid w:val="00F610A0"/>
    <w:rsid w:val="00F614C6"/>
    <w:rsid w:val="00F6171D"/>
    <w:rsid w:val="00F61EFD"/>
    <w:rsid w:val="00F62AD3"/>
    <w:rsid w:val="00F62D58"/>
    <w:rsid w:val="00F62EA1"/>
    <w:rsid w:val="00F63302"/>
    <w:rsid w:val="00F635BD"/>
    <w:rsid w:val="00F64C74"/>
    <w:rsid w:val="00F64CF7"/>
    <w:rsid w:val="00F65334"/>
    <w:rsid w:val="00F65955"/>
    <w:rsid w:val="00F66AE6"/>
    <w:rsid w:val="00F66C5F"/>
    <w:rsid w:val="00F6736B"/>
    <w:rsid w:val="00F67A70"/>
    <w:rsid w:val="00F67DB3"/>
    <w:rsid w:val="00F7016D"/>
    <w:rsid w:val="00F70769"/>
    <w:rsid w:val="00F70F63"/>
    <w:rsid w:val="00F714C8"/>
    <w:rsid w:val="00F71EAC"/>
    <w:rsid w:val="00F72A40"/>
    <w:rsid w:val="00F72B04"/>
    <w:rsid w:val="00F72BBC"/>
    <w:rsid w:val="00F72DE4"/>
    <w:rsid w:val="00F72E9B"/>
    <w:rsid w:val="00F74EBC"/>
    <w:rsid w:val="00F75CAC"/>
    <w:rsid w:val="00F75EF8"/>
    <w:rsid w:val="00F7664D"/>
    <w:rsid w:val="00F7731A"/>
    <w:rsid w:val="00F773F5"/>
    <w:rsid w:val="00F77F72"/>
    <w:rsid w:val="00F81205"/>
    <w:rsid w:val="00F816E2"/>
    <w:rsid w:val="00F822FA"/>
    <w:rsid w:val="00F82433"/>
    <w:rsid w:val="00F82EF7"/>
    <w:rsid w:val="00F83012"/>
    <w:rsid w:val="00F83C50"/>
    <w:rsid w:val="00F83E44"/>
    <w:rsid w:val="00F842CE"/>
    <w:rsid w:val="00F845C9"/>
    <w:rsid w:val="00F8460D"/>
    <w:rsid w:val="00F84B24"/>
    <w:rsid w:val="00F853E8"/>
    <w:rsid w:val="00F8654E"/>
    <w:rsid w:val="00F86620"/>
    <w:rsid w:val="00F871C5"/>
    <w:rsid w:val="00F91941"/>
    <w:rsid w:val="00F91FE0"/>
    <w:rsid w:val="00F941F7"/>
    <w:rsid w:val="00F94576"/>
    <w:rsid w:val="00F94619"/>
    <w:rsid w:val="00F95501"/>
    <w:rsid w:val="00F96569"/>
    <w:rsid w:val="00FA09D3"/>
    <w:rsid w:val="00FA0C2D"/>
    <w:rsid w:val="00FA23EA"/>
    <w:rsid w:val="00FA2B70"/>
    <w:rsid w:val="00FA2D3E"/>
    <w:rsid w:val="00FA3652"/>
    <w:rsid w:val="00FA3C9A"/>
    <w:rsid w:val="00FA447A"/>
    <w:rsid w:val="00FA5FA4"/>
    <w:rsid w:val="00FA6337"/>
    <w:rsid w:val="00FA79BD"/>
    <w:rsid w:val="00FB06C2"/>
    <w:rsid w:val="00FB130B"/>
    <w:rsid w:val="00FB22EB"/>
    <w:rsid w:val="00FB235C"/>
    <w:rsid w:val="00FB3104"/>
    <w:rsid w:val="00FB330E"/>
    <w:rsid w:val="00FB35DA"/>
    <w:rsid w:val="00FB37E6"/>
    <w:rsid w:val="00FB39AC"/>
    <w:rsid w:val="00FB44FE"/>
    <w:rsid w:val="00FB52F0"/>
    <w:rsid w:val="00FB5D10"/>
    <w:rsid w:val="00FC1F17"/>
    <w:rsid w:val="00FC20A6"/>
    <w:rsid w:val="00FC210C"/>
    <w:rsid w:val="00FC387A"/>
    <w:rsid w:val="00FC3A7A"/>
    <w:rsid w:val="00FC4070"/>
    <w:rsid w:val="00FC43EF"/>
    <w:rsid w:val="00FC4932"/>
    <w:rsid w:val="00FC4AF6"/>
    <w:rsid w:val="00FC5478"/>
    <w:rsid w:val="00FC56DB"/>
    <w:rsid w:val="00FC5775"/>
    <w:rsid w:val="00FC6875"/>
    <w:rsid w:val="00FD17A8"/>
    <w:rsid w:val="00FD2B04"/>
    <w:rsid w:val="00FD2E49"/>
    <w:rsid w:val="00FD3688"/>
    <w:rsid w:val="00FD3AE9"/>
    <w:rsid w:val="00FD4ADC"/>
    <w:rsid w:val="00FD6248"/>
    <w:rsid w:val="00FD6EF7"/>
    <w:rsid w:val="00FD7306"/>
    <w:rsid w:val="00FD7633"/>
    <w:rsid w:val="00FD7C0E"/>
    <w:rsid w:val="00FE04FE"/>
    <w:rsid w:val="00FE0697"/>
    <w:rsid w:val="00FE0E21"/>
    <w:rsid w:val="00FE11B9"/>
    <w:rsid w:val="00FE1750"/>
    <w:rsid w:val="00FE1BBB"/>
    <w:rsid w:val="00FE2F6C"/>
    <w:rsid w:val="00FE2FF5"/>
    <w:rsid w:val="00FE3188"/>
    <w:rsid w:val="00FE43A1"/>
    <w:rsid w:val="00FE48A4"/>
    <w:rsid w:val="00FE5741"/>
    <w:rsid w:val="00FE5EFB"/>
    <w:rsid w:val="00FE5F70"/>
    <w:rsid w:val="00FF024A"/>
    <w:rsid w:val="00FF09FE"/>
    <w:rsid w:val="00FF200A"/>
    <w:rsid w:val="00FF3E79"/>
    <w:rsid w:val="00FF3EFB"/>
    <w:rsid w:val="00FF46F7"/>
    <w:rsid w:val="00FF4BE9"/>
    <w:rsid w:val="00FF5322"/>
    <w:rsid w:val="00FF620C"/>
    <w:rsid w:val="00FF64BC"/>
    <w:rsid w:val="00FF6868"/>
    <w:rsid w:val="00FF7A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D0DA3C"/>
  <w15:docId w15:val="{1469E8AC-82F3-4195-896E-86AB604A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16"/>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3C"/>
    <w:pPr>
      <w:spacing w:after="0" w:line="240" w:lineRule="auto"/>
    </w:pPr>
  </w:style>
  <w:style w:type="paragraph" w:styleId="Heading1">
    <w:name w:val="heading 1"/>
    <w:aliases w:val="1,Heading 1 Char1 Char,Heading 1 Char Char Char,Heading 1 Char1 Char Char Char,Heading 1 Char Char Char Char Char,Heading 1 Char1 Char Char Char Char Char,Heading 1 Char Char Char Char Char Char Char,Heading 1 Char1 Char1"/>
    <w:basedOn w:val="Normal"/>
    <w:next w:val="Normal"/>
    <w:link w:val="Heading1Char1"/>
    <w:qFormat/>
    <w:rsid w:val="0030523C"/>
    <w:pPr>
      <w:keepNext/>
      <w:keepLines/>
      <w:shd w:val="clear" w:color="auto" w:fill="244061"/>
      <w:tabs>
        <w:tab w:val="left" w:pos="567"/>
      </w:tabs>
      <w:outlineLvl w:val="0"/>
    </w:pPr>
    <w:rPr>
      <w:rFonts w:eastAsia="Times New Roman" w:cs="Times New Roman"/>
      <w:b/>
      <w:bCs/>
      <w:caps/>
      <w:color w:val="FFFFFF"/>
      <w:szCs w:val="28"/>
      <w:lang w:val="x-none" w:eastAsia="x-none"/>
    </w:rPr>
  </w:style>
  <w:style w:type="paragraph" w:styleId="Heading2">
    <w:name w:val="heading 2"/>
    <w:basedOn w:val="Normal"/>
    <w:next w:val="Normal"/>
    <w:link w:val="Heading2Char"/>
    <w:unhideWhenUsed/>
    <w:qFormat/>
    <w:rsid w:val="0030523C"/>
    <w:pPr>
      <w:keepNext/>
      <w:keepLines/>
      <w:shd w:val="clear" w:color="auto" w:fill="D9D9D9"/>
      <w:tabs>
        <w:tab w:val="left" w:pos="567"/>
      </w:tabs>
      <w:outlineLvl w:val="1"/>
    </w:pPr>
    <w:rPr>
      <w:rFonts w:eastAsia="Times New Roman" w:cs="Times New Roman"/>
      <w:b/>
      <w:color w:val="000000"/>
      <w:szCs w:val="26"/>
    </w:rPr>
  </w:style>
  <w:style w:type="paragraph" w:styleId="Heading3">
    <w:name w:val="heading 3"/>
    <w:basedOn w:val="Sub1"/>
    <w:next w:val="Normal"/>
    <w:link w:val="Heading3Char"/>
    <w:unhideWhenUsed/>
    <w:qFormat/>
    <w:rsid w:val="008E1CB9"/>
    <w:pPr>
      <w:spacing w:after="180"/>
      <w:jc w:val="both"/>
      <w:outlineLvl w:val="2"/>
    </w:pPr>
    <w:rPr>
      <w:sz w:val="28"/>
    </w:rPr>
  </w:style>
  <w:style w:type="paragraph" w:styleId="Heading4">
    <w:name w:val="heading 4"/>
    <w:basedOn w:val="Normal"/>
    <w:next w:val="Normal"/>
    <w:link w:val="Heading4Char"/>
    <w:unhideWhenUsed/>
    <w:qFormat/>
    <w:rsid w:val="009814E7"/>
    <w:pPr>
      <w:keepNext/>
      <w:keepLines/>
      <w:spacing w:before="200"/>
      <w:outlineLvl w:val="3"/>
    </w:pPr>
    <w:rPr>
      <w:rFonts w:eastAsia="Times New Roman" w:cs="Times New Roman"/>
      <w:b/>
      <w:bCs/>
      <w:iCs/>
      <w:sz w:val="28"/>
      <w:szCs w:val="20"/>
      <w:lang w:val="x-none" w:eastAsia="x-none"/>
    </w:rPr>
  </w:style>
  <w:style w:type="paragraph" w:styleId="Heading5">
    <w:name w:val="heading 5"/>
    <w:basedOn w:val="Normal"/>
    <w:next w:val="Normal"/>
    <w:link w:val="Heading5Char"/>
    <w:unhideWhenUsed/>
    <w:qFormat/>
    <w:rsid w:val="009814E7"/>
    <w:pPr>
      <w:keepNext/>
      <w:keepLines/>
      <w:spacing w:before="200"/>
      <w:outlineLvl w:val="4"/>
    </w:pPr>
    <w:rPr>
      <w:rFonts w:eastAsia="Times New Roman" w:cs="Times New Roman"/>
      <w:b/>
      <w:i/>
      <w:color w:val="000000" w:themeColor="text1"/>
      <w:szCs w:val="20"/>
      <w:lang w:val="x-none" w:eastAsia="x-none"/>
    </w:rPr>
  </w:style>
  <w:style w:type="paragraph" w:styleId="Heading6">
    <w:name w:val="heading 6"/>
    <w:basedOn w:val="Normal"/>
    <w:next w:val="Normal"/>
    <w:link w:val="Heading6Char"/>
    <w:unhideWhenUsed/>
    <w:qFormat/>
    <w:rsid w:val="0030523C"/>
    <w:pPr>
      <w:keepNext/>
      <w:keepLines/>
      <w:spacing w:before="200"/>
      <w:outlineLvl w:val="5"/>
    </w:pPr>
    <w:rPr>
      <w:rFonts w:ascii="Calibri Light" w:eastAsia="Times New Roman" w:hAnsi="Calibri Light" w:cs="Times New Roman"/>
      <w:i/>
      <w:iCs/>
      <w:color w:val="1F4D78"/>
      <w:szCs w:val="20"/>
      <w:lang w:val="x-none" w:eastAsia="x-none"/>
    </w:rPr>
  </w:style>
  <w:style w:type="paragraph" w:styleId="Heading7">
    <w:name w:val="heading 7"/>
    <w:basedOn w:val="Normal"/>
    <w:next w:val="Normal"/>
    <w:link w:val="Heading7Char"/>
    <w:unhideWhenUsed/>
    <w:qFormat/>
    <w:rsid w:val="0030523C"/>
    <w:pPr>
      <w:keepNext/>
      <w:keepLines/>
      <w:spacing w:before="200"/>
      <w:outlineLvl w:val="6"/>
    </w:pPr>
    <w:rPr>
      <w:rFonts w:ascii="Calibri Light" w:eastAsia="Times New Roman" w:hAnsi="Calibri Light" w:cs="Times New Roman"/>
      <w:i/>
      <w:iCs/>
      <w:color w:val="404040"/>
      <w:szCs w:val="20"/>
      <w:lang w:val="x-none" w:eastAsia="x-none"/>
    </w:rPr>
  </w:style>
  <w:style w:type="paragraph" w:styleId="Heading8">
    <w:name w:val="heading 8"/>
    <w:basedOn w:val="Normal"/>
    <w:next w:val="Normal"/>
    <w:link w:val="Heading8Char"/>
    <w:unhideWhenUsed/>
    <w:qFormat/>
    <w:rsid w:val="0030523C"/>
    <w:pPr>
      <w:keepNext/>
      <w:keepLines/>
      <w:spacing w:before="200"/>
      <w:outlineLvl w:val="7"/>
    </w:pPr>
    <w:rPr>
      <w:rFonts w:ascii="Calibri Light" w:eastAsia="Times New Roman" w:hAnsi="Calibri Light" w:cs="Times New Roman"/>
      <w:color w:val="404040"/>
      <w:szCs w:val="20"/>
      <w:lang w:val="x-none" w:eastAsia="x-none"/>
    </w:rPr>
  </w:style>
  <w:style w:type="paragraph" w:styleId="Heading9">
    <w:name w:val="heading 9"/>
    <w:basedOn w:val="Normal"/>
    <w:next w:val="Normal"/>
    <w:link w:val="Heading9Char"/>
    <w:unhideWhenUsed/>
    <w:qFormat/>
    <w:rsid w:val="0030523C"/>
    <w:pPr>
      <w:keepNext/>
      <w:keepLines/>
      <w:spacing w:before="200"/>
      <w:outlineLvl w:val="8"/>
    </w:pPr>
    <w:rPr>
      <w:rFonts w:ascii="Calibri Light" w:eastAsia="Times New Roman" w:hAnsi="Calibri Light" w:cs="Times New Roman"/>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0523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0523C"/>
    <w:rPr>
      <w:rFonts w:ascii="Arial" w:eastAsia="Times New Roman" w:hAnsi="Arial" w:cs="Times New Roman"/>
      <w:b/>
      <w:color w:val="000000"/>
      <w:sz w:val="24"/>
      <w:szCs w:val="26"/>
      <w:shd w:val="clear" w:color="auto" w:fill="D9D9D9"/>
    </w:rPr>
  </w:style>
  <w:style w:type="character" w:customStyle="1" w:styleId="Heading3Char">
    <w:name w:val="Heading 3 Char"/>
    <w:basedOn w:val="DefaultParagraphFont"/>
    <w:link w:val="Heading3"/>
    <w:rsid w:val="008E1CB9"/>
    <w:rPr>
      <w:b/>
      <w:color w:val="0070C0"/>
      <w:sz w:val="28"/>
    </w:rPr>
  </w:style>
  <w:style w:type="character" w:customStyle="1" w:styleId="Heading4Char">
    <w:name w:val="Heading 4 Char"/>
    <w:basedOn w:val="DefaultParagraphFont"/>
    <w:link w:val="Heading4"/>
    <w:rsid w:val="009814E7"/>
    <w:rPr>
      <w:rFonts w:eastAsia="Times New Roman" w:cs="Times New Roman"/>
      <w:b/>
      <w:bCs/>
      <w:iCs/>
      <w:sz w:val="28"/>
      <w:szCs w:val="20"/>
      <w:lang w:val="x-none" w:eastAsia="x-none"/>
    </w:rPr>
  </w:style>
  <w:style w:type="character" w:customStyle="1" w:styleId="Heading5Char">
    <w:name w:val="Heading 5 Char"/>
    <w:basedOn w:val="DefaultParagraphFont"/>
    <w:link w:val="Heading5"/>
    <w:rsid w:val="009814E7"/>
    <w:rPr>
      <w:rFonts w:eastAsia="Times New Roman" w:cs="Times New Roman"/>
      <w:b/>
      <w:i/>
      <w:color w:val="000000" w:themeColor="text1"/>
      <w:szCs w:val="20"/>
      <w:lang w:val="x-none" w:eastAsia="x-none"/>
    </w:rPr>
  </w:style>
  <w:style w:type="character" w:customStyle="1" w:styleId="Heading6Char">
    <w:name w:val="Heading 6 Char"/>
    <w:basedOn w:val="DefaultParagraphFont"/>
    <w:link w:val="Heading6"/>
    <w:rsid w:val="0030523C"/>
    <w:rPr>
      <w:rFonts w:ascii="Calibri Light" w:eastAsia="Times New Roman" w:hAnsi="Calibri Light" w:cs="Times New Roman"/>
      <w:i/>
      <w:iCs/>
      <w:color w:val="1F4D78"/>
      <w:sz w:val="20"/>
      <w:szCs w:val="20"/>
      <w:lang w:val="x-none" w:eastAsia="x-none"/>
    </w:rPr>
  </w:style>
  <w:style w:type="character" w:customStyle="1" w:styleId="Heading7Char">
    <w:name w:val="Heading 7 Char"/>
    <w:basedOn w:val="DefaultParagraphFont"/>
    <w:link w:val="Heading7"/>
    <w:rsid w:val="0030523C"/>
    <w:rPr>
      <w:rFonts w:ascii="Calibri Light" w:eastAsia="Times New Roman" w:hAnsi="Calibri Light" w:cs="Times New Roman"/>
      <w:i/>
      <w:iCs/>
      <w:color w:val="404040"/>
      <w:sz w:val="20"/>
      <w:szCs w:val="20"/>
      <w:lang w:val="x-none" w:eastAsia="x-none"/>
    </w:rPr>
  </w:style>
  <w:style w:type="character" w:customStyle="1" w:styleId="Heading8Char">
    <w:name w:val="Heading 8 Char"/>
    <w:basedOn w:val="DefaultParagraphFont"/>
    <w:link w:val="Heading8"/>
    <w:rsid w:val="0030523C"/>
    <w:rPr>
      <w:rFonts w:ascii="Calibri Light" w:eastAsia="Times New Roman" w:hAnsi="Calibri Light" w:cs="Times New Roman"/>
      <w:color w:val="404040"/>
      <w:sz w:val="20"/>
      <w:szCs w:val="20"/>
      <w:lang w:val="x-none" w:eastAsia="x-none"/>
    </w:rPr>
  </w:style>
  <w:style w:type="character" w:customStyle="1" w:styleId="Heading9Char">
    <w:name w:val="Heading 9 Char"/>
    <w:basedOn w:val="DefaultParagraphFont"/>
    <w:link w:val="Heading9"/>
    <w:rsid w:val="0030523C"/>
    <w:rPr>
      <w:rFonts w:ascii="Calibri Light" w:eastAsia="Times New Roman" w:hAnsi="Calibri Light" w:cs="Times New Roman"/>
      <w:i/>
      <w:iCs/>
      <w:color w:val="404040"/>
      <w:sz w:val="20"/>
      <w:szCs w:val="20"/>
      <w:lang w:val="x-none" w:eastAsia="x-none"/>
    </w:rPr>
  </w:style>
  <w:style w:type="paragraph" w:styleId="ListParagraph">
    <w:name w:val="List Paragraph"/>
    <w:aliases w:val="Bullets,List Bullet Mary,List Paragraph (numbered (a)),body bullets,Liste 1,Paragraphe  revu,List Paragraph nowy,Numbered Paragraph"/>
    <w:basedOn w:val="Normal"/>
    <w:link w:val="ListParagraphChar"/>
    <w:uiPriority w:val="34"/>
    <w:qFormat/>
    <w:rsid w:val="0030523C"/>
    <w:pPr>
      <w:ind w:left="720"/>
      <w:contextualSpacing/>
    </w:pPr>
  </w:style>
  <w:style w:type="character" w:styleId="CommentReference">
    <w:name w:val="annotation reference"/>
    <w:uiPriority w:val="99"/>
    <w:unhideWhenUsed/>
    <w:rsid w:val="0030523C"/>
    <w:rPr>
      <w:sz w:val="16"/>
      <w:szCs w:val="16"/>
    </w:rPr>
  </w:style>
  <w:style w:type="paragraph" w:styleId="CommentText">
    <w:name w:val="annotation text"/>
    <w:basedOn w:val="Normal"/>
    <w:link w:val="CommentTextChar"/>
    <w:uiPriority w:val="99"/>
    <w:unhideWhenUsed/>
    <w:rsid w:val="0030523C"/>
    <w:rPr>
      <w:rFonts w:ascii="Calibri" w:hAnsi="Calibri" w:cs="Times New Roman"/>
      <w:szCs w:val="20"/>
      <w:lang w:val="x-none" w:eastAsia="x-none"/>
    </w:rPr>
  </w:style>
  <w:style w:type="character" w:customStyle="1" w:styleId="CommentTextChar">
    <w:name w:val="Comment Text Char"/>
    <w:basedOn w:val="DefaultParagraphFont"/>
    <w:link w:val="CommentText"/>
    <w:uiPriority w:val="99"/>
    <w:rsid w:val="0030523C"/>
    <w:rPr>
      <w:rFonts w:ascii="Calibri" w:eastAsia="Calibri" w:hAnsi="Calibri" w:cs="Times New Roman"/>
      <w:sz w:val="20"/>
      <w:szCs w:val="20"/>
      <w:lang w:val="x-none" w:eastAsia="x-none"/>
    </w:rPr>
  </w:style>
  <w:style w:type="paragraph" w:styleId="FootnoteText">
    <w:name w:val="footnote text"/>
    <w:aliases w:val="FOOTNOTES,fn,single space,footnote text,Char Char Char,Char Char"/>
    <w:basedOn w:val="Normal"/>
    <w:link w:val="FootnoteTextChar"/>
    <w:uiPriority w:val="99"/>
    <w:unhideWhenUsed/>
    <w:rsid w:val="0030523C"/>
    <w:rPr>
      <w:rFonts w:cs="Times New Roman"/>
      <w:color w:val="000000"/>
      <w:sz w:val="16"/>
      <w:szCs w:val="20"/>
      <w:lang w:val="x-none" w:eastAsia="x-none"/>
    </w:rPr>
  </w:style>
  <w:style w:type="character" w:customStyle="1" w:styleId="FootnoteTextChar">
    <w:name w:val="Footnote Text Char"/>
    <w:aliases w:val="FOOTNOTES Char,fn Char,single space Char,footnote text Char,Char Char Char Char,Char Char Char1"/>
    <w:basedOn w:val="DefaultParagraphFont"/>
    <w:link w:val="FootnoteText"/>
    <w:uiPriority w:val="99"/>
    <w:rsid w:val="0030523C"/>
    <w:rPr>
      <w:rFonts w:ascii="Arial" w:eastAsia="Calibri" w:hAnsi="Arial" w:cs="Times New Roman"/>
      <w:color w:val="000000"/>
      <w:sz w:val="16"/>
      <w:szCs w:val="20"/>
      <w:lang w:val="x-none" w:eastAsia="x-none"/>
    </w:rPr>
  </w:style>
  <w:style w:type="character" w:styleId="FootnoteReference">
    <w:name w:val="footnote reference"/>
    <w:aliases w:val="Error-Fußnotenzeichen5,Error-Fußnotenzeichen6,Error-Fußnotenzeichen3"/>
    <w:uiPriority w:val="99"/>
    <w:unhideWhenUsed/>
    <w:rsid w:val="0030523C"/>
    <w:rPr>
      <w:vertAlign w:val="superscript"/>
    </w:rPr>
  </w:style>
  <w:style w:type="character" w:styleId="Hyperlink">
    <w:name w:val="Hyperlink"/>
    <w:uiPriority w:val="99"/>
    <w:unhideWhenUsed/>
    <w:rsid w:val="0030523C"/>
    <w:rPr>
      <w:color w:val="0563C1"/>
      <w:u w:val="single"/>
    </w:rPr>
  </w:style>
  <w:style w:type="paragraph" w:styleId="BalloonText">
    <w:name w:val="Balloon Text"/>
    <w:basedOn w:val="Normal"/>
    <w:link w:val="BalloonTextChar"/>
    <w:uiPriority w:val="99"/>
    <w:semiHidden/>
    <w:unhideWhenUsed/>
    <w:rsid w:val="0030523C"/>
    <w:rPr>
      <w:rFonts w:ascii="Segoe UI" w:hAnsi="Segoe UI" w:cs="Times New Roman"/>
      <w:sz w:val="18"/>
      <w:szCs w:val="18"/>
      <w:lang w:val="x-none" w:eastAsia="x-none"/>
    </w:rPr>
  </w:style>
  <w:style w:type="character" w:customStyle="1" w:styleId="BalloonTextChar">
    <w:name w:val="Balloon Text Char"/>
    <w:basedOn w:val="DefaultParagraphFont"/>
    <w:link w:val="BalloonText"/>
    <w:uiPriority w:val="99"/>
    <w:semiHidden/>
    <w:rsid w:val="0030523C"/>
    <w:rPr>
      <w:rFonts w:ascii="Segoe UI" w:eastAsia="Calibri" w:hAnsi="Segoe UI" w:cs="Times New Roman"/>
      <w:sz w:val="18"/>
      <w:szCs w:val="18"/>
      <w:lang w:val="x-none" w:eastAsia="x-none"/>
    </w:rPr>
  </w:style>
  <w:style w:type="paragraph" w:customStyle="1" w:styleId="Default">
    <w:name w:val="Default"/>
    <w:rsid w:val="0030523C"/>
    <w:pPr>
      <w:autoSpaceDE w:val="0"/>
      <w:autoSpaceDN w:val="0"/>
      <w:adjustRightInd w:val="0"/>
      <w:spacing w:after="0" w:line="240" w:lineRule="auto"/>
    </w:pPr>
    <w:rPr>
      <w:rFonts w:ascii="Univers 55" w:eastAsia="Calibri" w:hAnsi="Univers 55" w:cs="Univers 55"/>
      <w:color w:val="000000"/>
      <w:szCs w:val="24"/>
    </w:rPr>
  </w:style>
  <w:style w:type="paragraph" w:styleId="BodyText">
    <w:name w:val="Body Text"/>
    <w:link w:val="BodyTextChar"/>
    <w:rsid w:val="0030523C"/>
    <w:pPr>
      <w:numPr>
        <w:ilvl w:val="1"/>
        <w:numId w:val="1"/>
      </w:numPr>
      <w:spacing w:after="165" w:line="280" w:lineRule="atLeast"/>
    </w:pPr>
    <w:rPr>
      <w:rFonts w:ascii="Humnst777 Lt BT" w:eastAsia="Times New Roman" w:hAnsi="Humnst777 Lt BT" w:cs="Times New Roman"/>
      <w:sz w:val="20"/>
      <w:szCs w:val="24"/>
      <w:lang w:eastAsia="en-GB"/>
    </w:rPr>
  </w:style>
  <w:style w:type="character" w:customStyle="1" w:styleId="BodyTextChar">
    <w:name w:val="Body Text Char"/>
    <w:basedOn w:val="DefaultParagraphFont"/>
    <w:link w:val="BodyText"/>
    <w:rsid w:val="0030523C"/>
    <w:rPr>
      <w:rFonts w:ascii="Humnst777 Lt BT" w:eastAsia="Times New Roman" w:hAnsi="Humnst777 Lt BT" w:cs="Times New Roman"/>
      <w:sz w:val="20"/>
      <w:szCs w:val="24"/>
      <w:lang w:eastAsia="en-GB"/>
    </w:rPr>
  </w:style>
  <w:style w:type="paragraph" w:styleId="BodyText2">
    <w:name w:val="Body Text 2"/>
    <w:basedOn w:val="BodyText"/>
    <w:link w:val="BodyText2Char"/>
    <w:rsid w:val="0030523C"/>
    <w:pPr>
      <w:numPr>
        <w:ilvl w:val="2"/>
      </w:numPr>
    </w:pPr>
    <w:rPr>
      <w:lang w:val="x-none"/>
    </w:rPr>
  </w:style>
  <w:style w:type="character" w:customStyle="1" w:styleId="BodyText2Char">
    <w:name w:val="Body Text 2 Char"/>
    <w:basedOn w:val="DefaultParagraphFont"/>
    <w:link w:val="BodyText2"/>
    <w:rsid w:val="0030523C"/>
    <w:rPr>
      <w:rFonts w:ascii="Humnst777 Lt BT" w:eastAsia="Times New Roman" w:hAnsi="Humnst777 Lt BT" w:cs="Times New Roman"/>
      <w:sz w:val="20"/>
      <w:szCs w:val="24"/>
      <w:lang w:val="x-none" w:eastAsia="en-GB"/>
    </w:rPr>
  </w:style>
  <w:style w:type="paragraph" w:customStyle="1" w:styleId="BoxHeading">
    <w:name w:val="Box Heading"/>
    <w:next w:val="BodyText3"/>
    <w:uiPriority w:val="99"/>
    <w:rsid w:val="0030523C"/>
    <w:pPr>
      <w:keepNext/>
      <w:numPr>
        <w:ilvl w:val="3"/>
        <w:numId w:val="1"/>
      </w:numPr>
      <w:spacing w:after="165" w:line="260" w:lineRule="atLeast"/>
    </w:pPr>
    <w:rPr>
      <w:rFonts w:ascii="Humnst777 BT" w:eastAsia="Times New Roman" w:hAnsi="Humnst777 BT" w:cs="Times New Roman"/>
      <w:b/>
      <w:color w:val="C40012"/>
      <w:sz w:val="20"/>
      <w:szCs w:val="24"/>
      <w:lang w:eastAsia="en-GB"/>
    </w:rPr>
  </w:style>
  <w:style w:type="paragraph" w:customStyle="1" w:styleId="FigureHeading">
    <w:name w:val="Figure Heading"/>
    <w:uiPriority w:val="99"/>
    <w:rsid w:val="0030523C"/>
    <w:pPr>
      <w:keepNext/>
      <w:numPr>
        <w:ilvl w:val="4"/>
        <w:numId w:val="1"/>
      </w:numPr>
      <w:spacing w:after="57" w:line="240" w:lineRule="atLeast"/>
    </w:pPr>
    <w:rPr>
      <w:rFonts w:ascii="Humnst777 BT" w:eastAsia="Times New Roman" w:hAnsi="Humnst777 BT" w:cs="Times New Roman"/>
      <w:b/>
      <w:color w:val="C40012"/>
      <w:sz w:val="20"/>
      <w:szCs w:val="24"/>
      <w:lang w:eastAsia="en-GB"/>
    </w:rPr>
  </w:style>
  <w:style w:type="paragraph" w:customStyle="1" w:styleId="TableHeading">
    <w:name w:val="Table Heading"/>
    <w:basedOn w:val="FigureHeading"/>
    <w:uiPriority w:val="99"/>
    <w:rsid w:val="0030523C"/>
    <w:pPr>
      <w:numPr>
        <w:ilvl w:val="5"/>
      </w:numPr>
    </w:pPr>
  </w:style>
  <w:style w:type="paragraph" w:customStyle="1" w:styleId="ChartHeading">
    <w:name w:val="Chart Heading"/>
    <w:basedOn w:val="FigureHeading"/>
    <w:uiPriority w:val="99"/>
    <w:rsid w:val="0030523C"/>
    <w:pPr>
      <w:numPr>
        <w:ilvl w:val="6"/>
      </w:numPr>
    </w:pPr>
  </w:style>
  <w:style w:type="paragraph" w:styleId="NormalWeb">
    <w:name w:val="Normal (Web)"/>
    <w:basedOn w:val="Normal"/>
    <w:uiPriority w:val="99"/>
    <w:unhideWhenUsed/>
    <w:rsid w:val="0030523C"/>
    <w:pPr>
      <w:spacing w:before="100" w:beforeAutospacing="1" w:after="100" w:afterAutospacing="1"/>
    </w:pPr>
    <w:rPr>
      <w:rFonts w:ascii="Times New Roman" w:eastAsia="Times New Roman" w:hAnsi="Times New Roman" w:cs="Times New Roman"/>
      <w:szCs w:val="24"/>
      <w:lang w:eastAsia="en-GB"/>
    </w:rPr>
  </w:style>
  <w:style w:type="paragraph" w:styleId="BodyText3">
    <w:name w:val="Body Text 3"/>
    <w:basedOn w:val="Normal"/>
    <w:link w:val="BodyText3Char"/>
    <w:uiPriority w:val="99"/>
    <w:unhideWhenUsed/>
    <w:rsid w:val="0030523C"/>
    <w:pPr>
      <w:spacing w:after="120"/>
    </w:pPr>
    <w:rPr>
      <w:rFonts w:ascii="Calibri" w:hAnsi="Calibri" w:cs="Times New Roman"/>
      <w:sz w:val="16"/>
      <w:lang w:val="x-none" w:eastAsia="x-none"/>
    </w:rPr>
  </w:style>
  <w:style w:type="character" w:customStyle="1" w:styleId="BodyText3Char">
    <w:name w:val="Body Text 3 Char"/>
    <w:basedOn w:val="DefaultParagraphFont"/>
    <w:link w:val="BodyText3"/>
    <w:uiPriority w:val="99"/>
    <w:rsid w:val="0030523C"/>
    <w:rPr>
      <w:rFonts w:ascii="Calibri" w:eastAsia="Calibri" w:hAnsi="Calibri" w:cs="Times New Roman"/>
      <w:sz w:val="16"/>
      <w:szCs w:val="16"/>
      <w:lang w:val="x-none" w:eastAsia="x-none"/>
    </w:rPr>
  </w:style>
  <w:style w:type="paragraph" w:styleId="CommentSubject">
    <w:name w:val="annotation subject"/>
    <w:basedOn w:val="CommentText"/>
    <w:next w:val="CommentText"/>
    <w:link w:val="CommentSubjectChar"/>
    <w:unhideWhenUsed/>
    <w:rsid w:val="0030523C"/>
    <w:rPr>
      <w:b/>
      <w:bCs/>
    </w:rPr>
  </w:style>
  <w:style w:type="character" w:customStyle="1" w:styleId="CommentSubjectChar">
    <w:name w:val="Comment Subject Char"/>
    <w:basedOn w:val="CommentTextChar"/>
    <w:link w:val="CommentSubject"/>
    <w:rsid w:val="0030523C"/>
    <w:rPr>
      <w:rFonts w:ascii="Calibri" w:eastAsia="Calibri" w:hAnsi="Calibri" w:cs="Times New Roman"/>
      <w:b/>
      <w:bCs/>
      <w:sz w:val="20"/>
      <w:szCs w:val="20"/>
      <w:lang w:val="x-none" w:eastAsia="x-none"/>
    </w:rPr>
  </w:style>
  <w:style w:type="paragraph" w:styleId="Header">
    <w:name w:val="header"/>
    <w:basedOn w:val="Normal"/>
    <w:link w:val="HeaderChar"/>
    <w:uiPriority w:val="99"/>
    <w:unhideWhenUsed/>
    <w:rsid w:val="0030523C"/>
    <w:pPr>
      <w:tabs>
        <w:tab w:val="center" w:pos="4513"/>
        <w:tab w:val="right" w:pos="9026"/>
      </w:tabs>
    </w:pPr>
  </w:style>
  <w:style w:type="character" w:customStyle="1" w:styleId="HeaderChar">
    <w:name w:val="Header Char"/>
    <w:basedOn w:val="DefaultParagraphFont"/>
    <w:link w:val="Header"/>
    <w:uiPriority w:val="99"/>
    <w:rsid w:val="0030523C"/>
    <w:rPr>
      <w:rFonts w:ascii="Arial" w:eastAsia="Calibri" w:hAnsi="Arial" w:cs="Arial"/>
      <w:sz w:val="20"/>
    </w:rPr>
  </w:style>
  <w:style w:type="paragraph" w:styleId="Footer">
    <w:name w:val="footer"/>
    <w:basedOn w:val="Normal"/>
    <w:link w:val="FooterChar"/>
    <w:uiPriority w:val="99"/>
    <w:unhideWhenUsed/>
    <w:rsid w:val="0030523C"/>
    <w:pPr>
      <w:tabs>
        <w:tab w:val="center" w:pos="4513"/>
        <w:tab w:val="right" w:pos="9026"/>
      </w:tabs>
    </w:pPr>
  </w:style>
  <w:style w:type="character" w:customStyle="1" w:styleId="FooterChar">
    <w:name w:val="Footer Char"/>
    <w:basedOn w:val="DefaultParagraphFont"/>
    <w:link w:val="Footer"/>
    <w:uiPriority w:val="99"/>
    <w:rsid w:val="0030523C"/>
    <w:rPr>
      <w:rFonts w:ascii="Arial" w:eastAsia="Calibri" w:hAnsi="Arial" w:cs="Arial"/>
      <w:sz w:val="20"/>
    </w:rPr>
  </w:style>
  <w:style w:type="paragraph" w:styleId="PlainText">
    <w:name w:val="Plain Text"/>
    <w:basedOn w:val="Normal"/>
    <w:link w:val="PlainTextChar"/>
    <w:uiPriority w:val="99"/>
    <w:unhideWhenUsed/>
    <w:rsid w:val="0030523C"/>
    <w:rPr>
      <w:rFonts w:ascii="Consolas" w:hAnsi="Consolas" w:cs="Times New Roman"/>
      <w:color w:val="000000"/>
      <w:sz w:val="21"/>
      <w:szCs w:val="21"/>
      <w:lang w:val="x-none" w:eastAsia="x-none"/>
    </w:rPr>
  </w:style>
  <w:style w:type="character" w:customStyle="1" w:styleId="PlainTextChar">
    <w:name w:val="Plain Text Char"/>
    <w:basedOn w:val="DefaultParagraphFont"/>
    <w:link w:val="PlainText"/>
    <w:uiPriority w:val="99"/>
    <w:rsid w:val="0030523C"/>
    <w:rPr>
      <w:rFonts w:ascii="Consolas" w:eastAsia="Calibri" w:hAnsi="Consolas" w:cs="Times New Roman"/>
      <w:color w:val="000000"/>
      <w:sz w:val="21"/>
      <w:szCs w:val="21"/>
      <w:lang w:val="x-none" w:eastAsia="x-none"/>
    </w:rPr>
  </w:style>
  <w:style w:type="table" w:styleId="TableGrid">
    <w:name w:val="Table Grid"/>
    <w:basedOn w:val="TableNormal"/>
    <w:uiPriority w:val="39"/>
    <w:rsid w:val="0030523C"/>
    <w:pPr>
      <w:spacing w:after="0" w:line="240" w:lineRule="auto"/>
    </w:pPr>
    <w:rPr>
      <w:rFonts w:ascii="Calibri" w:eastAsia="Calibri" w:hAnsi="Calibri" w:cs="Times New Roman"/>
      <w:color w:val="000000"/>
      <w:sz w:val="20"/>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0523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0523C"/>
  </w:style>
  <w:style w:type="numbering" w:customStyle="1" w:styleId="Style1">
    <w:name w:val="Style1"/>
    <w:uiPriority w:val="99"/>
    <w:rsid w:val="0030523C"/>
    <w:pPr>
      <w:numPr>
        <w:numId w:val="2"/>
      </w:numPr>
    </w:pPr>
  </w:style>
  <w:style w:type="character" w:styleId="Strong">
    <w:name w:val="Strong"/>
    <w:uiPriority w:val="22"/>
    <w:qFormat/>
    <w:rsid w:val="0030523C"/>
    <w:rPr>
      <w:b/>
      <w:bCs/>
    </w:rPr>
  </w:style>
  <w:style w:type="character" w:styleId="FollowedHyperlink">
    <w:name w:val="FollowedHyperlink"/>
    <w:uiPriority w:val="99"/>
    <w:unhideWhenUsed/>
    <w:rsid w:val="0030523C"/>
    <w:rPr>
      <w:color w:val="954F72"/>
      <w:u w:val="single"/>
    </w:rPr>
  </w:style>
  <w:style w:type="paragraph" w:styleId="NoSpacing">
    <w:name w:val="No Spacing"/>
    <w:uiPriority w:val="1"/>
    <w:qFormat/>
    <w:rsid w:val="0030523C"/>
    <w:pPr>
      <w:spacing w:after="0" w:line="240" w:lineRule="auto"/>
    </w:pPr>
    <w:rPr>
      <w:rFonts w:ascii="Calibri" w:eastAsia="Calibri" w:hAnsi="Calibri"/>
    </w:rPr>
  </w:style>
  <w:style w:type="character" w:customStyle="1" w:styleId="personname2">
    <w:name w:val="person_name2"/>
    <w:basedOn w:val="DefaultParagraphFont"/>
    <w:rsid w:val="0030523C"/>
  </w:style>
  <w:style w:type="character" w:styleId="Emphasis">
    <w:name w:val="Emphasis"/>
    <w:uiPriority w:val="20"/>
    <w:qFormat/>
    <w:rsid w:val="0030523C"/>
    <w:rPr>
      <w:i/>
      <w:iCs/>
    </w:rPr>
  </w:style>
  <w:style w:type="paragraph" w:styleId="Revision">
    <w:name w:val="Revision"/>
    <w:hidden/>
    <w:uiPriority w:val="99"/>
    <w:semiHidden/>
    <w:rsid w:val="0030523C"/>
    <w:pPr>
      <w:spacing w:after="0" w:line="240" w:lineRule="auto"/>
    </w:pPr>
    <w:rPr>
      <w:rFonts w:ascii="Calibri" w:eastAsia="Calibri" w:hAnsi="Calibri" w:cs="Times New Roman"/>
      <w:color w:val="000000"/>
      <w:szCs w:val="24"/>
    </w:rPr>
  </w:style>
  <w:style w:type="paragraph" w:styleId="EndnoteText">
    <w:name w:val="endnote text"/>
    <w:basedOn w:val="Normal"/>
    <w:link w:val="EndnoteTextChar"/>
    <w:uiPriority w:val="99"/>
    <w:semiHidden/>
    <w:unhideWhenUsed/>
    <w:rsid w:val="0030523C"/>
    <w:rPr>
      <w:rFonts w:ascii="Calibri" w:hAnsi="Calibri" w:cs="Times New Roman"/>
      <w:szCs w:val="20"/>
      <w:lang w:val="x-none" w:eastAsia="x-none"/>
    </w:rPr>
  </w:style>
  <w:style w:type="character" w:customStyle="1" w:styleId="EndnoteTextChar">
    <w:name w:val="Endnote Text Char"/>
    <w:basedOn w:val="DefaultParagraphFont"/>
    <w:link w:val="EndnoteText"/>
    <w:uiPriority w:val="99"/>
    <w:semiHidden/>
    <w:rsid w:val="0030523C"/>
    <w:rPr>
      <w:rFonts w:ascii="Calibri" w:eastAsia="Calibri" w:hAnsi="Calibri" w:cs="Times New Roman"/>
      <w:sz w:val="20"/>
      <w:szCs w:val="20"/>
      <w:lang w:val="x-none" w:eastAsia="x-none"/>
    </w:rPr>
  </w:style>
  <w:style w:type="character" w:styleId="EndnoteReference">
    <w:name w:val="endnote reference"/>
    <w:uiPriority w:val="99"/>
    <w:semiHidden/>
    <w:unhideWhenUsed/>
    <w:rsid w:val="0030523C"/>
    <w:rPr>
      <w:vertAlign w:val="superscript"/>
    </w:rPr>
  </w:style>
  <w:style w:type="character" w:customStyle="1" w:styleId="Heading1Char1">
    <w:name w:val="Heading 1 Char1"/>
    <w:aliases w:val="1 Char,Heading 1 Char1 Char Char,Heading 1 Char Char Char Char,Heading 1 Char1 Char Char Char Char,Heading 1 Char Char Char Char Char Char,Heading 1 Char1 Char Char Char Char Char Char,Heading 1 Char Char Char Char Char Char Char Char"/>
    <w:link w:val="Heading1"/>
    <w:rsid w:val="0030523C"/>
    <w:rPr>
      <w:rFonts w:ascii="Arial" w:eastAsia="Times New Roman" w:hAnsi="Arial" w:cs="Times New Roman"/>
      <w:b/>
      <w:bCs/>
      <w:caps/>
      <w:color w:val="FFFFFF"/>
      <w:sz w:val="24"/>
      <w:szCs w:val="28"/>
      <w:shd w:val="clear" w:color="auto" w:fill="244061"/>
      <w:lang w:val="x-none" w:eastAsia="x-none"/>
    </w:rPr>
  </w:style>
  <w:style w:type="paragraph" w:customStyle="1" w:styleId="Sub1">
    <w:name w:val="Sub 1"/>
    <w:basedOn w:val="Normal"/>
    <w:qFormat/>
    <w:rsid w:val="0030523C"/>
    <w:rPr>
      <w:b/>
      <w:color w:val="0070C0"/>
    </w:rPr>
  </w:style>
  <w:style w:type="paragraph" w:customStyle="1" w:styleId="Sub2">
    <w:name w:val="Sub 2"/>
    <w:basedOn w:val="Normal"/>
    <w:qFormat/>
    <w:rsid w:val="0030523C"/>
    <w:rPr>
      <w:rFonts w:eastAsia="Times New Roman" w:cs="Times New Roman"/>
      <w:b/>
      <w:lang w:eastAsia="en-GB"/>
    </w:rPr>
  </w:style>
  <w:style w:type="paragraph" w:customStyle="1" w:styleId="Bullet1">
    <w:name w:val="Bullet 1"/>
    <w:basedOn w:val="Normal"/>
    <w:qFormat/>
    <w:rsid w:val="0030523C"/>
    <w:pPr>
      <w:numPr>
        <w:numId w:val="3"/>
      </w:numPr>
      <w:contextualSpacing/>
    </w:pPr>
    <w:rPr>
      <w:rFonts w:cs="Times New Roman"/>
      <w:color w:val="000000"/>
      <w:lang w:val="en"/>
    </w:rPr>
  </w:style>
  <w:style w:type="paragraph" w:styleId="TOC2">
    <w:name w:val="toc 2"/>
    <w:basedOn w:val="Normal"/>
    <w:next w:val="Normal"/>
    <w:autoRedefine/>
    <w:uiPriority w:val="39"/>
    <w:unhideWhenUsed/>
    <w:rsid w:val="00745254"/>
    <w:pPr>
      <w:tabs>
        <w:tab w:val="left" w:pos="567"/>
        <w:tab w:val="right" w:leader="dot" w:pos="9060"/>
      </w:tabs>
      <w:spacing w:after="100"/>
      <w:ind w:left="850" w:hanging="562"/>
    </w:pPr>
  </w:style>
  <w:style w:type="paragraph" w:styleId="TOC1">
    <w:name w:val="toc 1"/>
    <w:basedOn w:val="Normal"/>
    <w:next w:val="Normal"/>
    <w:autoRedefine/>
    <w:uiPriority w:val="39"/>
    <w:unhideWhenUsed/>
    <w:rsid w:val="002D7F63"/>
    <w:pPr>
      <w:tabs>
        <w:tab w:val="left" w:pos="284"/>
        <w:tab w:val="right" w:leader="dot" w:pos="9060"/>
      </w:tabs>
    </w:pPr>
    <w:rPr>
      <w:b/>
      <w:caps/>
      <w:noProof/>
      <w:szCs w:val="24"/>
    </w:rPr>
  </w:style>
  <w:style w:type="character" w:styleId="PageNumber">
    <w:name w:val="page number"/>
    <w:basedOn w:val="DefaultParagraphFont"/>
    <w:rsid w:val="0030523C"/>
  </w:style>
  <w:style w:type="paragraph" w:customStyle="1" w:styleId="TableText">
    <w:name w:val="Table Text"/>
    <w:rsid w:val="0030523C"/>
    <w:pPr>
      <w:spacing w:after="0" w:line="240" w:lineRule="auto"/>
    </w:pPr>
    <w:rPr>
      <w:rFonts w:ascii="Times New Roman" w:eastAsia="Times New Roman" w:hAnsi="Times New Roman" w:cs="Times New Roman"/>
      <w:snapToGrid w:val="0"/>
      <w:color w:val="000000"/>
      <w:szCs w:val="20"/>
    </w:rPr>
  </w:style>
  <w:style w:type="paragraph" w:styleId="BlockText">
    <w:name w:val="Block Text"/>
    <w:basedOn w:val="Normal"/>
    <w:rsid w:val="0030523C"/>
    <w:pPr>
      <w:ind w:left="426" w:right="-335"/>
      <w:jc w:val="both"/>
    </w:pPr>
    <w:rPr>
      <w:rFonts w:ascii="Times New Roman" w:eastAsia="Times New Roman" w:hAnsi="Times New Roman" w:cs="Times New Roman"/>
      <w:szCs w:val="20"/>
    </w:rPr>
  </w:style>
  <w:style w:type="paragraph" w:styleId="BodyTextIndent2">
    <w:name w:val="Body Text Indent 2"/>
    <w:basedOn w:val="Normal"/>
    <w:link w:val="BodyTextIndent2Char"/>
    <w:rsid w:val="0030523C"/>
    <w:pPr>
      <w:ind w:left="360"/>
    </w:pPr>
    <w:rPr>
      <w:rFonts w:ascii="Times New Roman" w:eastAsia="Times New Roman" w:hAnsi="Times New Roman" w:cs="Times New Roman"/>
      <w:szCs w:val="20"/>
      <w:lang w:val="en-US" w:eastAsia="x-none"/>
    </w:rPr>
  </w:style>
  <w:style w:type="character" w:customStyle="1" w:styleId="BodyTextIndent2Char">
    <w:name w:val="Body Text Indent 2 Char"/>
    <w:basedOn w:val="DefaultParagraphFont"/>
    <w:link w:val="BodyTextIndent2"/>
    <w:rsid w:val="0030523C"/>
    <w:rPr>
      <w:rFonts w:ascii="Times New Roman" w:eastAsia="Times New Roman" w:hAnsi="Times New Roman" w:cs="Times New Roman"/>
      <w:sz w:val="20"/>
      <w:szCs w:val="20"/>
      <w:lang w:val="en-US" w:eastAsia="x-none"/>
    </w:rPr>
  </w:style>
  <w:style w:type="paragraph" w:styleId="BodyTextIndent">
    <w:name w:val="Body Text Indent"/>
    <w:basedOn w:val="Normal"/>
    <w:link w:val="BodyTextIndentChar"/>
    <w:rsid w:val="0030523C"/>
    <w:pPr>
      <w:ind w:left="720"/>
      <w:jc w:val="both"/>
    </w:pPr>
    <w:rPr>
      <w:rFonts w:ascii="Times New Roman" w:eastAsia="Times New Roman" w:hAnsi="Times New Roman" w:cs="Times New Roman"/>
      <w:szCs w:val="20"/>
      <w:lang w:val="x-none" w:eastAsia="x-none"/>
    </w:rPr>
  </w:style>
  <w:style w:type="character" w:customStyle="1" w:styleId="BodyTextIndentChar">
    <w:name w:val="Body Text Indent Char"/>
    <w:basedOn w:val="DefaultParagraphFont"/>
    <w:link w:val="BodyTextIndent"/>
    <w:rsid w:val="0030523C"/>
    <w:rPr>
      <w:rFonts w:ascii="Times New Roman" w:eastAsia="Times New Roman" w:hAnsi="Times New Roman" w:cs="Times New Roman"/>
      <w:sz w:val="20"/>
      <w:szCs w:val="20"/>
      <w:lang w:val="x-none" w:eastAsia="x-none"/>
    </w:rPr>
  </w:style>
  <w:style w:type="paragraph" w:styleId="DocumentMap">
    <w:name w:val="Document Map"/>
    <w:basedOn w:val="Normal"/>
    <w:link w:val="DocumentMapChar"/>
    <w:semiHidden/>
    <w:rsid w:val="0030523C"/>
    <w:pPr>
      <w:shd w:val="clear" w:color="auto" w:fill="000080"/>
    </w:pPr>
    <w:rPr>
      <w:rFonts w:ascii="Tahoma" w:eastAsia="Times New Roman" w:hAnsi="Tahoma" w:cs="Times New Roman"/>
      <w:szCs w:val="20"/>
      <w:lang w:val="x-none" w:eastAsia="x-none"/>
    </w:rPr>
  </w:style>
  <w:style w:type="character" w:customStyle="1" w:styleId="DocumentMapChar">
    <w:name w:val="Document Map Char"/>
    <w:basedOn w:val="DefaultParagraphFont"/>
    <w:link w:val="DocumentMap"/>
    <w:semiHidden/>
    <w:rsid w:val="0030523C"/>
    <w:rPr>
      <w:rFonts w:ascii="Tahoma" w:eastAsia="Times New Roman" w:hAnsi="Tahoma" w:cs="Times New Roman"/>
      <w:sz w:val="24"/>
      <w:szCs w:val="20"/>
      <w:shd w:val="clear" w:color="auto" w:fill="000080"/>
      <w:lang w:val="x-none" w:eastAsia="x-none"/>
    </w:rPr>
  </w:style>
  <w:style w:type="paragraph" w:styleId="EnvelopeReturn">
    <w:name w:val="envelope return"/>
    <w:basedOn w:val="Normal"/>
    <w:rsid w:val="0030523C"/>
    <w:pPr>
      <w:jc w:val="both"/>
    </w:pPr>
    <w:rPr>
      <w:rFonts w:eastAsia="Times New Roman" w:cs="Times New Roman"/>
      <w:szCs w:val="20"/>
    </w:rPr>
  </w:style>
  <w:style w:type="paragraph" w:styleId="BodyTextIndent3">
    <w:name w:val="Body Text Indent 3"/>
    <w:basedOn w:val="Normal"/>
    <w:link w:val="BodyTextIndent3Char"/>
    <w:rsid w:val="0030523C"/>
    <w:pPr>
      <w:tabs>
        <w:tab w:val="left" w:pos="0"/>
        <w:tab w:val="left" w:pos="540"/>
        <w:tab w:val="left" w:pos="851"/>
        <w:tab w:val="left" w:pos="9072"/>
        <w:tab w:val="left" w:pos="9360"/>
      </w:tabs>
      <w:suppressAutoHyphens/>
      <w:ind w:left="993" w:hanging="284"/>
    </w:pPr>
    <w:rPr>
      <w:rFonts w:eastAsia="Times New Roman" w:cs="Times New Roman"/>
      <w:spacing w:val="-3"/>
      <w:szCs w:val="20"/>
      <w:lang w:val="x-none" w:eastAsia="x-none"/>
    </w:rPr>
  </w:style>
  <w:style w:type="character" w:customStyle="1" w:styleId="BodyTextIndent3Char">
    <w:name w:val="Body Text Indent 3 Char"/>
    <w:basedOn w:val="DefaultParagraphFont"/>
    <w:link w:val="BodyTextIndent3"/>
    <w:rsid w:val="0030523C"/>
    <w:rPr>
      <w:rFonts w:ascii="Arial" w:eastAsia="Times New Roman" w:hAnsi="Arial" w:cs="Times New Roman"/>
      <w:spacing w:val="-3"/>
      <w:sz w:val="20"/>
      <w:szCs w:val="20"/>
      <w:lang w:val="x-none" w:eastAsia="x-none"/>
    </w:rPr>
  </w:style>
  <w:style w:type="paragraph" w:customStyle="1" w:styleId="ReportBodyText">
    <w:name w:val="Report Body Text"/>
    <w:basedOn w:val="Normal"/>
    <w:rsid w:val="0030523C"/>
    <w:pPr>
      <w:spacing w:after="120"/>
      <w:jc w:val="both"/>
    </w:pPr>
    <w:rPr>
      <w:rFonts w:eastAsia="Times New Roman" w:cs="Times New Roman"/>
      <w:sz w:val="22"/>
      <w:szCs w:val="20"/>
    </w:rPr>
  </w:style>
  <w:style w:type="paragraph" w:customStyle="1" w:styleId="ReportHead1">
    <w:name w:val="Report Head 1"/>
    <w:basedOn w:val="Normal"/>
    <w:next w:val="Normal"/>
    <w:rsid w:val="0030523C"/>
    <w:pPr>
      <w:numPr>
        <w:numId w:val="5"/>
      </w:numPr>
      <w:spacing w:after="240"/>
      <w:jc w:val="both"/>
      <w:outlineLvl w:val="0"/>
    </w:pPr>
    <w:rPr>
      <w:rFonts w:eastAsia="Times New Roman" w:cs="Times New Roman"/>
      <w:b/>
      <w:caps/>
      <w:szCs w:val="20"/>
    </w:rPr>
  </w:style>
  <w:style w:type="paragraph" w:styleId="ListNumber2">
    <w:name w:val="List Number 2"/>
    <w:basedOn w:val="Normal"/>
    <w:rsid w:val="0030523C"/>
    <w:pPr>
      <w:numPr>
        <w:numId w:val="4"/>
      </w:numPr>
      <w:jc w:val="both"/>
    </w:pPr>
    <w:rPr>
      <w:rFonts w:eastAsia="Times New Roman" w:cs="Times New Roman"/>
      <w:szCs w:val="20"/>
    </w:rPr>
  </w:style>
  <w:style w:type="paragraph" w:customStyle="1" w:styleId="ReportHead2">
    <w:name w:val="Report Head 2"/>
    <w:basedOn w:val="Normal"/>
    <w:next w:val="Normal"/>
    <w:rsid w:val="0030523C"/>
    <w:pPr>
      <w:numPr>
        <w:ilvl w:val="1"/>
        <w:numId w:val="6"/>
      </w:numPr>
      <w:spacing w:after="240"/>
      <w:jc w:val="both"/>
      <w:outlineLvl w:val="1"/>
    </w:pPr>
    <w:rPr>
      <w:rFonts w:eastAsia="Times New Roman" w:cs="Times New Roman"/>
      <w:b/>
      <w:szCs w:val="20"/>
    </w:rPr>
  </w:style>
  <w:style w:type="paragraph" w:customStyle="1" w:styleId="ReportHead3">
    <w:name w:val="Report Head 3"/>
    <w:basedOn w:val="Normal"/>
    <w:next w:val="Normal"/>
    <w:rsid w:val="0030523C"/>
    <w:pPr>
      <w:numPr>
        <w:ilvl w:val="1"/>
        <w:numId w:val="5"/>
      </w:numPr>
      <w:spacing w:after="120"/>
      <w:jc w:val="both"/>
      <w:outlineLvl w:val="1"/>
    </w:pPr>
    <w:rPr>
      <w:rFonts w:eastAsia="Times New Roman" w:cs="Times New Roman"/>
      <w:szCs w:val="20"/>
    </w:rPr>
  </w:style>
  <w:style w:type="paragraph" w:customStyle="1" w:styleId="ReportHead4">
    <w:name w:val="Report Head 4"/>
    <w:basedOn w:val="Normal"/>
    <w:rsid w:val="0030523C"/>
    <w:pPr>
      <w:numPr>
        <w:ilvl w:val="2"/>
        <w:numId w:val="5"/>
      </w:numPr>
      <w:spacing w:after="120"/>
      <w:jc w:val="both"/>
      <w:outlineLvl w:val="2"/>
    </w:pPr>
    <w:rPr>
      <w:rFonts w:eastAsia="Times New Roman" w:cs="Times New Roman"/>
      <w:szCs w:val="20"/>
    </w:rPr>
  </w:style>
  <w:style w:type="paragraph" w:customStyle="1" w:styleId="ReportHead5">
    <w:name w:val="Report Head 5"/>
    <w:basedOn w:val="Normal"/>
    <w:rsid w:val="0030523C"/>
    <w:pPr>
      <w:tabs>
        <w:tab w:val="num" w:pos="851"/>
      </w:tabs>
      <w:spacing w:after="120"/>
      <w:ind w:left="851" w:hanging="851"/>
      <w:jc w:val="both"/>
      <w:outlineLvl w:val="3"/>
    </w:pPr>
    <w:rPr>
      <w:rFonts w:eastAsia="Times New Roman" w:cs="Times New Roman"/>
      <w:szCs w:val="20"/>
    </w:rPr>
  </w:style>
  <w:style w:type="paragraph" w:customStyle="1" w:styleId="ReportHead6">
    <w:name w:val="Report Head 6"/>
    <w:basedOn w:val="Normal"/>
    <w:rsid w:val="0030523C"/>
    <w:pPr>
      <w:tabs>
        <w:tab w:val="num" w:pos="850"/>
      </w:tabs>
      <w:spacing w:after="120"/>
      <w:ind w:left="850" w:hanging="850"/>
      <w:jc w:val="both"/>
      <w:outlineLvl w:val="4"/>
    </w:pPr>
    <w:rPr>
      <w:rFonts w:eastAsia="Times New Roman" w:cs="Times New Roman"/>
      <w:szCs w:val="20"/>
    </w:rPr>
  </w:style>
  <w:style w:type="paragraph" w:customStyle="1" w:styleId="lefttext">
    <w:name w:val="lefttext"/>
    <w:basedOn w:val="Normal"/>
    <w:rsid w:val="0030523C"/>
    <w:pPr>
      <w:spacing w:before="100" w:beforeAutospacing="1" w:after="100" w:afterAutospacing="1"/>
    </w:pPr>
    <w:rPr>
      <w:rFonts w:ascii="Times New Roman" w:eastAsia="Times New Roman" w:hAnsi="Times New Roman" w:cs="Times New Roman"/>
      <w:szCs w:val="24"/>
      <w:lang w:val="nl-BE" w:eastAsia="nl-BE"/>
    </w:rPr>
  </w:style>
  <w:style w:type="paragraph" w:customStyle="1" w:styleId="ListBullet1">
    <w:name w:val="List Bullet 1"/>
    <w:basedOn w:val="Normal"/>
    <w:rsid w:val="0030523C"/>
    <w:pPr>
      <w:numPr>
        <w:numId w:val="7"/>
      </w:numPr>
      <w:spacing w:after="240"/>
      <w:jc w:val="both"/>
    </w:pPr>
    <w:rPr>
      <w:rFonts w:ascii="Times New Roman" w:eastAsia="Times New Roman" w:hAnsi="Times New Roman" w:cs="Times New Roman"/>
      <w:szCs w:val="20"/>
    </w:rPr>
  </w:style>
  <w:style w:type="paragraph" w:customStyle="1" w:styleId="Text1">
    <w:name w:val="Text 1"/>
    <w:basedOn w:val="Normal"/>
    <w:rsid w:val="0030523C"/>
    <w:pPr>
      <w:spacing w:after="240"/>
      <w:ind w:left="482"/>
      <w:jc w:val="both"/>
    </w:pPr>
    <w:rPr>
      <w:rFonts w:ascii="Times New Roman" w:eastAsia="Times New Roman" w:hAnsi="Times New Roman" w:cs="Times New Roman"/>
      <w:szCs w:val="20"/>
    </w:rPr>
  </w:style>
  <w:style w:type="paragraph" w:customStyle="1" w:styleId="Text3">
    <w:name w:val="Text 3"/>
    <w:basedOn w:val="Normal"/>
    <w:rsid w:val="0030523C"/>
    <w:pPr>
      <w:tabs>
        <w:tab w:val="left" w:pos="2302"/>
      </w:tabs>
      <w:spacing w:after="240"/>
      <w:ind w:left="1916"/>
      <w:jc w:val="both"/>
    </w:pPr>
    <w:rPr>
      <w:rFonts w:ascii="Times New Roman" w:eastAsia="Times New Roman" w:hAnsi="Times New Roman" w:cs="Times New Roman"/>
      <w:szCs w:val="20"/>
    </w:rPr>
  </w:style>
  <w:style w:type="paragraph" w:styleId="ListBullet2">
    <w:name w:val="List Bullet 2"/>
    <w:basedOn w:val="Normal"/>
    <w:rsid w:val="0030523C"/>
    <w:pPr>
      <w:numPr>
        <w:numId w:val="8"/>
      </w:numPr>
      <w:spacing w:after="240"/>
      <w:jc w:val="both"/>
    </w:pPr>
    <w:rPr>
      <w:rFonts w:ascii="Times New Roman" w:eastAsia="Times New Roman" w:hAnsi="Times New Roman" w:cs="Times New Roman"/>
      <w:szCs w:val="20"/>
    </w:rPr>
  </w:style>
  <w:style w:type="paragraph" w:customStyle="1" w:styleId="questionsub">
    <w:name w:val="question sub"/>
    <w:basedOn w:val="Normal"/>
    <w:rsid w:val="0030523C"/>
    <w:pPr>
      <w:spacing w:after="120"/>
      <w:ind w:left="576" w:hanging="288"/>
    </w:pPr>
    <w:rPr>
      <w:rFonts w:ascii="Times New Roman" w:eastAsia="Times New Roman" w:hAnsi="Times New Roman" w:cs="Times New Roman"/>
      <w:sz w:val="22"/>
      <w:szCs w:val="20"/>
      <w:lang w:val="en-US"/>
    </w:rPr>
  </w:style>
  <w:style w:type="paragraph" w:customStyle="1" w:styleId="TableauNormal1">
    <w:name w:val="Tableau Normal1"/>
    <w:basedOn w:val="Header"/>
    <w:rsid w:val="0030523C"/>
    <w:pPr>
      <w:tabs>
        <w:tab w:val="clear" w:pos="4513"/>
        <w:tab w:val="clear" w:pos="9026"/>
        <w:tab w:val="center" w:pos="4253"/>
        <w:tab w:val="right" w:pos="8505"/>
      </w:tabs>
      <w:spacing w:before="60" w:after="60"/>
    </w:pPr>
    <w:rPr>
      <w:rFonts w:ascii="Times New Roman" w:eastAsia="Times New Roman" w:hAnsi="Times New Roman" w:cs="Times New Roman"/>
      <w:sz w:val="16"/>
      <w:szCs w:val="20"/>
    </w:rPr>
  </w:style>
  <w:style w:type="paragraph" w:customStyle="1" w:styleId="Ballontekst">
    <w:name w:val="Ballontekst"/>
    <w:basedOn w:val="Normal"/>
    <w:semiHidden/>
    <w:rsid w:val="0030523C"/>
    <w:rPr>
      <w:rFonts w:ascii="Tahoma" w:eastAsia="Times New Roman" w:hAnsi="Tahoma" w:cs="Tahoma"/>
      <w:sz w:val="16"/>
    </w:rPr>
  </w:style>
  <w:style w:type="paragraph" w:customStyle="1" w:styleId="MSStandardLevel2">
    <w:name w:val="MS Standard Level 2"/>
    <w:basedOn w:val="Normal"/>
    <w:rsid w:val="0030523C"/>
    <w:pPr>
      <w:tabs>
        <w:tab w:val="num" w:pos="850"/>
      </w:tabs>
      <w:spacing w:after="120"/>
      <w:ind w:left="850" w:hanging="850"/>
      <w:jc w:val="both"/>
      <w:outlineLvl w:val="1"/>
    </w:pPr>
    <w:rPr>
      <w:rFonts w:eastAsia="Times New Roman" w:cs="Times New Roman"/>
      <w:szCs w:val="20"/>
    </w:rPr>
  </w:style>
  <w:style w:type="paragraph" w:customStyle="1" w:styleId="MSStandardLevel3">
    <w:name w:val="MS Standard Level 3"/>
    <w:basedOn w:val="Normal"/>
    <w:rsid w:val="0030523C"/>
    <w:pPr>
      <w:tabs>
        <w:tab w:val="num" w:pos="850"/>
      </w:tabs>
      <w:spacing w:after="120"/>
      <w:ind w:left="850" w:hanging="850"/>
      <w:jc w:val="both"/>
      <w:outlineLvl w:val="2"/>
    </w:pPr>
    <w:rPr>
      <w:rFonts w:eastAsia="Times New Roman" w:cs="Times New Roman"/>
      <w:szCs w:val="20"/>
    </w:rPr>
  </w:style>
  <w:style w:type="paragraph" w:customStyle="1" w:styleId="MSStandardLevel4">
    <w:name w:val="MS Standard Level 4"/>
    <w:basedOn w:val="Normal"/>
    <w:rsid w:val="0030523C"/>
    <w:pPr>
      <w:tabs>
        <w:tab w:val="num" w:pos="1134"/>
      </w:tabs>
      <w:spacing w:after="120"/>
      <w:ind w:left="1134" w:hanging="1134"/>
      <w:jc w:val="both"/>
      <w:outlineLvl w:val="3"/>
    </w:pPr>
    <w:rPr>
      <w:rFonts w:eastAsia="Times New Roman" w:cs="Times New Roman"/>
      <w:szCs w:val="20"/>
    </w:rPr>
  </w:style>
  <w:style w:type="paragraph" w:customStyle="1" w:styleId="MSStandardLevel5">
    <w:name w:val="MS Standard Level 5"/>
    <w:basedOn w:val="Normal"/>
    <w:rsid w:val="0030523C"/>
    <w:pPr>
      <w:tabs>
        <w:tab w:val="left" w:pos="1134"/>
        <w:tab w:val="num" w:pos="1440"/>
      </w:tabs>
      <w:spacing w:after="120"/>
      <w:ind w:left="1134" w:hanging="1134"/>
      <w:jc w:val="both"/>
      <w:outlineLvl w:val="4"/>
    </w:pPr>
    <w:rPr>
      <w:rFonts w:eastAsia="Times New Roman" w:cs="Times New Roman"/>
      <w:szCs w:val="20"/>
    </w:rPr>
  </w:style>
  <w:style w:type="paragraph" w:customStyle="1" w:styleId="MSStandardLevel6">
    <w:name w:val="MS Standard Level 6"/>
    <w:basedOn w:val="Normal"/>
    <w:rsid w:val="0030523C"/>
    <w:pPr>
      <w:tabs>
        <w:tab w:val="left" w:pos="1134"/>
        <w:tab w:val="num" w:pos="1440"/>
      </w:tabs>
      <w:spacing w:after="120"/>
      <w:ind w:left="1134" w:hanging="1134"/>
      <w:jc w:val="both"/>
      <w:outlineLvl w:val="5"/>
    </w:pPr>
    <w:rPr>
      <w:rFonts w:eastAsia="Times New Roman" w:cs="Times New Roman"/>
      <w:szCs w:val="20"/>
    </w:rPr>
  </w:style>
  <w:style w:type="paragraph" w:customStyle="1" w:styleId="MSStandardLevel7">
    <w:name w:val="MS Standard Level 7"/>
    <w:basedOn w:val="Normal"/>
    <w:rsid w:val="0030523C"/>
    <w:pPr>
      <w:tabs>
        <w:tab w:val="left" w:pos="1418"/>
        <w:tab w:val="num" w:pos="1797"/>
      </w:tabs>
      <w:spacing w:after="120"/>
      <w:ind w:left="1417" w:hanging="1417"/>
      <w:jc w:val="both"/>
      <w:outlineLvl w:val="6"/>
    </w:pPr>
    <w:rPr>
      <w:rFonts w:eastAsia="Times New Roman" w:cs="Times New Roman"/>
      <w:szCs w:val="20"/>
    </w:rPr>
  </w:style>
  <w:style w:type="paragraph" w:customStyle="1" w:styleId="MSHouseLevel2">
    <w:name w:val="MS House Level 2"/>
    <w:basedOn w:val="Normal"/>
    <w:rsid w:val="0030523C"/>
    <w:pPr>
      <w:numPr>
        <w:ilvl w:val="1"/>
        <w:numId w:val="9"/>
      </w:numPr>
      <w:spacing w:after="120"/>
      <w:jc w:val="both"/>
      <w:outlineLvl w:val="1"/>
    </w:pPr>
    <w:rPr>
      <w:rFonts w:eastAsia="Times New Roman" w:cs="Times New Roman"/>
      <w:szCs w:val="20"/>
    </w:rPr>
  </w:style>
  <w:style w:type="paragraph" w:customStyle="1" w:styleId="MSHouseLevel3">
    <w:name w:val="MS House Level 3"/>
    <w:basedOn w:val="Normal"/>
    <w:rsid w:val="0030523C"/>
    <w:pPr>
      <w:spacing w:after="120"/>
      <w:jc w:val="both"/>
      <w:outlineLvl w:val="2"/>
    </w:pPr>
    <w:rPr>
      <w:rFonts w:eastAsia="Times New Roman" w:cs="Times New Roman"/>
      <w:szCs w:val="20"/>
    </w:rPr>
  </w:style>
  <w:style w:type="paragraph" w:customStyle="1" w:styleId="MSHouseLevel4">
    <w:name w:val="MS House Level 4"/>
    <w:basedOn w:val="Normal"/>
    <w:rsid w:val="0030523C"/>
    <w:pPr>
      <w:tabs>
        <w:tab w:val="num" w:pos="851"/>
      </w:tabs>
      <w:spacing w:after="120"/>
      <w:ind w:left="851" w:hanging="851"/>
      <w:jc w:val="both"/>
      <w:outlineLvl w:val="3"/>
    </w:pPr>
    <w:rPr>
      <w:rFonts w:eastAsia="Times New Roman" w:cs="Times New Roman"/>
      <w:szCs w:val="20"/>
    </w:rPr>
  </w:style>
  <w:style w:type="paragraph" w:customStyle="1" w:styleId="MSHouseLevel5">
    <w:name w:val="MS House Level 5"/>
    <w:basedOn w:val="Normal"/>
    <w:rsid w:val="0030523C"/>
    <w:pPr>
      <w:tabs>
        <w:tab w:val="num" w:pos="851"/>
      </w:tabs>
      <w:spacing w:after="120"/>
      <w:ind w:left="851" w:hanging="851"/>
      <w:jc w:val="both"/>
      <w:outlineLvl w:val="4"/>
    </w:pPr>
    <w:rPr>
      <w:rFonts w:eastAsia="Times New Roman" w:cs="Times New Roman"/>
      <w:szCs w:val="20"/>
    </w:rPr>
  </w:style>
  <w:style w:type="paragraph" w:customStyle="1" w:styleId="MSHouseLevel6">
    <w:name w:val="MS House Level 6"/>
    <w:basedOn w:val="Normal"/>
    <w:rsid w:val="0030523C"/>
    <w:pPr>
      <w:tabs>
        <w:tab w:val="num" w:pos="1418"/>
      </w:tabs>
      <w:spacing w:after="120"/>
      <w:ind w:left="1418" w:hanging="567"/>
      <w:jc w:val="both"/>
      <w:outlineLvl w:val="5"/>
    </w:pPr>
    <w:rPr>
      <w:rFonts w:eastAsia="Times New Roman" w:cs="Times New Roman"/>
      <w:szCs w:val="20"/>
    </w:rPr>
  </w:style>
  <w:style w:type="paragraph" w:customStyle="1" w:styleId="MSHouseLevel7">
    <w:name w:val="MS House Level 7"/>
    <w:basedOn w:val="Normal"/>
    <w:rsid w:val="0030523C"/>
    <w:pPr>
      <w:tabs>
        <w:tab w:val="num" w:pos="1985"/>
      </w:tabs>
      <w:spacing w:after="120"/>
      <w:ind w:left="1985" w:hanging="567"/>
      <w:jc w:val="both"/>
      <w:outlineLvl w:val="6"/>
    </w:pPr>
    <w:rPr>
      <w:rFonts w:eastAsia="Times New Roman" w:cs="Times New Roman"/>
      <w:szCs w:val="20"/>
    </w:rPr>
  </w:style>
  <w:style w:type="paragraph" w:customStyle="1" w:styleId="MSLetterLevel2">
    <w:name w:val="MS Letter Level 2"/>
    <w:basedOn w:val="MSLetterLevel1"/>
    <w:rsid w:val="0030523C"/>
  </w:style>
  <w:style w:type="paragraph" w:customStyle="1" w:styleId="MSLetterLevel1">
    <w:name w:val="MS Letter Level 1"/>
    <w:basedOn w:val="Normal"/>
    <w:rsid w:val="0030523C"/>
    <w:pPr>
      <w:tabs>
        <w:tab w:val="num" w:pos="360"/>
      </w:tabs>
      <w:spacing w:after="120"/>
      <w:ind w:left="360" w:hanging="360"/>
      <w:jc w:val="both"/>
    </w:pPr>
    <w:rPr>
      <w:rFonts w:eastAsia="Times New Roman" w:cs="Times New Roman"/>
      <w:szCs w:val="20"/>
    </w:rPr>
  </w:style>
  <w:style w:type="paragraph" w:customStyle="1" w:styleId="MSLetterLevel3">
    <w:name w:val="MS Letter Level 3"/>
    <w:basedOn w:val="MSLetterLevel2"/>
    <w:rsid w:val="0030523C"/>
    <w:pPr>
      <w:tabs>
        <w:tab w:val="left" w:pos="1134"/>
      </w:tabs>
    </w:pPr>
  </w:style>
  <w:style w:type="paragraph" w:customStyle="1" w:styleId="NoteHead">
    <w:name w:val="NoteHead"/>
    <w:basedOn w:val="Normal"/>
    <w:next w:val="Subject"/>
    <w:rsid w:val="0030523C"/>
    <w:pPr>
      <w:spacing w:before="720" w:after="720"/>
      <w:jc w:val="center"/>
    </w:pPr>
    <w:rPr>
      <w:rFonts w:ascii="Times New Roman" w:eastAsia="Times New Roman" w:hAnsi="Times New Roman" w:cs="Times New Roman"/>
      <w:b/>
      <w:smallCaps/>
      <w:szCs w:val="20"/>
    </w:rPr>
  </w:style>
  <w:style w:type="paragraph" w:customStyle="1" w:styleId="Subject">
    <w:name w:val="Subject"/>
    <w:basedOn w:val="Normal"/>
    <w:next w:val="Normal"/>
    <w:rsid w:val="0030523C"/>
    <w:pPr>
      <w:spacing w:after="480"/>
      <w:ind w:left="1191" w:hanging="1191"/>
    </w:pPr>
    <w:rPr>
      <w:rFonts w:ascii="Times New Roman" w:eastAsia="Times New Roman" w:hAnsi="Times New Roman" w:cs="Times New Roman"/>
      <w:b/>
      <w:szCs w:val="20"/>
    </w:rPr>
  </w:style>
  <w:style w:type="paragraph" w:customStyle="1" w:styleId="References">
    <w:name w:val="References"/>
    <w:basedOn w:val="Normal"/>
    <w:next w:val="AddressTR"/>
    <w:rsid w:val="0030523C"/>
    <w:pPr>
      <w:spacing w:after="240"/>
      <w:ind w:left="5103"/>
    </w:pPr>
    <w:rPr>
      <w:rFonts w:ascii="Times New Roman" w:eastAsia="Times New Roman" w:hAnsi="Times New Roman" w:cs="Times New Roman"/>
      <w:szCs w:val="20"/>
    </w:rPr>
  </w:style>
  <w:style w:type="paragraph" w:customStyle="1" w:styleId="AddressTR">
    <w:name w:val="AddressTR"/>
    <w:basedOn w:val="Normal"/>
    <w:next w:val="Normal"/>
    <w:rsid w:val="0030523C"/>
    <w:pPr>
      <w:spacing w:after="720"/>
      <w:ind w:left="5103"/>
    </w:pPr>
    <w:rPr>
      <w:rFonts w:ascii="Times New Roman" w:eastAsia="Times New Roman" w:hAnsi="Times New Roman" w:cs="Times New Roman"/>
      <w:szCs w:val="20"/>
    </w:rPr>
  </w:style>
  <w:style w:type="paragraph" w:styleId="Title">
    <w:name w:val="Title"/>
    <w:basedOn w:val="Normal"/>
    <w:next w:val="SubTitle1"/>
    <w:link w:val="TitleChar"/>
    <w:qFormat/>
    <w:rsid w:val="0030523C"/>
    <w:pPr>
      <w:spacing w:after="480"/>
      <w:jc w:val="center"/>
    </w:pPr>
    <w:rPr>
      <w:rFonts w:ascii="Times New Roman" w:eastAsia="Times New Roman" w:hAnsi="Times New Roman" w:cs="Times New Roman"/>
      <w:b/>
      <w:kern w:val="28"/>
      <w:sz w:val="48"/>
      <w:szCs w:val="20"/>
      <w:lang w:val="x-none" w:eastAsia="x-none"/>
    </w:rPr>
  </w:style>
  <w:style w:type="character" w:customStyle="1" w:styleId="TitleChar">
    <w:name w:val="Title Char"/>
    <w:basedOn w:val="DefaultParagraphFont"/>
    <w:link w:val="Title"/>
    <w:rsid w:val="0030523C"/>
    <w:rPr>
      <w:rFonts w:ascii="Times New Roman" w:eastAsia="Times New Roman" w:hAnsi="Times New Roman" w:cs="Times New Roman"/>
      <w:b/>
      <w:kern w:val="28"/>
      <w:sz w:val="48"/>
      <w:szCs w:val="20"/>
      <w:lang w:val="x-none" w:eastAsia="x-none"/>
    </w:rPr>
  </w:style>
  <w:style w:type="paragraph" w:customStyle="1" w:styleId="SubTitle1">
    <w:name w:val="SubTitle 1"/>
    <w:basedOn w:val="Normal"/>
    <w:next w:val="SubTitle2"/>
    <w:rsid w:val="0030523C"/>
    <w:pPr>
      <w:spacing w:after="240"/>
      <w:jc w:val="center"/>
    </w:pPr>
    <w:rPr>
      <w:rFonts w:ascii="Times New Roman" w:eastAsia="Times New Roman" w:hAnsi="Times New Roman" w:cs="Times New Roman"/>
      <w:b/>
      <w:sz w:val="40"/>
      <w:szCs w:val="20"/>
    </w:rPr>
  </w:style>
  <w:style w:type="paragraph" w:customStyle="1" w:styleId="SubTitle2">
    <w:name w:val="SubTitle 2"/>
    <w:basedOn w:val="Normal"/>
    <w:rsid w:val="0030523C"/>
    <w:pPr>
      <w:spacing w:after="240"/>
      <w:jc w:val="center"/>
    </w:pPr>
    <w:rPr>
      <w:rFonts w:ascii="Times New Roman" w:eastAsia="Times New Roman" w:hAnsi="Times New Roman" w:cs="Times New Roman"/>
      <w:b/>
      <w:sz w:val="32"/>
      <w:szCs w:val="20"/>
    </w:rPr>
  </w:style>
  <w:style w:type="paragraph" w:customStyle="1" w:styleId="Text2">
    <w:name w:val="Text 2"/>
    <w:basedOn w:val="Normal"/>
    <w:rsid w:val="0030523C"/>
    <w:pPr>
      <w:tabs>
        <w:tab w:val="left" w:pos="2161"/>
      </w:tabs>
      <w:spacing w:after="240"/>
      <w:ind w:left="1202"/>
      <w:jc w:val="both"/>
    </w:pPr>
    <w:rPr>
      <w:rFonts w:ascii="Times New Roman" w:eastAsia="Times New Roman" w:hAnsi="Times New Roman" w:cs="Times New Roman"/>
      <w:szCs w:val="20"/>
    </w:rPr>
  </w:style>
  <w:style w:type="paragraph" w:customStyle="1" w:styleId="ChapterTitle">
    <w:name w:val="ChapterTitle"/>
    <w:basedOn w:val="Normal"/>
    <w:next w:val="SectionTitle"/>
    <w:rsid w:val="0030523C"/>
    <w:pPr>
      <w:keepNext/>
      <w:spacing w:after="480"/>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rsid w:val="0030523C"/>
    <w:pPr>
      <w:keepNext/>
      <w:spacing w:after="480"/>
      <w:jc w:val="center"/>
    </w:pPr>
    <w:rPr>
      <w:rFonts w:ascii="Times New Roman" w:eastAsia="Times New Roman" w:hAnsi="Times New Roman" w:cs="Times New Roman"/>
      <w:b/>
      <w:smallCaps/>
      <w:sz w:val="28"/>
      <w:szCs w:val="20"/>
    </w:rPr>
  </w:style>
  <w:style w:type="paragraph" w:styleId="Index7">
    <w:name w:val="index 7"/>
    <w:basedOn w:val="Normal"/>
    <w:next w:val="Normal"/>
    <w:autoRedefine/>
    <w:semiHidden/>
    <w:rsid w:val="0030523C"/>
    <w:pPr>
      <w:spacing w:after="240"/>
      <w:ind w:left="1680" w:hanging="240"/>
      <w:jc w:val="both"/>
    </w:pPr>
    <w:rPr>
      <w:rFonts w:ascii="Times New Roman" w:eastAsia="Times New Roman" w:hAnsi="Times New Roman" w:cs="Times New Roman"/>
      <w:szCs w:val="20"/>
    </w:rPr>
  </w:style>
  <w:style w:type="paragraph" w:styleId="Index9">
    <w:name w:val="index 9"/>
    <w:basedOn w:val="Normal"/>
    <w:next w:val="Normal"/>
    <w:autoRedefine/>
    <w:semiHidden/>
    <w:rsid w:val="0030523C"/>
    <w:pPr>
      <w:spacing w:after="240"/>
      <w:ind w:left="2160" w:hanging="240"/>
      <w:jc w:val="both"/>
    </w:pPr>
    <w:rPr>
      <w:rFonts w:ascii="Times New Roman" w:eastAsia="Times New Roman" w:hAnsi="Times New Roman" w:cs="Times New Roman"/>
      <w:szCs w:val="20"/>
    </w:rPr>
  </w:style>
  <w:style w:type="paragraph" w:customStyle="1" w:styleId="MSHouseLevel1">
    <w:name w:val="MS House Level 1"/>
    <w:basedOn w:val="Normal"/>
    <w:rsid w:val="0030523C"/>
    <w:pPr>
      <w:numPr>
        <w:numId w:val="9"/>
      </w:numPr>
      <w:spacing w:after="240"/>
      <w:jc w:val="both"/>
      <w:outlineLvl w:val="0"/>
    </w:pPr>
    <w:rPr>
      <w:rFonts w:eastAsia="Times New Roman" w:cs="Times New Roman"/>
      <w:b/>
      <w:caps/>
      <w:sz w:val="22"/>
      <w:szCs w:val="20"/>
    </w:rPr>
  </w:style>
  <w:style w:type="paragraph" w:styleId="TOC3">
    <w:name w:val="toc 3"/>
    <w:basedOn w:val="Normal"/>
    <w:next w:val="Normal"/>
    <w:autoRedefine/>
    <w:uiPriority w:val="39"/>
    <w:rsid w:val="0030523C"/>
    <w:pPr>
      <w:tabs>
        <w:tab w:val="left" w:pos="1200"/>
        <w:tab w:val="right" w:leader="dot" w:pos="8778"/>
      </w:tabs>
      <w:ind w:left="480"/>
    </w:pPr>
    <w:rPr>
      <w:rFonts w:eastAsia="Times New Roman"/>
      <w:noProof/>
      <w:szCs w:val="20"/>
    </w:rPr>
  </w:style>
  <w:style w:type="paragraph" w:styleId="TOC4">
    <w:name w:val="toc 4"/>
    <w:basedOn w:val="Normal"/>
    <w:next w:val="Normal"/>
    <w:autoRedefine/>
    <w:semiHidden/>
    <w:rsid w:val="0030523C"/>
    <w:pPr>
      <w:ind w:left="720"/>
    </w:pPr>
    <w:rPr>
      <w:rFonts w:ascii="Times New Roman" w:eastAsia="Times New Roman" w:hAnsi="Times New Roman" w:cs="Times New Roman"/>
      <w:szCs w:val="24"/>
    </w:rPr>
  </w:style>
  <w:style w:type="paragraph" w:styleId="TOC5">
    <w:name w:val="toc 5"/>
    <w:basedOn w:val="Normal"/>
    <w:next w:val="Normal"/>
    <w:autoRedefine/>
    <w:semiHidden/>
    <w:rsid w:val="0030523C"/>
    <w:pPr>
      <w:ind w:left="960"/>
    </w:pPr>
    <w:rPr>
      <w:rFonts w:ascii="Times New Roman" w:eastAsia="Times New Roman" w:hAnsi="Times New Roman" w:cs="Times New Roman"/>
      <w:szCs w:val="24"/>
    </w:rPr>
  </w:style>
  <w:style w:type="paragraph" w:styleId="TOC6">
    <w:name w:val="toc 6"/>
    <w:basedOn w:val="Normal"/>
    <w:next w:val="Normal"/>
    <w:autoRedefine/>
    <w:semiHidden/>
    <w:rsid w:val="0030523C"/>
    <w:pPr>
      <w:ind w:left="1200"/>
    </w:pPr>
    <w:rPr>
      <w:rFonts w:ascii="Times New Roman" w:eastAsia="Times New Roman" w:hAnsi="Times New Roman" w:cs="Times New Roman"/>
      <w:szCs w:val="24"/>
    </w:rPr>
  </w:style>
  <w:style w:type="paragraph" w:styleId="TOC7">
    <w:name w:val="toc 7"/>
    <w:basedOn w:val="Normal"/>
    <w:next w:val="Normal"/>
    <w:autoRedefine/>
    <w:semiHidden/>
    <w:rsid w:val="0030523C"/>
    <w:pPr>
      <w:ind w:left="1440"/>
    </w:pPr>
    <w:rPr>
      <w:rFonts w:ascii="Times New Roman" w:eastAsia="Times New Roman" w:hAnsi="Times New Roman" w:cs="Times New Roman"/>
      <w:szCs w:val="24"/>
    </w:rPr>
  </w:style>
  <w:style w:type="paragraph" w:styleId="TOC8">
    <w:name w:val="toc 8"/>
    <w:basedOn w:val="Normal"/>
    <w:next w:val="Normal"/>
    <w:autoRedefine/>
    <w:semiHidden/>
    <w:rsid w:val="0030523C"/>
    <w:pPr>
      <w:ind w:left="1680"/>
    </w:pPr>
    <w:rPr>
      <w:rFonts w:ascii="Times New Roman" w:eastAsia="Times New Roman" w:hAnsi="Times New Roman" w:cs="Times New Roman"/>
      <w:szCs w:val="24"/>
    </w:rPr>
  </w:style>
  <w:style w:type="paragraph" w:styleId="TOC9">
    <w:name w:val="toc 9"/>
    <w:basedOn w:val="Normal"/>
    <w:next w:val="Normal"/>
    <w:autoRedefine/>
    <w:semiHidden/>
    <w:rsid w:val="0030523C"/>
    <w:pPr>
      <w:ind w:left="1920"/>
    </w:pPr>
    <w:rPr>
      <w:rFonts w:ascii="Times New Roman" w:eastAsia="Times New Roman" w:hAnsi="Times New Roman" w:cs="Times New Roman"/>
      <w:szCs w:val="24"/>
    </w:rPr>
  </w:style>
  <w:style w:type="paragraph" w:customStyle="1" w:styleId="MSBulletLevel1">
    <w:name w:val="MS Bullet Level 1"/>
    <w:basedOn w:val="Normal"/>
    <w:rsid w:val="0030523C"/>
    <w:pPr>
      <w:numPr>
        <w:numId w:val="10"/>
      </w:numPr>
      <w:spacing w:after="120"/>
      <w:jc w:val="both"/>
    </w:pPr>
    <w:rPr>
      <w:rFonts w:eastAsia="Times New Roman" w:cs="Times New Roman"/>
      <w:szCs w:val="20"/>
    </w:rPr>
  </w:style>
  <w:style w:type="paragraph" w:styleId="Caption">
    <w:name w:val="caption"/>
    <w:basedOn w:val="Normal"/>
    <w:next w:val="Normal"/>
    <w:qFormat/>
    <w:rsid w:val="0030523C"/>
    <w:pPr>
      <w:spacing w:before="120" w:after="120"/>
      <w:jc w:val="both"/>
    </w:pPr>
    <w:rPr>
      <w:rFonts w:ascii="Times New Roman" w:eastAsia="Times New Roman" w:hAnsi="Times New Roman" w:cs="Times New Roman"/>
      <w:b/>
      <w:szCs w:val="20"/>
    </w:rPr>
  </w:style>
  <w:style w:type="paragraph" w:styleId="List">
    <w:name w:val="List"/>
    <w:basedOn w:val="Normal"/>
    <w:rsid w:val="0030523C"/>
    <w:pPr>
      <w:spacing w:after="240"/>
      <w:ind w:left="283" w:hanging="283"/>
      <w:jc w:val="both"/>
    </w:pPr>
    <w:rPr>
      <w:rFonts w:ascii="Times New Roman" w:eastAsia="Times New Roman" w:hAnsi="Times New Roman" w:cs="Times New Roman"/>
      <w:szCs w:val="20"/>
    </w:rPr>
  </w:style>
  <w:style w:type="paragraph" w:styleId="NoteHeading">
    <w:name w:val="Note Heading"/>
    <w:basedOn w:val="Normal"/>
    <w:next w:val="Normal"/>
    <w:link w:val="NoteHeadingChar"/>
    <w:rsid w:val="0030523C"/>
    <w:pPr>
      <w:spacing w:after="240"/>
      <w:jc w:val="both"/>
    </w:pPr>
    <w:rPr>
      <w:rFonts w:ascii="Times New Roman" w:eastAsia="Times New Roman" w:hAnsi="Times New Roman" w:cs="Times New Roman"/>
      <w:szCs w:val="20"/>
      <w:lang w:val="x-none" w:eastAsia="x-none"/>
    </w:rPr>
  </w:style>
  <w:style w:type="character" w:customStyle="1" w:styleId="NoteHeadingChar">
    <w:name w:val="Note Heading Char"/>
    <w:basedOn w:val="DefaultParagraphFont"/>
    <w:link w:val="NoteHeading"/>
    <w:rsid w:val="0030523C"/>
    <w:rPr>
      <w:rFonts w:ascii="Times New Roman" w:eastAsia="Times New Roman" w:hAnsi="Times New Roman" w:cs="Times New Roman"/>
      <w:sz w:val="24"/>
      <w:szCs w:val="20"/>
      <w:lang w:val="x-none" w:eastAsia="x-none"/>
    </w:rPr>
  </w:style>
  <w:style w:type="paragraph" w:customStyle="1" w:styleId="MSBulletLevel2">
    <w:name w:val="MS Bullet Level 2"/>
    <w:basedOn w:val="Normal"/>
    <w:rsid w:val="0030523C"/>
    <w:pPr>
      <w:numPr>
        <w:ilvl w:val="1"/>
        <w:numId w:val="11"/>
      </w:numPr>
      <w:spacing w:after="120"/>
      <w:jc w:val="both"/>
    </w:pPr>
    <w:rPr>
      <w:rFonts w:eastAsia="Times New Roman" w:cs="Times New Roman"/>
      <w:szCs w:val="20"/>
    </w:rPr>
  </w:style>
  <w:style w:type="paragraph" w:customStyle="1" w:styleId="MSBulletLevel3">
    <w:name w:val="MS Bullet Level 3"/>
    <w:basedOn w:val="Normal"/>
    <w:rsid w:val="0030523C"/>
    <w:pPr>
      <w:numPr>
        <w:ilvl w:val="2"/>
        <w:numId w:val="11"/>
      </w:numPr>
      <w:spacing w:after="120"/>
      <w:jc w:val="both"/>
    </w:pPr>
    <w:rPr>
      <w:rFonts w:eastAsia="Times New Roman" w:cs="Times New Roman"/>
      <w:szCs w:val="20"/>
    </w:rPr>
  </w:style>
  <w:style w:type="paragraph" w:styleId="ListNumber3">
    <w:name w:val="List Number 3"/>
    <w:basedOn w:val="Text3"/>
    <w:rsid w:val="0030523C"/>
    <w:pPr>
      <w:numPr>
        <w:numId w:val="12"/>
      </w:numPr>
      <w:tabs>
        <w:tab w:val="clear" w:pos="2302"/>
      </w:tabs>
    </w:pPr>
  </w:style>
  <w:style w:type="paragraph" w:customStyle="1" w:styleId="ListNumber3Level2">
    <w:name w:val="List Number 3 (Level 2)"/>
    <w:basedOn w:val="Text3"/>
    <w:rsid w:val="0030523C"/>
    <w:pPr>
      <w:numPr>
        <w:ilvl w:val="1"/>
        <w:numId w:val="12"/>
      </w:numPr>
      <w:tabs>
        <w:tab w:val="clear" w:pos="2302"/>
      </w:tabs>
    </w:pPr>
  </w:style>
  <w:style w:type="paragraph" w:customStyle="1" w:styleId="ListNumber3Level3">
    <w:name w:val="List Number 3 (Level 3)"/>
    <w:basedOn w:val="Text3"/>
    <w:rsid w:val="0030523C"/>
    <w:pPr>
      <w:numPr>
        <w:ilvl w:val="2"/>
        <w:numId w:val="12"/>
      </w:numPr>
      <w:tabs>
        <w:tab w:val="clear" w:pos="2302"/>
      </w:tabs>
    </w:pPr>
  </w:style>
  <w:style w:type="paragraph" w:customStyle="1" w:styleId="ListNumber3Level4">
    <w:name w:val="List Number 3 (Level 4)"/>
    <w:basedOn w:val="Text3"/>
    <w:rsid w:val="0030523C"/>
    <w:pPr>
      <w:numPr>
        <w:ilvl w:val="3"/>
        <w:numId w:val="12"/>
      </w:numPr>
      <w:tabs>
        <w:tab w:val="clear" w:pos="2302"/>
      </w:tabs>
    </w:pPr>
  </w:style>
  <w:style w:type="paragraph" w:customStyle="1" w:styleId="ListParagraph1">
    <w:name w:val="List Paragraph1"/>
    <w:basedOn w:val="Normal"/>
    <w:uiPriority w:val="34"/>
    <w:qFormat/>
    <w:rsid w:val="0030523C"/>
    <w:pPr>
      <w:spacing w:after="200" w:line="276" w:lineRule="auto"/>
      <w:ind w:left="720"/>
      <w:contextualSpacing/>
    </w:pPr>
    <w:rPr>
      <w:rFonts w:ascii="Calibri" w:hAnsi="Calibri" w:cs="Times New Roman"/>
      <w:sz w:val="22"/>
    </w:rPr>
  </w:style>
  <w:style w:type="paragraph" w:customStyle="1" w:styleId="Heading">
    <w:name w:val="Heading"/>
    <w:next w:val="Normal"/>
    <w:rsid w:val="0030523C"/>
    <w:pPr>
      <w:keepNext/>
      <w:spacing w:after="0" w:line="240" w:lineRule="auto"/>
    </w:pPr>
    <w:rPr>
      <w:rFonts w:ascii="Calibri Bold" w:eastAsia="ヒラギノ角ゴ Pro W3" w:hAnsi="Calibri Bold" w:cs="Times New Roman"/>
      <w:color w:val="000000"/>
      <w:sz w:val="28"/>
      <w:szCs w:val="20"/>
    </w:rPr>
  </w:style>
  <w:style w:type="paragraph" w:customStyle="1" w:styleId="Body">
    <w:name w:val="Body"/>
    <w:rsid w:val="0030523C"/>
    <w:pPr>
      <w:spacing w:after="0" w:line="240" w:lineRule="auto"/>
      <w:jc w:val="both"/>
    </w:pPr>
    <w:rPr>
      <w:rFonts w:ascii="Calibri" w:eastAsia="ヒラギノ角ゴ Pro W3" w:hAnsi="Calibri" w:cs="Times New Roman"/>
      <w:color w:val="000000"/>
      <w:szCs w:val="20"/>
    </w:rPr>
  </w:style>
  <w:style w:type="paragraph" w:styleId="MacroText">
    <w:name w:val="macro"/>
    <w:link w:val="MacroTextChar"/>
    <w:rsid w:val="0030523C"/>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fr-FR" w:eastAsia="fr-FR"/>
    </w:rPr>
  </w:style>
  <w:style w:type="character" w:customStyle="1" w:styleId="MacroTextChar">
    <w:name w:val="Macro Text Char"/>
    <w:basedOn w:val="DefaultParagraphFont"/>
    <w:link w:val="MacroText"/>
    <w:rsid w:val="0030523C"/>
    <w:rPr>
      <w:rFonts w:ascii="Courier New" w:eastAsia="Times New Roman" w:hAnsi="Courier New" w:cs="Times New Roman"/>
      <w:sz w:val="20"/>
      <w:szCs w:val="20"/>
      <w:lang w:val="fr-FR" w:eastAsia="fr-FR"/>
    </w:rPr>
  </w:style>
  <w:style w:type="paragraph" w:styleId="TOCHeading">
    <w:name w:val="TOC Heading"/>
    <w:basedOn w:val="Heading1"/>
    <w:next w:val="Normal"/>
    <w:uiPriority w:val="39"/>
    <w:semiHidden/>
    <w:unhideWhenUsed/>
    <w:qFormat/>
    <w:rsid w:val="0030523C"/>
    <w:pPr>
      <w:shd w:val="clear" w:color="auto" w:fill="002060"/>
      <w:tabs>
        <w:tab w:val="clear" w:pos="567"/>
      </w:tabs>
      <w:spacing w:before="480" w:after="240" w:line="276" w:lineRule="auto"/>
      <w:outlineLvl w:val="9"/>
    </w:pPr>
    <w:rPr>
      <w:rFonts w:ascii="Cambria" w:hAnsi="Cambria"/>
      <w:bCs w:val="0"/>
      <w:caps w:val="0"/>
      <w:color w:val="365F91"/>
      <w:kern w:val="32"/>
      <w:sz w:val="28"/>
      <w:lang w:val="fr-FR" w:bidi="ar-TN"/>
    </w:rPr>
  </w:style>
  <w:style w:type="table" w:styleId="MediumList2-Accent1">
    <w:name w:val="Medium List 2 Accent 1"/>
    <w:basedOn w:val="TableNormal"/>
    <w:uiPriority w:val="66"/>
    <w:rsid w:val="0030523C"/>
    <w:pPr>
      <w:spacing w:after="0" w:line="240" w:lineRule="auto"/>
    </w:pPr>
    <w:rPr>
      <w:rFonts w:ascii="Cambria" w:eastAsia="Times New Roman" w:hAnsi="Cambria" w:cs="Times New Roman"/>
      <w:color w:val="000000"/>
      <w:sz w:val="20"/>
      <w:szCs w:val="20"/>
      <w:lang w:val="fr-FR"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IFIAlgeriastyle">
    <w:name w:val="IFI Algeria style"/>
    <w:rsid w:val="0030523C"/>
    <w:pPr>
      <w:numPr>
        <w:numId w:val="14"/>
      </w:numPr>
    </w:pPr>
  </w:style>
  <w:style w:type="paragraph" w:customStyle="1" w:styleId="Pa5">
    <w:name w:val="Pa5"/>
    <w:basedOn w:val="Normal"/>
    <w:next w:val="Normal"/>
    <w:uiPriority w:val="99"/>
    <w:rsid w:val="0030523C"/>
    <w:pPr>
      <w:autoSpaceDE w:val="0"/>
      <w:autoSpaceDN w:val="0"/>
      <w:adjustRightInd w:val="0"/>
      <w:spacing w:line="201" w:lineRule="atLeast"/>
    </w:pPr>
    <w:rPr>
      <w:rFonts w:ascii="Myriad Pro SemiCond" w:eastAsia="Times New Roman" w:hAnsi="Myriad Pro SemiCond" w:cs="Times New Roman"/>
      <w:szCs w:val="24"/>
      <w:lang w:val="fr-FR" w:eastAsia="fr-FR"/>
    </w:rPr>
  </w:style>
  <w:style w:type="character" w:customStyle="1" w:styleId="A12">
    <w:name w:val="A12"/>
    <w:uiPriority w:val="99"/>
    <w:rsid w:val="0030523C"/>
    <w:rPr>
      <w:rFonts w:cs="Myriad Pro SemiCond"/>
      <w:color w:val="211D1E"/>
      <w:sz w:val="19"/>
      <w:szCs w:val="19"/>
    </w:rPr>
  </w:style>
  <w:style w:type="character" w:customStyle="1" w:styleId="hps">
    <w:name w:val="hps"/>
    <w:basedOn w:val="DefaultParagraphFont"/>
    <w:rsid w:val="0030523C"/>
  </w:style>
  <w:style w:type="paragraph" w:customStyle="1" w:styleId="Pa6">
    <w:name w:val="Pa6"/>
    <w:basedOn w:val="Default"/>
    <w:next w:val="Default"/>
    <w:uiPriority w:val="99"/>
    <w:rsid w:val="0030523C"/>
    <w:pPr>
      <w:spacing w:line="201" w:lineRule="atLeast"/>
    </w:pPr>
    <w:rPr>
      <w:rFonts w:ascii="Times New Roman" w:eastAsia="Times New Roman" w:hAnsi="Times New Roman" w:cs="Times New Roman"/>
      <w:color w:val="auto"/>
      <w:lang w:val="fr-FR" w:eastAsia="fr-FR"/>
    </w:rPr>
  </w:style>
  <w:style w:type="paragraph" w:customStyle="1" w:styleId="font5">
    <w:name w:val="font5"/>
    <w:basedOn w:val="Normal"/>
    <w:rsid w:val="0030523C"/>
    <w:pPr>
      <w:spacing w:before="100" w:beforeAutospacing="1" w:after="100" w:afterAutospacing="1"/>
    </w:pPr>
    <w:rPr>
      <w:rFonts w:ascii="Calibri" w:eastAsia="Times New Roman" w:hAnsi="Calibri" w:cs="Times New Roman"/>
      <w:color w:val="000000"/>
      <w:szCs w:val="20"/>
      <w:lang w:val="fr-FR" w:eastAsia="fr-FR"/>
    </w:rPr>
  </w:style>
  <w:style w:type="paragraph" w:customStyle="1" w:styleId="xl65">
    <w:name w:val="xl65"/>
    <w:basedOn w:val="Normal"/>
    <w:rsid w:val="0030523C"/>
    <w:pPr>
      <w:shd w:val="clear" w:color="000000" w:fill="244061"/>
      <w:spacing w:before="100" w:beforeAutospacing="1" w:after="100" w:afterAutospacing="1"/>
      <w:jc w:val="center"/>
      <w:textAlignment w:val="center"/>
    </w:pPr>
    <w:rPr>
      <w:rFonts w:eastAsia="Times New Roman"/>
      <w:b/>
      <w:bCs/>
      <w:color w:val="FFFFFF"/>
      <w:sz w:val="16"/>
      <w:lang w:val="fr-FR" w:eastAsia="fr-FR"/>
    </w:rPr>
  </w:style>
  <w:style w:type="paragraph" w:customStyle="1" w:styleId="xl66">
    <w:name w:val="xl66"/>
    <w:basedOn w:val="Normal"/>
    <w:rsid w:val="0030523C"/>
    <w:pPr>
      <w:pBdr>
        <w:top w:val="single" w:sz="8" w:space="0" w:color="2F75B5"/>
      </w:pBdr>
      <w:shd w:val="clear" w:color="000000" w:fill="B8CCE4"/>
      <w:spacing w:before="100" w:beforeAutospacing="1" w:after="100" w:afterAutospacing="1"/>
      <w:textAlignment w:val="center"/>
    </w:pPr>
    <w:rPr>
      <w:rFonts w:eastAsia="Times New Roman"/>
      <w:sz w:val="16"/>
      <w:lang w:val="fr-FR" w:eastAsia="fr-FR"/>
    </w:rPr>
  </w:style>
  <w:style w:type="paragraph" w:customStyle="1" w:styleId="xl67">
    <w:name w:val="xl67"/>
    <w:basedOn w:val="Normal"/>
    <w:rsid w:val="0030523C"/>
    <w:pPr>
      <w:spacing w:before="100" w:beforeAutospacing="1" w:after="100" w:afterAutospacing="1"/>
      <w:textAlignment w:val="center"/>
    </w:pPr>
    <w:rPr>
      <w:rFonts w:eastAsia="Times New Roman"/>
      <w:sz w:val="16"/>
      <w:lang w:val="fr-FR" w:eastAsia="fr-FR"/>
    </w:rPr>
  </w:style>
  <w:style w:type="paragraph" w:customStyle="1" w:styleId="xl68">
    <w:name w:val="xl68"/>
    <w:basedOn w:val="Normal"/>
    <w:rsid w:val="0030523C"/>
    <w:pPr>
      <w:pBdr>
        <w:top w:val="single" w:sz="8" w:space="0" w:color="2F75B5"/>
      </w:pBdr>
      <w:shd w:val="clear" w:color="000000" w:fill="B8CCE4"/>
      <w:spacing w:before="100" w:beforeAutospacing="1" w:after="100" w:afterAutospacing="1"/>
      <w:jc w:val="center"/>
      <w:textAlignment w:val="center"/>
    </w:pPr>
    <w:rPr>
      <w:rFonts w:eastAsia="Times New Roman"/>
      <w:sz w:val="16"/>
      <w:lang w:val="fr-FR" w:eastAsia="fr-FR"/>
    </w:rPr>
  </w:style>
  <w:style w:type="paragraph" w:customStyle="1" w:styleId="xl69">
    <w:name w:val="xl69"/>
    <w:basedOn w:val="Normal"/>
    <w:rsid w:val="0030523C"/>
    <w:pPr>
      <w:spacing w:before="100" w:beforeAutospacing="1" w:after="100" w:afterAutospacing="1"/>
      <w:jc w:val="center"/>
      <w:textAlignment w:val="center"/>
    </w:pPr>
    <w:rPr>
      <w:rFonts w:eastAsia="Times New Roman"/>
      <w:sz w:val="16"/>
      <w:lang w:val="fr-FR" w:eastAsia="fr-FR"/>
    </w:rPr>
  </w:style>
  <w:style w:type="paragraph" w:customStyle="1" w:styleId="xl70">
    <w:name w:val="xl70"/>
    <w:basedOn w:val="Normal"/>
    <w:rsid w:val="0030523C"/>
    <w:pPr>
      <w:shd w:val="clear" w:color="000000" w:fill="B8CCE4"/>
      <w:spacing w:before="100" w:beforeAutospacing="1" w:after="100" w:afterAutospacing="1"/>
      <w:textAlignment w:val="center"/>
    </w:pPr>
    <w:rPr>
      <w:rFonts w:eastAsia="Times New Roman"/>
      <w:sz w:val="16"/>
      <w:lang w:val="fr-FR" w:eastAsia="fr-FR"/>
    </w:rPr>
  </w:style>
  <w:style w:type="paragraph" w:customStyle="1" w:styleId="xl71">
    <w:name w:val="xl71"/>
    <w:basedOn w:val="Normal"/>
    <w:rsid w:val="0030523C"/>
    <w:pPr>
      <w:shd w:val="clear" w:color="000000" w:fill="B8CCE4"/>
      <w:spacing w:before="100" w:beforeAutospacing="1" w:after="100" w:afterAutospacing="1"/>
      <w:jc w:val="center"/>
      <w:textAlignment w:val="center"/>
    </w:pPr>
    <w:rPr>
      <w:rFonts w:eastAsia="Times New Roman"/>
      <w:sz w:val="16"/>
      <w:lang w:val="fr-FR" w:eastAsia="fr-FR"/>
    </w:rPr>
  </w:style>
  <w:style w:type="paragraph" w:customStyle="1" w:styleId="xl72">
    <w:name w:val="xl72"/>
    <w:basedOn w:val="Normal"/>
    <w:rsid w:val="0030523C"/>
    <w:pPr>
      <w:spacing w:before="100" w:beforeAutospacing="1" w:after="100" w:afterAutospacing="1"/>
    </w:pPr>
    <w:rPr>
      <w:rFonts w:ascii="Times New Roman" w:eastAsia="Times New Roman" w:hAnsi="Times New Roman" w:cs="Times New Roman"/>
      <w:szCs w:val="24"/>
      <w:lang w:val="fr-FR" w:eastAsia="fr-FR"/>
    </w:rPr>
  </w:style>
  <w:style w:type="paragraph" w:customStyle="1" w:styleId="xl73">
    <w:name w:val="xl73"/>
    <w:basedOn w:val="Normal"/>
    <w:rsid w:val="0030523C"/>
    <w:pPr>
      <w:pBdr>
        <w:top w:val="single" w:sz="8" w:space="0" w:color="2F75B5"/>
      </w:pBdr>
      <w:shd w:val="clear" w:color="000000" w:fill="B8CCE4"/>
      <w:spacing w:before="100" w:beforeAutospacing="1" w:after="100" w:afterAutospacing="1"/>
      <w:textAlignment w:val="center"/>
    </w:pPr>
    <w:rPr>
      <w:rFonts w:eastAsia="Times New Roman"/>
      <w:sz w:val="16"/>
      <w:lang w:val="fr-FR" w:eastAsia="fr-FR"/>
    </w:rPr>
  </w:style>
  <w:style w:type="paragraph" w:customStyle="1" w:styleId="xl74">
    <w:name w:val="xl74"/>
    <w:basedOn w:val="Normal"/>
    <w:rsid w:val="0030523C"/>
    <w:pPr>
      <w:spacing w:before="100" w:beforeAutospacing="1" w:after="100" w:afterAutospacing="1"/>
      <w:textAlignment w:val="center"/>
    </w:pPr>
    <w:rPr>
      <w:rFonts w:eastAsia="Times New Roman"/>
      <w:sz w:val="16"/>
      <w:lang w:val="fr-FR" w:eastAsia="fr-FR"/>
    </w:rPr>
  </w:style>
  <w:style w:type="paragraph" w:customStyle="1" w:styleId="xl75">
    <w:name w:val="xl75"/>
    <w:basedOn w:val="Normal"/>
    <w:rsid w:val="0030523C"/>
    <w:pPr>
      <w:shd w:val="clear" w:color="000000" w:fill="B8CCE4"/>
      <w:spacing w:before="100" w:beforeAutospacing="1" w:after="100" w:afterAutospacing="1"/>
      <w:textAlignment w:val="center"/>
    </w:pPr>
    <w:rPr>
      <w:rFonts w:eastAsia="Times New Roman"/>
      <w:sz w:val="16"/>
      <w:lang w:val="fr-FR" w:eastAsia="fr-FR"/>
    </w:rPr>
  </w:style>
  <w:style w:type="paragraph" w:customStyle="1" w:styleId="xl76">
    <w:name w:val="xl76"/>
    <w:basedOn w:val="Normal"/>
    <w:rsid w:val="0030523C"/>
    <w:pPr>
      <w:pBdr>
        <w:top w:val="single" w:sz="8" w:space="0" w:color="2F75B5"/>
      </w:pBdr>
      <w:shd w:val="clear" w:color="000000" w:fill="B8CCE4"/>
      <w:spacing w:before="100" w:beforeAutospacing="1" w:after="100" w:afterAutospacing="1"/>
      <w:jc w:val="center"/>
      <w:textAlignment w:val="center"/>
    </w:pPr>
    <w:rPr>
      <w:rFonts w:eastAsia="Times New Roman"/>
      <w:sz w:val="16"/>
      <w:lang w:val="fr-FR" w:eastAsia="fr-FR"/>
    </w:rPr>
  </w:style>
  <w:style w:type="paragraph" w:customStyle="1" w:styleId="xl77">
    <w:name w:val="xl77"/>
    <w:basedOn w:val="Normal"/>
    <w:rsid w:val="0030523C"/>
    <w:pPr>
      <w:spacing w:before="100" w:beforeAutospacing="1" w:after="100" w:afterAutospacing="1"/>
      <w:jc w:val="center"/>
      <w:textAlignment w:val="center"/>
    </w:pPr>
    <w:rPr>
      <w:rFonts w:eastAsia="Times New Roman"/>
      <w:sz w:val="16"/>
      <w:lang w:val="fr-FR" w:eastAsia="fr-FR"/>
    </w:rPr>
  </w:style>
  <w:style w:type="paragraph" w:customStyle="1" w:styleId="xl78">
    <w:name w:val="xl78"/>
    <w:basedOn w:val="Normal"/>
    <w:rsid w:val="0030523C"/>
    <w:pPr>
      <w:shd w:val="clear" w:color="000000" w:fill="B8CCE4"/>
      <w:spacing w:before="100" w:beforeAutospacing="1" w:after="100" w:afterAutospacing="1"/>
      <w:jc w:val="center"/>
      <w:textAlignment w:val="center"/>
    </w:pPr>
    <w:rPr>
      <w:rFonts w:eastAsia="Times New Roman"/>
      <w:sz w:val="16"/>
      <w:lang w:val="fr-FR" w:eastAsia="fr-FR"/>
    </w:rPr>
  </w:style>
  <w:style w:type="paragraph" w:customStyle="1" w:styleId="xl79">
    <w:name w:val="xl79"/>
    <w:basedOn w:val="Normal"/>
    <w:rsid w:val="0030523C"/>
    <w:pPr>
      <w:spacing w:before="100" w:beforeAutospacing="1" w:after="100" w:afterAutospacing="1"/>
      <w:jc w:val="center"/>
      <w:textAlignment w:val="center"/>
    </w:pPr>
    <w:rPr>
      <w:rFonts w:ascii="Times New Roman" w:eastAsia="Times New Roman" w:hAnsi="Times New Roman" w:cs="Times New Roman"/>
      <w:szCs w:val="24"/>
      <w:lang w:val="fr-FR" w:eastAsia="fr-FR"/>
    </w:rPr>
  </w:style>
  <w:style w:type="paragraph" w:customStyle="1" w:styleId="xl80">
    <w:name w:val="xl80"/>
    <w:basedOn w:val="Normal"/>
    <w:rsid w:val="0030523C"/>
    <w:pPr>
      <w:spacing w:before="100" w:beforeAutospacing="1" w:after="100" w:afterAutospacing="1"/>
      <w:jc w:val="center"/>
    </w:pPr>
    <w:rPr>
      <w:rFonts w:ascii="Times New Roman" w:eastAsia="Times New Roman" w:hAnsi="Times New Roman" w:cs="Times New Roman"/>
      <w:szCs w:val="24"/>
      <w:lang w:val="fr-FR" w:eastAsia="fr-FR"/>
    </w:rPr>
  </w:style>
  <w:style w:type="paragraph" w:customStyle="1" w:styleId="xl81">
    <w:name w:val="xl81"/>
    <w:basedOn w:val="Normal"/>
    <w:rsid w:val="0030523C"/>
    <w:pPr>
      <w:shd w:val="clear" w:color="000000" w:fill="B8CCE4"/>
      <w:spacing w:before="100" w:beforeAutospacing="1" w:after="100" w:afterAutospacing="1"/>
      <w:textAlignment w:val="center"/>
    </w:pPr>
    <w:rPr>
      <w:rFonts w:eastAsia="Times New Roman"/>
      <w:sz w:val="16"/>
      <w:lang w:val="fr-FR" w:eastAsia="fr-FR"/>
    </w:rPr>
  </w:style>
  <w:style w:type="paragraph" w:customStyle="1" w:styleId="xl82">
    <w:name w:val="xl82"/>
    <w:basedOn w:val="Normal"/>
    <w:rsid w:val="0030523C"/>
    <w:pPr>
      <w:pBdr>
        <w:top w:val="single" w:sz="12" w:space="0" w:color="4F81BD"/>
      </w:pBdr>
      <w:shd w:val="clear" w:color="000000" w:fill="B8CCE4"/>
      <w:spacing w:before="100" w:beforeAutospacing="1" w:after="100" w:afterAutospacing="1"/>
      <w:textAlignment w:val="center"/>
    </w:pPr>
    <w:rPr>
      <w:rFonts w:eastAsia="Times New Roman"/>
      <w:sz w:val="16"/>
      <w:lang w:val="fr-FR" w:eastAsia="fr-FR"/>
    </w:rPr>
  </w:style>
  <w:style w:type="paragraph" w:customStyle="1" w:styleId="xl83">
    <w:name w:val="xl83"/>
    <w:basedOn w:val="Normal"/>
    <w:rsid w:val="0030523C"/>
    <w:pPr>
      <w:pBdr>
        <w:right w:val="single" w:sz="12" w:space="0" w:color="808080"/>
      </w:pBdr>
      <w:shd w:val="clear" w:color="000000" w:fill="B8CCE4"/>
      <w:spacing w:before="100" w:beforeAutospacing="1" w:after="100" w:afterAutospacing="1"/>
      <w:textAlignment w:val="center"/>
    </w:pPr>
    <w:rPr>
      <w:rFonts w:eastAsia="Times New Roman"/>
      <w:sz w:val="16"/>
      <w:lang w:val="fr-FR" w:eastAsia="fr-FR"/>
    </w:rPr>
  </w:style>
  <w:style w:type="paragraph" w:customStyle="1" w:styleId="xl84">
    <w:name w:val="xl84"/>
    <w:basedOn w:val="Normal"/>
    <w:rsid w:val="0030523C"/>
    <w:pPr>
      <w:pBdr>
        <w:top w:val="single" w:sz="12" w:space="0" w:color="4F81BD"/>
      </w:pBdr>
      <w:shd w:val="clear" w:color="000000" w:fill="B8CCE4"/>
      <w:spacing w:before="100" w:beforeAutospacing="1" w:after="100" w:afterAutospacing="1"/>
      <w:textAlignment w:val="center"/>
    </w:pPr>
    <w:rPr>
      <w:rFonts w:eastAsia="Times New Roman"/>
      <w:sz w:val="16"/>
      <w:lang w:val="fr-FR" w:eastAsia="fr-FR"/>
    </w:rPr>
  </w:style>
  <w:style w:type="paragraph" w:customStyle="1" w:styleId="xl85">
    <w:name w:val="xl85"/>
    <w:basedOn w:val="Normal"/>
    <w:rsid w:val="0030523C"/>
    <w:pPr>
      <w:spacing w:before="100" w:beforeAutospacing="1" w:after="100" w:afterAutospacing="1"/>
      <w:jc w:val="center"/>
      <w:textAlignment w:val="center"/>
    </w:pPr>
    <w:rPr>
      <w:rFonts w:eastAsia="Times New Roman"/>
      <w:sz w:val="16"/>
      <w:lang w:val="fr-FR" w:eastAsia="fr-FR"/>
    </w:rPr>
  </w:style>
  <w:style w:type="paragraph" w:customStyle="1" w:styleId="xl86">
    <w:name w:val="xl86"/>
    <w:basedOn w:val="Normal"/>
    <w:rsid w:val="0030523C"/>
    <w:pPr>
      <w:spacing w:before="100" w:beforeAutospacing="1" w:after="100" w:afterAutospacing="1"/>
      <w:textAlignment w:val="center"/>
    </w:pPr>
    <w:rPr>
      <w:rFonts w:eastAsia="Times New Roman"/>
      <w:sz w:val="16"/>
      <w:lang w:val="fr-FR" w:eastAsia="fr-FR"/>
    </w:rPr>
  </w:style>
  <w:style w:type="paragraph" w:customStyle="1" w:styleId="xl87">
    <w:name w:val="xl87"/>
    <w:basedOn w:val="Normal"/>
    <w:rsid w:val="0030523C"/>
    <w:pPr>
      <w:pBdr>
        <w:right w:val="single" w:sz="12" w:space="0" w:color="808080"/>
      </w:pBdr>
      <w:spacing w:before="100" w:beforeAutospacing="1" w:after="100" w:afterAutospacing="1"/>
      <w:textAlignment w:val="center"/>
    </w:pPr>
    <w:rPr>
      <w:rFonts w:eastAsia="Times New Roman"/>
      <w:sz w:val="16"/>
      <w:lang w:val="fr-FR" w:eastAsia="fr-FR"/>
    </w:rPr>
  </w:style>
  <w:style w:type="paragraph" w:customStyle="1" w:styleId="xl88">
    <w:name w:val="xl88"/>
    <w:basedOn w:val="Normal"/>
    <w:rsid w:val="0030523C"/>
    <w:pPr>
      <w:pBdr>
        <w:bottom w:val="single" w:sz="12" w:space="0" w:color="4F81BD"/>
      </w:pBdr>
      <w:spacing w:before="100" w:beforeAutospacing="1" w:after="100" w:afterAutospacing="1"/>
      <w:textAlignment w:val="center"/>
    </w:pPr>
    <w:rPr>
      <w:rFonts w:eastAsia="Times New Roman"/>
      <w:sz w:val="16"/>
      <w:lang w:val="fr-FR" w:eastAsia="fr-FR"/>
    </w:rPr>
  </w:style>
  <w:style w:type="paragraph" w:customStyle="1" w:styleId="xl89">
    <w:name w:val="xl89"/>
    <w:basedOn w:val="Normal"/>
    <w:rsid w:val="0030523C"/>
    <w:pPr>
      <w:pBdr>
        <w:top w:val="single" w:sz="12" w:space="0" w:color="4F81BD"/>
      </w:pBdr>
      <w:shd w:val="clear" w:color="000000" w:fill="BFBFBF"/>
      <w:spacing w:before="100" w:beforeAutospacing="1" w:after="100" w:afterAutospacing="1"/>
      <w:jc w:val="center"/>
      <w:textAlignment w:val="center"/>
    </w:pPr>
    <w:rPr>
      <w:rFonts w:eastAsia="Times New Roman"/>
      <w:sz w:val="16"/>
      <w:lang w:val="fr-FR" w:eastAsia="fr-FR"/>
    </w:rPr>
  </w:style>
  <w:style w:type="paragraph" w:customStyle="1" w:styleId="xl90">
    <w:name w:val="xl90"/>
    <w:basedOn w:val="Normal"/>
    <w:rsid w:val="0030523C"/>
    <w:pPr>
      <w:pBdr>
        <w:top w:val="single" w:sz="12" w:space="0" w:color="4F81BD"/>
      </w:pBdr>
      <w:shd w:val="clear" w:color="000000" w:fill="BFBFBF"/>
      <w:spacing w:before="100" w:beforeAutospacing="1" w:after="100" w:afterAutospacing="1"/>
      <w:textAlignment w:val="center"/>
    </w:pPr>
    <w:rPr>
      <w:rFonts w:eastAsia="Times New Roman"/>
      <w:b/>
      <w:bCs/>
      <w:sz w:val="16"/>
      <w:lang w:val="fr-FR" w:eastAsia="fr-FR"/>
    </w:rPr>
  </w:style>
  <w:style w:type="paragraph" w:customStyle="1" w:styleId="xl91">
    <w:name w:val="xl91"/>
    <w:basedOn w:val="Normal"/>
    <w:rsid w:val="0030523C"/>
    <w:pPr>
      <w:pBdr>
        <w:top w:val="single" w:sz="12" w:space="0" w:color="4F81BD"/>
      </w:pBdr>
      <w:shd w:val="clear" w:color="000000" w:fill="BFBFBF"/>
      <w:spacing w:before="100" w:beforeAutospacing="1" w:after="100" w:afterAutospacing="1"/>
      <w:textAlignment w:val="center"/>
    </w:pPr>
    <w:rPr>
      <w:rFonts w:eastAsia="Times New Roman"/>
      <w:b/>
      <w:bCs/>
      <w:sz w:val="16"/>
      <w:lang w:val="fr-FR" w:eastAsia="fr-FR"/>
    </w:rPr>
  </w:style>
  <w:style w:type="paragraph" w:customStyle="1" w:styleId="xl92">
    <w:name w:val="xl92"/>
    <w:basedOn w:val="Normal"/>
    <w:rsid w:val="0030523C"/>
    <w:pPr>
      <w:spacing w:before="100" w:beforeAutospacing="1" w:after="100" w:afterAutospacing="1"/>
    </w:pPr>
    <w:rPr>
      <w:rFonts w:eastAsia="Times New Roman"/>
      <w:sz w:val="16"/>
      <w:lang w:val="fr-FR" w:eastAsia="fr-FR"/>
    </w:rPr>
  </w:style>
  <w:style w:type="paragraph" w:customStyle="1" w:styleId="xl93">
    <w:name w:val="xl93"/>
    <w:basedOn w:val="Normal"/>
    <w:rsid w:val="0030523C"/>
    <w:pPr>
      <w:spacing w:before="100" w:beforeAutospacing="1" w:after="100" w:afterAutospacing="1"/>
      <w:jc w:val="center"/>
    </w:pPr>
    <w:rPr>
      <w:rFonts w:eastAsia="Times New Roman"/>
      <w:sz w:val="16"/>
      <w:lang w:val="fr-FR" w:eastAsia="fr-FR"/>
    </w:rPr>
  </w:style>
  <w:style w:type="paragraph" w:customStyle="1" w:styleId="xl94">
    <w:name w:val="xl94"/>
    <w:basedOn w:val="Normal"/>
    <w:rsid w:val="0030523C"/>
    <w:pPr>
      <w:spacing w:before="100" w:beforeAutospacing="1" w:after="100" w:afterAutospacing="1"/>
    </w:pPr>
    <w:rPr>
      <w:rFonts w:eastAsia="Times New Roman"/>
      <w:sz w:val="16"/>
      <w:lang w:val="fr-FR" w:eastAsia="fr-FR"/>
    </w:rPr>
  </w:style>
  <w:style w:type="paragraph" w:customStyle="1" w:styleId="xl95">
    <w:name w:val="xl95"/>
    <w:basedOn w:val="Normal"/>
    <w:rsid w:val="0030523C"/>
    <w:pPr>
      <w:spacing w:before="100" w:beforeAutospacing="1" w:after="100" w:afterAutospacing="1"/>
      <w:jc w:val="center"/>
    </w:pPr>
    <w:rPr>
      <w:rFonts w:eastAsia="Times New Roman"/>
      <w:sz w:val="16"/>
      <w:lang w:val="fr-FR" w:eastAsia="fr-FR"/>
    </w:rPr>
  </w:style>
  <w:style w:type="paragraph" w:customStyle="1" w:styleId="xl96">
    <w:name w:val="xl96"/>
    <w:basedOn w:val="Normal"/>
    <w:rsid w:val="0030523C"/>
    <w:pPr>
      <w:spacing w:before="100" w:beforeAutospacing="1" w:after="100" w:afterAutospacing="1"/>
    </w:pPr>
    <w:rPr>
      <w:rFonts w:eastAsia="Times New Roman"/>
      <w:sz w:val="16"/>
      <w:lang w:val="fr-FR" w:eastAsia="fr-FR"/>
    </w:rPr>
  </w:style>
  <w:style w:type="paragraph" w:customStyle="1" w:styleId="xl97">
    <w:name w:val="xl97"/>
    <w:basedOn w:val="Normal"/>
    <w:rsid w:val="0030523C"/>
    <w:pPr>
      <w:spacing w:before="100" w:beforeAutospacing="1" w:after="100" w:afterAutospacing="1"/>
      <w:jc w:val="right"/>
      <w:textAlignment w:val="center"/>
    </w:pPr>
    <w:rPr>
      <w:rFonts w:eastAsia="Times New Roman"/>
      <w:i/>
      <w:iCs/>
      <w:sz w:val="16"/>
      <w:lang w:val="fr-FR" w:eastAsia="fr-FR"/>
    </w:rPr>
  </w:style>
  <w:style w:type="paragraph" w:customStyle="1" w:styleId="xl1961">
    <w:name w:val="xl1961"/>
    <w:basedOn w:val="Normal"/>
    <w:rsid w:val="0030523C"/>
    <w:pPr>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62">
    <w:name w:val="xl1962"/>
    <w:basedOn w:val="Normal"/>
    <w:rsid w:val="0030523C"/>
    <w:pPr>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63">
    <w:name w:val="xl1963"/>
    <w:basedOn w:val="Normal"/>
    <w:rsid w:val="0030523C"/>
    <w:pPr>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64">
    <w:name w:val="xl1964"/>
    <w:basedOn w:val="Normal"/>
    <w:rsid w:val="0030523C"/>
    <w:pPr>
      <w:spacing w:before="100" w:beforeAutospacing="1" w:after="100" w:afterAutospacing="1"/>
      <w:textAlignment w:val="center"/>
    </w:pPr>
    <w:rPr>
      <w:rFonts w:ascii="Times New Roman" w:eastAsia="Times New Roman" w:hAnsi="Times New Roman" w:cs="Times New Roman"/>
      <w:sz w:val="16"/>
      <w:lang w:eastAsia="en-GB"/>
    </w:rPr>
  </w:style>
  <w:style w:type="paragraph" w:customStyle="1" w:styleId="xl1965">
    <w:name w:val="xl1965"/>
    <w:basedOn w:val="Normal"/>
    <w:rsid w:val="0030523C"/>
    <w:pPr>
      <w:pBdr>
        <w:bottom w:val="single" w:sz="12" w:space="0" w:color="4F81BD"/>
      </w:pBdr>
      <w:shd w:val="clear" w:color="000000" w:fill="244062"/>
      <w:spacing w:before="100" w:beforeAutospacing="1" w:after="100" w:afterAutospacing="1"/>
      <w:jc w:val="center"/>
      <w:textAlignment w:val="center"/>
    </w:pPr>
    <w:rPr>
      <w:rFonts w:ascii="Times New Roman" w:eastAsia="Times New Roman" w:hAnsi="Times New Roman" w:cs="Times New Roman"/>
      <w:b/>
      <w:bCs/>
      <w:color w:val="FFFFFF"/>
      <w:sz w:val="16"/>
      <w:lang w:eastAsia="en-GB"/>
    </w:rPr>
  </w:style>
  <w:style w:type="paragraph" w:customStyle="1" w:styleId="xl1966">
    <w:name w:val="xl1966"/>
    <w:basedOn w:val="Normal"/>
    <w:rsid w:val="0030523C"/>
    <w:pPr>
      <w:pBdr>
        <w:top w:val="single" w:sz="12" w:space="0" w:color="4F81BD"/>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6"/>
      <w:lang w:eastAsia="en-GB"/>
    </w:rPr>
  </w:style>
  <w:style w:type="paragraph" w:customStyle="1" w:styleId="xl1967">
    <w:name w:val="xl1967"/>
    <w:basedOn w:val="Normal"/>
    <w:rsid w:val="0030523C"/>
    <w:pPr>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68">
    <w:name w:val="xl1968"/>
    <w:basedOn w:val="Normal"/>
    <w:rsid w:val="0030523C"/>
    <w:pPr>
      <w:shd w:val="clear" w:color="000000" w:fill="B8CCE4"/>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69">
    <w:name w:val="xl1969"/>
    <w:basedOn w:val="Normal"/>
    <w:rsid w:val="0030523C"/>
    <w:pPr>
      <w:spacing w:before="100" w:beforeAutospacing="1" w:after="100" w:afterAutospacing="1"/>
      <w:textAlignment w:val="center"/>
    </w:pPr>
    <w:rPr>
      <w:rFonts w:ascii="Times New Roman" w:eastAsia="Times New Roman" w:hAnsi="Times New Roman" w:cs="Times New Roman"/>
      <w:color w:val="000000"/>
      <w:sz w:val="16"/>
      <w:lang w:eastAsia="en-GB"/>
    </w:rPr>
  </w:style>
  <w:style w:type="paragraph" w:customStyle="1" w:styleId="xl1970">
    <w:name w:val="xl1970"/>
    <w:basedOn w:val="Normal"/>
    <w:rsid w:val="0030523C"/>
    <w:pPr>
      <w:spacing w:before="100" w:beforeAutospacing="1" w:after="100" w:afterAutospacing="1"/>
      <w:jc w:val="right"/>
      <w:textAlignment w:val="center"/>
    </w:pPr>
    <w:rPr>
      <w:rFonts w:ascii="Times New Roman" w:eastAsia="Times New Roman" w:hAnsi="Times New Roman" w:cs="Times New Roman"/>
      <w:i/>
      <w:iCs/>
      <w:color w:val="000000"/>
      <w:sz w:val="16"/>
      <w:lang w:eastAsia="en-GB"/>
    </w:rPr>
  </w:style>
  <w:style w:type="paragraph" w:customStyle="1" w:styleId="xl1971">
    <w:name w:val="xl1971"/>
    <w:basedOn w:val="Normal"/>
    <w:rsid w:val="0030523C"/>
    <w:pPr>
      <w:spacing w:before="100" w:beforeAutospacing="1" w:after="100" w:afterAutospacing="1"/>
      <w:ind w:firstLineChars="100" w:firstLine="100"/>
    </w:pPr>
    <w:rPr>
      <w:rFonts w:ascii="Times New Roman" w:eastAsia="Times New Roman" w:hAnsi="Times New Roman" w:cs="Times New Roman"/>
      <w:sz w:val="16"/>
      <w:lang w:eastAsia="en-GB"/>
    </w:rPr>
  </w:style>
  <w:style w:type="paragraph" w:customStyle="1" w:styleId="xl1972">
    <w:name w:val="xl1972"/>
    <w:basedOn w:val="Normal"/>
    <w:rsid w:val="0030523C"/>
    <w:pPr>
      <w:spacing w:before="100" w:beforeAutospacing="1" w:after="100" w:afterAutospacing="1"/>
      <w:textAlignment w:val="center"/>
    </w:pPr>
    <w:rPr>
      <w:rFonts w:ascii="Calibri" w:eastAsia="Times New Roman" w:hAnsi="Calibri" w:cs="Times New Roman"/>
      <w:sz w:val="16"/>
      <w:lang w:eastAsia="en-GB"/>
    </w:rPr>
  </w:style>
  <w:style w:type="paragraph" w:customStyle="1" w:styleId="xl1973">
    <w:name w:val="xl1973"/>
    <w:basedOn w:val="Normal"/>
    <w:rsid w:val="0030523C"/>
    <w:pPr>
      <w:shd w:val="clear" w:color="000000" w:fill="B8CCE4"/>
      <w:spacing w:before="100" w:beforeAutospacing="1" w:after="100" w:afterAutospacing="1"/>
      <w:ind w:firstLineChars="100" w:firstLine="100"/>
    </w:pPr>
    <w:rPr>
      <w:rFonts w:ascii="Times New Roman" w:eastAsia="Times New Roman" w:hAnsi="Times New Roman" w:cs="Times New Roman"/>
      <w:sz w:val="16"/>
      <w:lang w:eastAsia="en-GB"/>
    </w:rPr>
  </w:style>
  <w:style w:type="paragraph" w:customStyle="1" w:styleId="xl1974">
    <w:name w:val="xl1974"/>
    <w:basedOn w:val="Normal"/>
    <w:rsid w:val="0030523C"/>
    <w:pPr>
      <w:shd w:val="clear" w:color="000000" w:fill="B8CCE4"/>
      <w:spacing w:before="100" w:beforeAutospacing="1" w:after="100" w:afterAutospacing="1"/>
      <w:textAlignment w:val="center"/>
    </w:pPr>
    <w:rPr>
      <w:rFonts w:ascii="Times New Roman" w:eastAsia="Times New Roman" w:hAnsi="Times New Roman" w:cs="Times New Roman"/>
      <w:sz w:val="16"/>
      <w:lang w:eastAsia="en-GB"/>
    </w:rPr>
  </w:style>
  <w:style w:type="paragraph" w:customStyle="1" w:styleId="xl1975">
    <w:name w:val="xl1975"/>
    <w:basedOn w:val="Normal"/>
    <w:rsid w:val="0030523C"/>
    <w:pPr>
      <w:shd w:val="clear" w:color="000000" w:fill="B8CCE4"/>
      <w:spacing w:before="100" w:beforeAutospacing="1" w:after="100" w:afterAutospacing="1"/>
    </w:pPr>
    <w:rPr>
      <w:rFonts w:ascii="Times New Roman" w:eastAsia="Times New Roman" w:hAnsi="Times New Roman" w:cs="Times New Roman"/>
      <w:sz w:val="16"/>
      <w:lang w:eastAsia="en-GB"/>
    </w:rPr>
  </w:style>
  <w:style w:type="numbering" w:customStyle="1" w:styleId="Style2">
    <w:name w:val="Style2"/>
    <w:uiPriority w:val="99"/>
    <w:rsid w:val="004A11B0"/>
    <w:pPr>
      <w:numPr>
        <w:numId w:val="17"/>
      </w:numPr>
    </w:pPr>
  </w:style>
  <w:style w:type="character" w:customStyle="1" w:styleId="Mention1">
    <w:name w:val="Mention1"/>
    <w:basedOn w:val="DefaultParagraphFont"/>
    <w:uiPriority w:val="99"/>
    <w:semiHidden/>
    <w:unhideWhenUsed/>
    <w:rsid w:val="001E6D4B"/>
    <w:rPr>
      <w:color w:val="2B579A"/>
      <w:shd w:val="clear" w:color="auto" w:fill="E6E6E6"/>
    </w:rPr>
  </w:style>
  <w:style w:type="character" w:customStyle="1" w:styleId="UnresolvedMention1">
    <w:name w:val="Unresolved Mention1"/>
    <w:basedOn w:val="DefaultParagraphFont"/>
    <w:uiPriority w:val="99"/>
    <w:semiHidden/>
    <w:unhideWhenUsed/>
    <w:rsid w:val="001B1A25"/>
    <w:rPr>
      <w:color w:val="808080"/>
      <w:shd w:val="clear" w:color="auto" w:fill="E6E6E6"/>
    </w:rPr>
  </w:style>
  <w:style w:type="character" w:customStyle="1" w:styleId="UnresolvedMention2">
    <w:name w:val="Unresolved Mention2"/>
    <w:basedOn w:val="DefaultParagraphFont"/>
    <w:uiPriority w:val="99"/>
    <w:semiHidden/>
    <w:unhideWhenUsed/>
    <w:rsid w:val="00AF4DD7"/>
    <w:rPr>
      <w:color w:val="808080"/>
      <w:shd w:val="clear" w:color="auto" w:fill="E6E6E6"/>
    </w:rPr>
  </w:style>
  <w:style w:type="paragraph" w:customStyle="1" w:styleId="Pa9">
    <w:name w:val="Pa9"/>
    <w:basedOn w:val="Normal"/>
    <w:next w:val="Normal"/>
    <w:uiPriority w:val="99"/>
    <w:rsid w:val="00321E1D"/>
    <w:pPr>
      <w:autoSpaceDE w:val="0"/>
      <w:autoSpaceDN w:val="0"/>
      <w:adjustRightInd w:val="0"/>
      <w:spacing w:line="201" w:lineRule="atLeast"/>
    </w:pPr>
    <w:rPr>
      <w:rFonts w:ascii="ITC Charter Com" w:eastAsia="Times New Roman" w:hAnsi="ITC Charter Com" w:cs="Times New Roman"/>
      <w:szCs w:val="24"/>
      <w:lang w:eastAsia="en-GB"/>
    </w:rPr>
  </w:style>
  <w:style w:type="character" w:customStyle="1" w:styleId="Mentionnonrsolue1">
    <w:name w:val="Mention non résolue1"/>
    <w:basedOn w:val="DefaultParagraphFont"/>
    <w:uiPriority w:val="99"/>
    <w:semiHidden/>
    <w:unhideWhenUsed/>
    <w:rsid w:val="00551D73"/>
    <w:rPr>
      <w:color w:val="808080"/>
      <w:shd w:val="clear" w:color="auto" w:fill="E6E6E6"/>
    </w:rPr>
  </w:style>
  <w:style w:type="character" w:customStyle="1" w:styleId="ListParagraphChar">
    <w:name w:val="List Paragraph Char"/>
    <w:aliases w:val="Bullets Char,List Bullet Mary Char,List Paragraph (numbered (a)) Char,body bullets Char,Liste 1 Char,Paragraphe  revu Char,List Paragraph nowy Char,Numbered Paragraph Char"/>
    <w:link w:val="ListParagraph"/>
    <w:uiPriority w:val="34"/>
    <w:rsid w:val="002A15C3"/>
  </w:style>
  <w:style w:type="paragraph" w:styleId="TableofFigures">
    <w:name w:val="table of figures"/>
    <w:basedOn w:val="Normal"/>
    <w:next w:val="Normal"/>
    <w:uiPriority w:val="99"/>
    <w:unhideWhenUsed/>
    <w:rsid w:val="00D67E1D"/>
    <w:pPr>
      <w:spacing w:after="120"/>
    </w:pPr>
  </w:style>
  <w:style w:type="character" w:styleId="UnresolvedMention">
    <w:name w:val="Unresolved Mention"/>
    <w:basedOn w:val="DefaultParagraphFont"/>
    <w:uiPriority w:val="99"/>
    <w:semiHidden/>
    <w:unhideWhenUsed/>
    <w:rsid w:val="008055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295">
      <w:bodyDiv w:val="1"/>
      <w:marLeft w:val="0"/>
      <w:marRight w:val="0"/>
      <w:marTop w:val="0"/>
      <w:marBottom w:val="0"/>
      <w:divBdr>
        <w:top w:val="none" w:sz="0" w:space="0" w:color="auto"/>
        <w:left w:val="none" w:sz="0" w:space="0" w:color="auto"/>
        <w:bottom w:val="none" w:sz="0" w:space="0" w:color="auto"/>
        <w:right w:val="none" w:sz="0" w:space="0" w:color="auto"/>
      </w:divBdr>
    </w:div>
    <w:div w:id="14498245">
      <w:bodyDiv w:val="1"/>
      <w:marLeft w:val="0"/>
      <w:marRight w:val="0"/>
      <w:marTop w:val="0"/>
      <w:marBottom w:val="0"/>
      <w:divBdr>
        <w:top w:val="none" w:sz="0" w:space="0" w:color="auto"/>
        <w:left w:val="none" w:sz="0" w:space="0" w:color="auto"/>
        <w:bottom w:val="none" w:sz="0" w:space="0" w:color="auto"/>
        <w:right w:val="none" w:sz="0" w:space="0" w:color="auto"/>
      </w:divBdr>
    </w:div>
    <w:div w:id="21785530">
      <w:bodyDiv w:val="1"/>
      <w:marLeft w:val="0"/>
      <w:marRight w:val="0"/>
      <w:marTop w:val="0"/>
      <w:marBottom w:val="0"/>
      <w:divBdr>
        <w:top w:val="none" w:sz="0" w:space="0" w:color="auto"/>
        <w:left w:val="none" w:sz="0" w:space="0" w:color="auto"/>
        <w:bottom w:val="none" w:sz="0" w:space="0" w:color="auto"/>
        <w:right w:val="none" w:sz="0" w:space="0" w:color="auto"/>
      </w:divBdr>
    </w:div>
    <w:div w:id="39288207">
      <w:bodyDiv w:val="1"/>
      <w:marLeft w:val="0"/>
      <w:marRight w:val="0"/>
      <w:marTop w:val="0"/>
      <w:marBottom w:val="0"/>
      <w:divBdr>
        <w:top w:val="none" w:sz="0" w:space="0" w:color="auto"/>
        <w:left w:val="none" w:sz="0" w:space="0" w:color="auto"/>
        <w:bottom w:val="none" w:sz="0" w:space="0" w:color="auto"/>
        <w:right w:val="none" w:sz="0" w:space="0" w:color="auto"/>
      </w:divBdr>
    </w:div>
    <w:div w:id="39935956">
      <w:bodyDiv w:val="1"/>
      <w:marLeft w:val="0"/>
      <w:marRight w:val="0"/>
      <w:marTop w:val="0"/>
      <w:marBottom w:val="0"/>
      <w:divBdr>
        <w:top w:val="none" w:sz="0" w:space="0" w:color="auto"/>
        <w:left w:val="none" w:sz="0" w:space="0" w:color="auto"/>
        <w:bottom w:val="none" w:sz="0" w:space="0" w:color="auto"/>
        <w:right w:val="none" w:sz="0" w:space="0" w:color="auto"/>
      </w:divBdr>
    </w:div>
    <w:div w:id="50277901">
      <w:bodyDiv w:val="1"/>
      <w:marLeft w:val="0"/>
      <w:marRight w:val="0"/>
      <w:marTop w:val="0"/>
      <w:marBottom w:val="0"/>
      <w:divBdr>
        <w:top w:val="none" w:sz="0" w:space="0" w:color="auto"/>
        <w:left w:val="none" w:sz="0" w:space="0" w:color="auto"/>
        <w:bottom w:val="none" w:sz="0" w:space="0" w:color="auto"/>
        <w:right w:val="none" w:sz="0" w:space="0" w:color="auto"/>
      </w:divBdr>
    </w:div>
    <w:div w:id="74862034">
      <w:bodyDiv w:val="1"/>
      <w:marLeft w:val="0"/>
      <w:marRight w:val="0"/>
      <w:marTop w:val="0"/>
      <w:marBottom w:val="0"/>
      <w:divBdr>
        <w:top w:val="none" w:sz="0" w:space="0" w:color="auto"/>
        <w:left w:val="none" w:sz="0" w:space="0" w:color="auto"/>
        <w:bottom w:val="none" w:sz="0" w:space="0" w:color="auto"/>
        <w:right w:val="none" w:sz="0" w:space="0" w:color="auto"/>
      </w:divBdr>
    </w:div>
    <w:div w:id="90397503">
      <w:bodyDiv w:val="1"/>
      <w:marLeft w:val="0"/>
      <w:marRight w:val="0"/>
      <w:marTop w:val="0"/>
      <w:marBottom w:val="0"/>
      <w:divBdr>
        <w:top w:val="none" w:sz="0" w:space="0" w:color="auto"/>
        <w:left w:val="none" w:sz="0" w:space="0" w:color="auto"/>
        <w:bottom w:val="none" w:sz="0" w:space="0" w:color="auto"/>
        <w:right w:val="none" w:sz="0" w:space="0" w:color="auto"/>
      </w:divBdr>
    </w:div>
    <w:div w:id="99229522">
      <w:bodyDiv w:val="1"/>
      <w:marLeft w:val="0"/>
      <w:marRight w:val="0"/>
      <w:marTop w:val="0"/>
      <w:marBottom w:val="0"/>
      <w:divBdr>
        <w:top w:val="none" w:sz="0" w:space="0" w:color="auto"/>
        <w:left w:val="none" w:sz="0" w:space="0" w:color="auto"/>
        <w:bottom w:val="none" w:sz="0" w:space="0" w:color="auto"/>
        <w:right w:val="none" w:sz="0" w:space="0" w:color="auto"/>
      </w:divBdr>
    </w:div>
    <w:div w:id="103112132">
      <w:bodyDiv w:val="1"/>
      <w:marLeft w:val="0"/>
      <w:marRight w:val="0"/>
      <w:marTop w:val="0"/>
      <w:marBottom w:val="0"/>
      <w:divBdr>
        <w:top w:val="none" w:sz="0" w:space="0" w:color="auto"/>
        <w:left w:val="none" w:sz="0" w:space="0" w:color="auto"/>
        <w:bottom w:val="none" w:sz="0" w:space="0" w:color="auto"/>
        <w:right w:val="none" w:sz="0" w:space="0" w:color="auto"/>
      </w:divBdr>
    </w:div>
    <w:div w:id="122502081">
      <w:bodyDiv w:val="1"/>
      <w:marLeft w:val="0"/>
      <w:marRight w:val="0"/>
      <w:marTop w:val="0"/>
      <w:marBottom w:val="0"/>
      <w:divBdr>
        <w:top w:val="none" w:sz="0" w:space="0" w:color="auto"/>
        <w:left w:val="none" w:sz="0" w:space="0" w:color="auto"/>
        <w:bottom w:val="none" w:sz="0" w:space="0" w:color="auto"/>
        <w:right w:val="none" w:sz="0" w:space="0" w:color="auto"/>
      </w:divBdr>
    </w:div>
    <w:div w:id="127666636">
      <w:bodyDiv w:val="1"/>
      <w:marLeft w:val="0"/>
      <w:marRight w:val="0"/>
      <w:marTop w:val="0"/>
      <w:marBottom w:val="0"/>
      <w:divBdr>
        <w:top w:val="none" w:sz="0" w:space="0" w:color="auto"/>
        <w:left w:val="none" w:sz="0" w:space="0" w:color="auto"/>
        <w:bottom w:val="none" w:sz="0" w:space="0" w:color="auto"/>
        <w:right w:val="none" w:sz="0" w:space="0" w:color="auto"/>
      </w:divBdr>
    </w:div>
    <w:div w:id="138504533">
      <w:bodyDiv w:val="1"/>
      <w:marLeft w:val="0"/>
      <w:marRight w:val="0"/>
      <w:marTop w:val="0"/>
      <w:marBottom w:val="0"/>
      <w:divBdr>
        <w:top w:val="none" w:sz="0" w:space="0" w:color="auto"/>
        <w:left w:val="none" w:sz="0" w:space="0" w:color="auto"/>
        <w:bottom w:val="none" w:sz="0" w:space="0" w:color="auto"/>
        <w:right w:val="none" w:sz="0" w:space="0" w:color="auto"/>
      </w:divBdr>
    </w:div>
    <w:div w:id="165101190">
      <w:bodyDiv w:val="1"/>
      <w:marLeft w:val="0"/>
      <w:marRight w:val="0"/>
      <w:marTop w:val="0"/>
      <w:marBottom w:val="0"/>
      <w:divBdr>
        <w:top w:val="none" w:sz="0" w:space="0" w:color="auto"/>
        <w:left w:val="none" w:sz="0" w:space="0" w:color="auto"/>
        <w:bottom w:val="none" w:sz="0" w:space="0" w:color="auto"/>
        <w:right w:val="none" w:sz="0" w:space="0" w:color="auto"/>
      </w:divBdr>
    </w:div>
    <w:div w:id="167988834">
      <w:bodyDiv w:val="1"/>
      <w:marLeft w:val="0"/>
      <w:marRight w:val="0"/>
      <w:marTop w:val="0"/>
      <w:marBottom w:val="0"/>
      <w:divBdr>
        <w:top w:val="none" w:sz="0" w:space="0" w:color="auto"/>
        <w:left w:val="none" w:sz="0" w:space="0" w:color="auto"/>
        <w:bottom w:val="none" w:sz="0" w:space="0" w:color="auto"/>
        <w:right w:val="none" w:sz="0" w:space="0" w:color="auto"/>
      </w:divBdr>
    </w:div>
    <w:div w:id="197933317">
      <w:bodyDiv w:val="1"/>
      <w:marLeft w:val="0"/>
      <w:marRight w:val="0"/>
      <w:marTop w:val="0"/>
      <w:marBottom w:val="0"/>
      <w:divBdr>
        <w:top w:val="none" w:sz="0" w:space="0" w:color="auto"/>
        <w:left w:val="none" w:sz="0" w:space="0" w:color="auto"/>
        <w:bottom w:val="none" w:sz="0" w:space="0" w:color="auto"/>
        <w:right w:val="none" w:sz="0" w:space="0" w:color="auto"/>
      </w:divBdr>
    </w:div>
    <w:div w:id="235283476">
      <w:bodyDiv w:val="1"/>
      <w:marLeft w:val="0"/>
      <w:marRight w:val="0"/>
      <w:marTop w:val="0"/>
      <w:marBottom w:val="0"/>
      <w:divBdr>
        <w:top w:val="none" w:sz="0" w:space="0" w:color="auto"/>
        <w:left w:val="none" w:sz="0" w:space="0" w:color="auto"/>
        <w:bottom w:val="none" w:sz="0" w:space="0" w:color="auto"/>
        <w:right w:val="none" w:sz="0" w:space="0" w:color="auto"/>
      </w:divBdr>
    </w:div>
    <w:div w:id="236860904">
      <w:bodyDiv w:val="1"/>
      <w:marLeft w:val="0"/>
      <w:marRight w:val="0"/>
      <w:marTop w:val="0"/>
      <w:marBottom w:val="0"/>
      <w:divBdr>
        <w:top w:val="none" w:sz="0" w:space="0" w:color="auto"/>
        <w:left w:val="none" w:sz="0" w:space="0" w:color="auto"/>
        <w:bottom w:val="none" w:sz="0" w:space="0" w:color="auto"/>
        <w:right w:val="none" w:sz="0" w:space="0" w:color="auto"/>
      </w:divBdr>
    </w:div>
    <w:div w:id="252738345">
      <w:bodyDiv w:val="1"/>
      <w:marLeft w:val="0"/>
      <w:marRight w:val="0"/>
      <w:marTop w:val="0"/>
      <w:marBottom w:val="0"/>
      <w:divBdr>
        <w:top w:val="none" w:sz="0" w:space="0" w:color="auto"/>
        <w:left w:val="none" w:sz="0" w:space="0" w:color="auto"/>
        <w:bottom w:val="none" w:sz="0" w:space="0" w:color="auto"/>
        <w:right w:val="none" w:sz="0" w:space="0" w:color="auto"/>
      </w:divBdr>
    </w:div>
    <w:div w:id="290326126">
      <w:bodyDiv w:val="1"/>
      <w:marLeft w:val="0"/>
      <w:marRight w:val="0"/>
      <w:marTop w:val="0"/>
      <w:marBottom w:val="0"/>
      <w:divBdr>
        <w:top w:val="none" w:sz="0" w:space="0" w:color="auto"/>
        <w:left w:val="none" w:sz="0" w:space="0" w:color="auto"/>
        <w:bottom w:val="none" w:sz="0" w:space="0" w:color="auto"/>
        <w:right w:val="none" w:sz="0" w:space="0" w:color="auto"/>
      </w:divBdr>
    </w:div>
    <w:div w:id="303242809">
      <w:bodyDiv w:val="1"/>
      <w:marLeft w:val="0"/>
      <w:marRight w:val="0"/>
      <w:marTop w:val="0"/>
      <w:marBottom w:val="0"/>
      <w:divBdr>
        <w:top w:val="none" w:sz="0" w:space="0" w:color="auto"/>
        <w:left w:val="none" w:sz="0" w:space="0" w:color="auto"/>
        <w:bottom w:val="none" w:sz="0" w:space="0" w:color="auto"/>
        <w:right w:val="none" w:sz="0" w:space="0" w:color="auto"/>
      </w:divBdr>
    </w:div>
    <w:div w:id="310866975">
      <w:bodyDiv w:val="1"/>
      <w:marLeft w:val="0"/>
      <w:marRight w:val="0"/>
      <w:marTop w:val="0"/>
      <w:marBottom w:val="0"/>
      <w:divBdr>
        <w:top w:val="none" w:sz="0" w:space="0" w:color="auto"/>
        <w:left w:val="none" w:sz="0" w:space="0" w:color="auto"/>
        <w:bottom w:val="none" w:sz="0" w:space="0" w:color="auto"/>
        <w:right w:val="none" w:sz="0" w:space="0" w:color="auto"/>
      </w:divBdr>
    </w:div>
    <w:div w:id="316149525">
      <w:bodyDiv w:val="1"/>
      <w:marLeft w:val="0"/>
      <w:marRight w:val="0"/>
      <w:marTop w:val="0"/>
      <w:marBottom w:val="0"/>
      <w:divBdr>
        <w:top w:val="none" w:sz="0" w:space="0" w:color="auto"/>
        <w:left w:val="none" w:sz="0" w:space="0" w:color="auto"/>
        <w:bottom w:val="none" w:sz="0" w:space="0" w:color="auto"/>
        <w:right w:val="none" w:sz="0" w:space="0" w:color="auto"/>
      </w:divBdr>
    </w:div>
    <w:div w:id="344671704">
      <w:bodyDiv w:val="1"/>
      <w:marLeft w:val="0"/>
      <w:marRight w:val="0"/>
      <w:marTop w:val="0"/>
      <w:marBottom w:val="0"/>
      <w:divBdr>
        <w:top w:val="none" w:sz="0" w:space="0" w:color="auto"/>
        <w:left w:val="none" w:sz="0" w:space="0" w:color="auto"/>
        <w:bottom w:val="none" w:sz="0" w:space="0" w:color="auto"/>
        <w:right w:val="none" w:sz="0" w:space="0" w:color="auto"/>
      </w:divBdr>
    </w:div>
    <w:div w:id="363333157">
      <w:bodyDiv w:val="1"/>
      <w:marLeft w:val="0"/>
      <w:marRight w:val="0"/>
      <w:marTop w:val="0"/>
      <w:marBottom w:val="0"/>
      <w:divBdr>
        <w:top w:val="none" w:sz="0" w:space="0" w:color="auto"/>
        <w:left w:val="none" w:sz="0" w:space="0" w:color="auto"/>
        <w:bottom w:val="none" w:sz="0" w:space="0" w:color="auto"/>
        <w:right w:val="none" w:sz="0" w:space="0" w:color="auto"/>
      </w:divBdr>
    </w:div>
    <w:div w:id="370037346">
      <w:bodyDiv w:val="1"/>
      <w:marLeft w:val="0"/>
      <w:marRight w:val="0"/>
      <w:marTop w:val="0"/>
      <w:marBottom w:val="0"/>
      <w:divBdr>
        <w:top w:val="none" w:sz="0" w:space="0" w:color="auto"/>
        <w:left w:val="none" w:sz="0" w:space="0" w:color="auto"/>
        <w:bottom w:val="none" w:sz="0" w:space="0" w:color="auto"/>
        <w:right w:val="none" w:sz="0" w:space="0" w:color="auto"/>
      </w:divBdr>
    </w:div>
    <w:div w:id="370376432">
      <w:bodyDiv w:val="1"/>
      <w:marLeft w:val="0"/>
      <w:marRight w:val="0"/>
      <w:marTop w:val="0"/>
      <w:marBottom w:val="0"/>
      <w:divBdr>
        <w:top w:val="none" w:sz="0" w:space="0" w:color="auto"/>
        <w:left w:val="none" w:sz="0" w:space="0" w:color="auto"/>
        <w:bottom w:val="none" w:sz="0" w:space="0" w:color="auto"/>
        <w:right w:val="none" w:sz="0" w:space="0" w:color="auto"/>
      </w:divBdr>
    </w:div>
    <w:div w:id="407700891">
      <w:bodyDiv w:val="1"/>
      <w:marLeft w:val="0"/>
      <w:marRight w:val="0"/>
      <w:marTop w:val="0"/>
      <w:marBottom w:val="0"/>
      <w:divBdr>
        <w:top w:val="none" w:sz="0" w:space="0" w:color="auto"/>
        <w:left w:val="none" w:sz="0" w:space="0" w:color="auto"/>
        <w:bottom w:val="none" w:sz="0" w:space="0" w:color="auto"/>
        <w:right w:val="none" w:sz="0" w:space="0" w:color="auto"/>
      </w:divBdr>
    </w:div>
    <w:div w:id="428238097">
      <w:bodyDiv w:val="1"/>
      <w:marLeft w:val="0"/>
      <w:marRight w:val="0"/>
      <w:marTop w:val="0"/>
      <w:marBottom w:val="0"/>
      <w:divBdr>
        <w:top w:val="none" w:sz="0" w:space="0" w:color="auto"/>
        <w:left w:val="none" w:sz="0" w:space="0" w:color="auto"/>
        <w:bottom w:val="none" w:sz="0" w:space="0" w:color="auto"/>
        <w:right w:val="none" w:sz="0" w:space="0" w:color="auto"/>
      </w:divBdr>
    </w:div>
    <w:div w:id="429467828">
      <w:bodyDiv w:val="1"/>
      <w:marLeft w:val="0"/>
      <w:marRight w:val="0"/>
      <w:marTop w:val="0"/>
      <w:marBottom w:val="0"/>
      <w:divBdr>
        <w:top w:val="none" w:sz="0" w:space="0" w:color="auto"/>
        <w:left w:val="none" w:sz="0" w:space="0" w:color="auto"/>
        <w:bottom w:val="none" w:sz="0" w:space="0" w:color="auto"/>
        <w:right w:val="none" w:sz="0" w:space="0" w:color="auto"/>
      </w:divBdr>
    </w:div>
    <w:div w:id="443697355">
      <w:bodyDiv w:val="1"/>
      <w:marLeft w:val="0"/>
      <w:marRight w:val="0"/>
      <w:marTop w:val="0"/>
      <w:marBottom w:val="0"/>
      <w:divBdr>
        <w:top w:val="none" w:sz="0" w:space="0" w:color="auto"/>
        <w:left w:val="none" w:sz="0" w:space="0" w:color="auto"/>
        <w:bottom w:val="none" w:sz="0" w:space="0" w:color="auto"/>
        <w:right w:val="none" w:sz="0" w:space="0" w:color="auto"/>
      </w:divBdr>
    </w:div>
    <w:div w:id="454760757">
      <w:bodyDiv w:val="1"/>
      <w:marLeft w:val="0"/>
      <w:marRight w:val="0"/>
      <w:marTop w:val="0"/>
      <w:marBottom w:val="0"/>
      <w:divBdr>
        <w:top w:val="none" w:sz="0" w:space="0" w:color="auto"/>
        <w:left w:val="none" w:sz="0" w:space="0" w:color="auto"/>
        <w:bottom w:val="none" w:sz="0" w:space="0" w:color="auto"/>
        <w:right w:val="none" w:sz="0" w:space="0" w:color="auto"/>
      </w:divBdr>
    </w:div>
    <w:div w:id="496926519">
      <w:bodyDiv w:val="1"/>
      <w:marLeft w:val="0"/>
      <w:marRight w:val="0"/>
      <w:marTop w:val="0"/>
      <w:marBottom w:val="0"/>
      <w:divBdr>
        <w:top w:val="none" w:sz="0" w:space="0" w:color="auto"/>
        <w:left w:val="none" w:sz="0" w:space="0" w:color="auto"/>
        <w:bottom w:val="none" w:sz="0" w:space="0" w:color="auto"/>
        <w:right w:val="none" w:sz="0" w:space="0" w:color="auto"/>
      </w:divBdr>
    </w:div>
    <w:div w:id="499078563">
      <w:bodyDiv w:val="1"/>
      <w:marLeft w:val="0"/>
      <w:marRight w:val="0"/>
      <w:marTop w:val="0"/>
      <w:marBottom w:val="0"/>
      <w:divBdr>
        <w:top w:val="none" w:sz="0" w:space="0" w:color="auto"/>
        <w:left w:val="none" w:sz="0" w:space="0" w:color="auto"/>
        <w:bottom w:val="none" w:sz="0" w:space="0" w:color="auto"/>
        <w:right w:val="none" w:sz="0" w:space="0" w:color="auto"/>
      </w:divBdr>
    </w:div>
    <w:div w:id="526917471">
      <w:bodyDiv w:val="1"/>
      <w:marLeft w:val="0"/>
      <w:marRight w:val="0"/>
      <w:marTop w:val="0"/>
      <w:marBottom w:val="0"/>
      <w:divBdr>
        <w:top w:val="none" w:sz="0" w:space="0" w:color="auto"/>
        <w:left w:val="none" w:sz="0" w:space="0" w:color="auto"/>
        <w:bottom w:val="none" w:sz="0" w:space="0" w:color="auto"/>
        <w:right w:val="none" w:sz="0" w:space="0" w:color="auto"/>
      </w:divBdr>
    </w:div>
    <w:div w:id="531694564">
      <w:bodyDiv w:val="1"/>
      <w:marLeft w:val="0"/>
      <w:marRight w:val="0"/>
      <w:marTop w:val="0"/>
      <w:marBottom w:val="0"/>
      <w:divBdr>
        <w:top w:val="none" w:sz="0" w:space="0" w:color="auto"/>
        <w:left w:val="none" w:sz="0" w:space="0" w:color="auto"/>
        <w:bottom w:val="none" w:sz="0" w:space="0" w:color="auto"/>
        <w:right w:val="none" w:sz="0" w:space="0" w:color="auto"/>
      </w:divBdr>
    </w:div>
    <w:div w:id="543373945">
      <w:bodyDiv w:val="1"/>
      <w:marLeft w:val="0"/>
      <w:marRight w:val="0"/>
      <w:marTop w:val="0"/>
      <w:marBottom w:val="0"/>
      <w:divBdr>
        <w:top w:val="none" w:sz="0" w:space="0" w:color="auto"/>
        <w:left w:val="none" w:sz="0" w:space="0" w:color="auto"/>
        <w:bottom w:val="none" w:sz="0" w:space="0" w:color="auto"/>
        <w:right w:val="none" w:sz="0" w:space="0" w:color="auto"/>
      </w:divBdr>
    </w:div>
    <w:div w:id="567500230">
      <w:bodyDiv w:val="1"/>
      <w:marLeft w:val="0"/>
      <w:marRight w:val="0"/>
      <w:marTop w:val="0"/>
      <w:marBottom w:val="0"/>
      <w:divBdr>
        <w:top w:val="none" w:sz="0" w:space="0" w:color="auto"/>
        <w:left w:val="none" w:sz="0" w:space="0" w:color="auto"/>
        <w:bottom w:val="none" w:sz="0" w:space="0" w:color="auto"/>
        <w:right w:val="none" w:sz="0" w:space="0" w:color="auto"/>
      </w:divBdr>
    </w:div>
    <w:div w:id="574096410">
      <w:bodyDiv w:val="1"/>
      <w:marLeft w:val="0"/>
      <w:marRight w:val="0"/>
      <w:marTop w:val="0"/>
      <w:marBottom w:val="0"/>
      <w:divBdr>
        <w:top w:val="none" w:sz="0" w:space="0" w:color="auto"/>
        <w:left w:val="none" w:sz="0" w:space="0" w:color="auto"/>
        <w:bottom w:val="none" w:sz="0" w:space="0" w:color="auto"/>
        <w:right w:val="none" w:sz="0" w:space="0" w:color="auto"/>
      </w:divBdr>
    </w:div>
    <w:div w:id="602225058">
      <w:bodyDiv w:val="1"/>
      <w:marLeft w:val="0"/>
      <w:marRight w:val="0"/>
      <w:marTop w:val="0"/>
      <w:marBottom w:val="0"/>
      <w:divBdr>
        <w:top w:val="none" w:sz="0" w:space="0" w:color="auto"/>
        <w:left w:val="none" w:sz="0" w:space="0" w:color="auto"/>
        <w:bottom w:val="none" w:sz="0" w:space="0" w:color="auto"/>
        <w:right w:val="none" w:sz="0" w:space="0" w:color="auto"/>
      </w:divBdr>
    </w:div>
    <w:div w:id="644579245">
      <w:bodyDiv w:val="1"/>
      <w:marLeft w:val="0"/>
      <w:marRight w:val="0"/>
      <w:marTop w:val="0"/>
      <w:marBottom w:val="0"/>
      <w:divBdr>
        <w:top w:val="none" w:sz="0" w:space="0" w:color="auto"/>
        <w:left w:val="none" w:sz="0" w:space="0" w:color="auto"/>
        <w:bottom w:val="none" w:sz="0" w:space="0" w:color="auto"/>
        <w:right w:val="none" w:sz="0" w:space="0" w:color="auto"/>
      </w:divBdr>
    </w:div>
    <w:div w:id="670764531">
      <w:bodyDiv w:val="1"/>
      <w:marLeft w:val="0"/>
      <w:marRight w:val="0"/>
      <w:marTop w:val="0"/>
      <w:marBottom w:val="0"/>
      <w:divBdr>
        <w:top w:val="none" w:sz="0" w:space="0" w:color="auto"/>
        <w:left w:val="none" w:sz="0" w:space="0" w:color="auto"/>
        <w:bottom w:val="none" w:sz="0" w:space="0" w:color="auto"/>
        <w:right w:val="none" w:sz="0" w:space="0" w:color="auto"/>
      </w:divBdr>
    </w:div>
    <w:div w:id="674183991">
      <w:bodyDiv w:val="1"/>
      <w:marLeft w:val="0"/>
      <w:marRight w:val="0"/>
      <w:marTop w:val="0"/>
      <w:marBottom w:val="0"/>
      <w:divBdr>
        <w:top w:val="none" w:sz="0" w:space="0" w:color="auto"/>
        <w:left w:val="none" w:sz="0" w:space="0" w:color="auto"/>
        <w:bottom w:val="none" w:sz="0" w:space="0" w:color="auto"/>
        <w:right w:val="none" w:sz="0" w:space="0" w:color="auto"/>
      </w:divBdr>
    </w:div>
    <w:div w:id="694619407">
      <w:bodyDiv w:val="1"/>
      <w:marLeft w:val="0"/>
      <w:marRight w:val="0"/>
      <w:marTop w:val="0"/>
      <w:marBottom w:val="0"/>
      <w:divBdr>
        <w:top w:val="none" w:sz="0" w:space="0" w:color="auto"/>
        <w:left w:val="none" w:sz="0" w:space="0" w:color="auto"/>
        <w:bottom w:val="none" w:sz="0" w:space="0" w:color="auto"/>
        <w:right w:val="none" w:sz="0" w:space="0" w:color="auto"/>
      </w:divBdr>
    </w:div>
    <w:div w:id="697779324">
      <w:bodyDiv w:val="1"/>
      <w:marLeft w:val="0"/>
      <w:marRight w:val="0"/>
      <w:marTop w:val="0"/>
      <w:marBottom w:val="0"/>
      <w:divBdr>
        <w:top w:val="none" w:sz="0" w:space="0" w:color="auto"/>
        <w:left w:val="none" w:sz="0" w:space="0" w:color="auto"/>
        <w:bottom w:val="none" w:sz="0" w:space="0" w:color="auto"/>
        <w:right w:val="none" w:sz="0" w:space="0" w:color="auto"/>
      </w:divBdr>
    </w:div>
    <w:div w:id="711004514">
      <w:bodyDiv w:val="1"/>
      <w:marLeft w:val="0"/>
      <w:marRight w:val="0"/>
      <w:marTop w:val="0"/>
      <w:marBottom w:val="0"/>
      <w:divBdr>
        <w:top w:val="none" w:sz="0" w:space="0" w:color="auto"/>
        <w:left w:val="none" w:sz="0" w:space="0" w:color="auto"/>
        <w:bottom w:val="none" w:sz="0" w:space="0" w:color="auto"/>
        <w:right w:val="none" w:sz="0" w:space="0" w:color="auto"/>
      </w:divBdr>
    </w:div>
    <w:div w:id="718434437">
      <w:bodyDiv w:val="1"/>
      <w:marLeft w:val="0"/>
      <w:marRight w:val="0"/>
      <w:marTop w:val="0"/>
      <w:marBottom w:val="0"/>
      <w:divBdr>
        <w:top w:val="none" w:sz="0" w:space="0" w:color="auto"/>
        <w:left w:val="none" w:sz="0" w:space="0" w:color="auto"/>
        <w:bottom w:val="none" w:sz="0" w:space="0" w:color="auto"/>
        <w:right w:val="none" w:sz="0" w:space="0" w:color="auto"/>
      </w:divBdr>
    </w:div>
    <w:div w:id="721174140">
      <w:bodyDiv w:val="1"/>
      <w:marLeft w:val="0"/>
      <w:marRight w:val="0"/>
      <w:marTop w:val="0"/>
      <w:marBottom w:val="0"/>
      <w:divBdr>
        <w:top w:val="none" w:sz="0" w:space="0" w:color="auto"/>
        <w:left w:val="none" w:sz="0" w:space="0" w:color="auto"/>
        <w:bottom w:val="none" w:sz="0" w:space="0" w:color="auto"/>
        <w:right w:val="none" w:sz="0" w:space="0" w:color="auto"/>
      </w:divBdr>
    </w:div>
    <w:div w:id="757866621">
      <w:bodyDiv w:val="1"/>
      <w:marLeft w:val="0"/>
      <w:marRight w:val="0"/>
      <w:marTop w:val="0"/>
      <w:marBottom w:val="0"/>
      <w:divBdr>
        <w:top w:val="none" w:sz="0" w:space="0" w:color="auto"/>
        <w:left w:val="none" w:sz="0" w:space="0" w:color="auto"/>
        <w:bottom w:val="none" w:sz="0" w:space="0" w:color="auto"/>
        <w:right w:val="none" w:sz="0" w:space="0" w:color="auto"/>
      </w:divBdr>
    </w:div>
    <w:div w:id="834106651">
      <w:bodyDiv w:val="1"/>
      <w:marLeft w:val="0"/>
      <w:marRight w:val="0"/>
      <w:marTop w:val="0"/>
      <w:marBottom w:val="0"/>
      <w:divBdr>
        <w:top w:val="none" w:sz="0" w:space="0" w:color="auto"/>
        <w:left w:val="none" w:sz="0" w:space="0" w:color="auto"/>
        <w:bottom w:val="none" w:sz="0" w:space="0" w:color="auto"/>
        <w:right w:val="none" w:sz="0" w:space="0" w:color="auto"/>
      </w:divBdr>
    </w:div>
    <w:div w:id="839124922">
      <w:bodyDiv w:val="1"/>
      <w:marLeft w:val="0"/>
      <w:marRight w:val="0"/>
      <w:marTop w:val="0"/>
      <w:marBottom w:val="0"/>
      <w:divBdr>
        <w:top w:val="none" w:sz="0" w:space="0" w:color="auto"/>
        <w:left w:val="none" w:sz="0" w:space="0" w:color="auto"/>
        <w:bottom w:val="none" w:sz="0" w:space="0" w:color="auto"/>
        <w:right w:val="none" w:sz="0" w:space="0" w:color="auto"/>
      </w:divBdr>
    </w:div>
    <w:div w:id="850872279">
      <w:bodyDiv w:val="1"/>
      <w:marLeft w:val="0"/>
      <w:marRight w:val="0"/>
      <w:marTop w:val="0"/>
      <w:marBottom w:val="0"/>
      <w:divBdr>
        <w:top w:val="none" w:sz="0" w:space="0" w:color="auto"/>
        <w:left w:val="none" w:sz="0" w:space="0" w:color="auto"/>
        <w:bottom w:val="none" w:sz="0" w:space="0" w:color="auto"/>
        <w:right w:val="none" w:sz="0" w:space="0" w:color="auto"/>
      </w:divBdr>
    </w:div>
    <w:div w:id="873926053">
      <w:bodyDiv w:val="1"/>
      <w:marLeft w:val="0"/>
      <w:marRight w:val="0"/>
      <w:marTop w:val="0"/>
      <w:marBottom w:val="0"/>
      <w:divBdr>
        <w:top w:val="none" w:sz="0" w:space="0" w:color="auto"/>
        <w:left w:val="none" w:sz="0" w:space="0" w:color="auto"/>
        <w:bottom w:val="none" w:sz="0" w:space="0" w:color="auto"/>
        <w:right w:val="none" w:sz="0" w:space="0" w:color="auto"/>
      </w:divBdr>
    </w:div>
    <w:div w:id="879322871">
      <w:bodyDiv w:val="1"/>
      <w:marLeft w:val="0"/>
      <w:marRight w:val="0"/>
      <w:marTop w:val="0"/>
      <w:marBottom w:val="0"/>
      <w:divBdr>
        <w:top w:val="none" w:sz="0" w:space="0" w:color="auto"/>
        <w:left w:val="none" w:sz="0" w:space="0" w:color="auto"/>
        <w:bottom w:val="none" w:sz="0" w:space="0" w:color="auto"/>
        <w:right w:val="none" w:sz="0" w:space="0" w:color="auto"/>
      </w:divBdr>
    </w:div>
    <w:div w:id="881675022">
      <w:bodyDiv w:val="1"/>
      <w:marLeft w:val="0"/>
      <w:marRight w:val="0"/>
      <w:marTop w:val="0"/>
      <w:marBottom w:val="0"/>
      <w:divBdr>
        <w:top w:val="none" w:sz="0" w:space="0" w:color="auto"/>
        <w:left w:val="none" w:sz="0" w:space="0" w:color="auto"/>
        <w:bottom w:val="none" w:sz="0" w:space="0" w:color="auto"/>
        <w:right w:val="none" w:sz="0" w:space="0" w:color="auto"/>
      </w:divBdr>
    </w:div>
    <w:div w:id="897519516">
      <w:bodyDiv w:val="1"/>
      <w:marLeft w:val="0"/>
      <w:marRight w:val="0"/>
      <w:marTop w:val="0"/>
      <w:marBottom w:val="0"/>
      <w:divBdr>
        <w:top w:val="none" w:sz="0" w:space="0" w:color="auto"/>
        <w:left w:val="none" w:sz="0" w:space="0" w:color="auto"/>
        <w:bottom w:val="none" w:sz="0" w:space="0" w:color="auto"/>
        <w:right w:val="none" w:sz="0" w:space="0" w:color="auto"/>
      </w:divBdr>
    </w:div>
    <w:div w:id="902645343">
      <w:bodyDiv w:val="1"/>
      <w:marLeft w:val="0"/>
      <w:marRight w:val="0"/>
      <w:marTop w:val="0"/>
      <w:marBottom w:val="0"/>
      <w:divBdr>
        <w:top w:val="none" w:sz="0" w:space="0" w:color="auto"/>
        <w:left w:val="none" w:sz="0" w:space="0" w:color="auto"/>
        <w:bottom w:val="none" w:sz="0" w:space="0" w:color="auto"/>
        <w:right w:val="none" w:sz="0" w:space="0" w:color="auto"/>
      </w:divBdr>
    </w:div>
    <w:div w:id="947661745">
      <w:bodyDiv w:val="1"/>
      <w:marLeft w:val="0"/>
      <w:marRight w:val="0"/>
      <w:marTop w:val="0"/>
      <w:marBottom w:val="0"/>
      <w:divBdr>
        <w:top w:val="none" w:sz="0" w:space="0" w:color="auto"/>
        <w:left w:val="none" w:sz="0" w:space="0" w:color="auto"/>
        <w:bottom w:val="none" w:sz="0" w:space="0" w:color="auto"/>
        <w:right w:val="none" w:sz="0" w:space="0" w:color="auto"/>
      </w:divBdr>
    </w:div>
    <w:div w:id="958871987">
      <w:bodyDiv w:val="1"/>
      <w:marLeft w:val="0"/>
      <w:marRight w:val="0"/>
      <w:marTop w:val="0"/>
      <w:marBottom w:val="0"/>
      <w:divBdr>
        <w:top w:val="none" w:sz="0" w:space="0" w:color="auto"/>
        <w:left w:val="none" w:sz="0" w:space="0" w:color="auto"/>
        <w:bottom w:val="none" w:sz="0" w:space="0" w:color="auto"/>
        <w:right w:val="none" w:sz="0" w:space="0" w:color="auto"/>
      </w:divBdr>
    </w:div>
    <w:div w:id="1000305710">
      <w:bodyDiv w:val="1"/>
      <w:marLeft w:val="0"/>
      <w:marRight w:val="0"/>
      <w:marTop w:val="0"/>
      <w:marBottom w:val="0"/>
      <w:divBdr>
        <w:top w:val="none" w:sz="0" w:space="0" w:color="auto"/>
        <w:left w:val="none" w:sz="0" w:space="0" w:color="auto"/>
        <w:bottom w:val="none" w:sz="0" w:space="0" w:color="auto"/>
        <w:right w:val="none" w:sz="0" w:space="0" w:color="auto"/>
      </w:divBdr>
    </w:div>
    <w:div w:id="1001809292">
      <w:bodyDiv w:val="1"/>
      <w:marLeft w:val="0"/>
      <w:marRight w:val="0"/>
      <w:marTop w:val="0"/>
      <w:marBottom w:val="0"/>
      <w:divBdr>
        <w:top w:val="none" w:sz="0" w:space="0" w:color="auto"/>
        <w:left w:val="none" w:sz="0" w:space="0" w:color="auto"/>
        <w:bottom w:val="none" w:sz="0" w:space="0" w:color="auto"/>
        <w:right w:val="none" w:sz="0" w:space="0" w:color="auto"/>
      </w:divBdr>
    </w:div>
    <w:div w:id="1007949327">
      <w:bodyDiv w:val="1"/>
      <w:marLeft w:val="0"/>
      <w:marRight w:val="0"/>
      <w:marTop w:val="0"/>
      <w:marBottom w:val="0"/>
      <w:divBdr>
        <w:top w:val="none" w:sz="0" w:space="0" w:color="auto"/>
        <w:left w:val="none" w:sz="0" w:space="0" w:color="auto"/>
        <w:bottom w:val="none" w:sz="0" w:space="0" w:color="auto"/>
        <w:right w:val="none" w:sz="0" w:space="0" w:color="auto"/>
      </w:divBdr>
    </w:div>
    <w:div w:id="1013462310">
      <w:bodyDiv w:val="1"/>
      <w:marLeft w:val="0"/>
      <w:marRight w:val="0"/>
      <w:marTop w:val="0"/>
      <w:marBottom w:val="0"/>
      <w:divBdr>
        <w:top w:val="none" w:sz="0" w:space="0" w:color="auto"/>
        <w:left w:val="none" w:sz="0" w:space="0" w:color="auto"/>
        <w:bottom w:val="none" w:sz="0" w:space="0" w:color="auto"/>
        <w:right w:val="none" w:sz="0" w:space="0" w:color="auto"/>
      </w:divBdr>
    </w:div>
    <w:div w:id="1020861150">
      <w:bodyDiv w:val="1"/>
      <w:marLeft w:val="0"/>
      <w:marRight w:val="0"/>
      <w:marTop w:val="0"/>
      <w:marBottom w:val="0"/>
      <w:divBdr>
        <w:top w:val="none" w:sz="0" w:space="0" w:color="auto"/>
        <w:left w:val="none" w:sz="0" w:space="0" w:color="auto"/>
        <w:bottom w:val="none" w:sz="0" w:space="0" w:color="auto"/>
        <w:right w:val="none" w:sz="0" w:space="0" w:color="auto"/>
      </w:divBdr>
    </w:div>
    <w:div w:id="1026832799">
      <w:bodyDiv w:val="1"/>
      <w:marLeft w:val="0"/>
      <w:marRight w:val="0"/>
      <w:marTop w:val="0"/>
      <w:marBottom w:val="0"/>
      <w:divBdr>
        <w:top w:val="none" w:sz="0" w:space="0" w:color="auto"/>
        <w:left w:val="none" w:sz="0" w:space="0" w:color="auto"/>
        <w:bottom w:val="none" w:sz="0" w:space="0" w:color="auto"/>
        <w:right w:val="none" w:sz="0" w:space="0" w:color="auto"/>
      </w:divBdr>
    </w:div>
    <w:div w:id="1027561978">
      <w:bodyDiv w:val="1"/>
      <w:marLeft w:val="0"/>
      <w:marRight w:val="0"/>
      <w:marTop w:val="0"/>
      <w:marBottom w:val="0"/>
      <w:divBdr>
        <w:top w:val="none" w:sz="0" w:space="0" w:color="auto"/>
        <w:left w:val="none" w:sz="0" w:space="0" w:color="auto"/>
        <w:bottom w:val="none" w:sz="0" w:space="0" w:color="auto"/>
        <w:right w:val="none" w:sz="0" w:space="0" w:color="auto"/>
      </w:divBdr>
    </w:div>
    <w:div w:id="1083718493">
      <w:bodyDiv w:val="1"/>
      <w:marLeft w:val="0"/>
      <w:marRight w:val="0"/>
      <w:marTop w:val="0"/>
      <w:marBottom w:val="0"/>
      <w:divBdr>
        <w:top w:val="none" w:sz="0" w:space="0" w:color="auto"/>
        <w:left w:val="none" w:sz="0" w:space="0" w:color="auto"/>
        <w:bottom w:val="none" w:sz="0" w:space="0" w:color="auto"/>
        <w:right w:val="none" w:sz="0" w:space="0" w:color="auto"/>
      </w:divBdr>
    </w:div>
    <w:div w:id="1091199747">
      <w:bodyDiv w:val="1"/>
      <w:marLeft w:val="0"/>
      <w:marRight w:val="0"/>
      <w:marTop w:val="0"/>
      <w:marBottom w:val="0"/>
      <w:divBdr>
        <w:top w:val="none" w:sz="0" w:space="0" w:color="auto"/>
        <w:left w:val="none" w:sz="0" w:space="0" w:color="auto"/>
        <w:bottom w:val="none" w:sz="0" w:space="0" w:color="auto"/>
        <w:right w:val="none" w:sz="0" w:space="0" w:color="auto"/>
      </w:divBdr>
    </w:div>
    <w:div w:id="1099518924">
      <w:bodyDiv w:val="1"/>
      <w:marLeft w:val="0"/>
      <w:marRight w:val="0"/>
      <w:marTop w:val="0"/>
      <w:marBottom w:val="0"/>
      <w:divBdr>
        <w:top w:val="none" w:sz="0" w:space="0" w:color="auto"/>
        <w:left w:val="none" w:sz="0" w:space="0" w:color="auto"/>
        <w:bottom w:val="none" w:sz="0" w:space="0" w:color="auto"/>
        <w:right w:val="none" w:sz="0" w:space="0" w:color="auto"/>
      </w:divBdr>
    </w:div>
    <w:div w:id="1144548507">
      <w:bodyDiv w:val="1"/>
      <w:marLeft w:val="0"/>
      <w:marRight w:val="0"/>
      <w:marTop w:val="0"/>
      <w:marBottom w:val="0"/>
      <w:divBdr>
        <w:top w:val="none" w:sz="0" w:space="0" w:color="auto"/>
        <w:left w:val="none" w:sz="0" w:space="0" w:color="auto"/>
        <w:bottom w:val="none" w:sz="0" w:space="0" w:color="auto"/>
        <w:right w:val="none" w:sz="0" w:space="0" w:color="auto"/>
      </w:divBdr>
    </w:div>
    <w:div w:id="1156605170">
      <w:bodyDiv w:val="1"/>
      <w:marLeft w:val="0"/>
      <w:marRight w:val="0"/>
      <w:marTop w:val="0"/>
      <w:marBottom w:val="0"/>
      <w:divBdr>
        <w:top w:val="none" w:sz="0" w:space="0" w:color="auto"/>
        <w:left w:val="none" w:sz="0" w:space="0" w:color="auto"/>
        <w:bottom w:val="none" w:sz="0" w:space="0" w:color="auto"/>
        <w:right w:val="none" w:sz="0" w:space="0" w:color="auto"/>
      </w:divBdr>
      <w:divsChild>
        <w:div w:id="298341753">
          <w:marLeft w:val="0"/>
          <w:marRight w:val="0"/>
          <w:marTop w:val="0"/>
          <w:marBottom w:val="0"/>
          <w:divBdr>
            <w:top w:val="none" w:sz="0" w:space="0" w:color="auto"/>
            <w:left w:val="none" w:sz="0" w:space="0" w:color="auto"/>
            <w:bottom w:val="none" w:sz="0" w:space="0" w:color="auto"/>
            <w:right w:val="none" w:sz="0" w:space="0" w:color="auto"/>
          </w:divBdr>
          <w:divsChild>
            <w:div w:id="403069812">
              <w:marLeft w:val="-240"/>
              <w:marRight w:val="0"/>
              <w:marTop w:val="0"/>
              <w:marBottom w:val="0"/>
              <w:divBdr>
                <w:top w:val="none" w:sz="0" w:space="0" w:color="auto"/>
                <w:left w:val="none" w:sz="0" w:space="0" w:color="auto"/>
                <w:bottom w:val="none" w:sz="0" w:space="0" w:color="auto"/>
                <w:right w:val="none" w:sz="0" w:space="0" w:color="auto"/>
              </w:divBdr>
              <w:divsChild>
                <w:div w:id="2126240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12030">
      <w:bodyDiv w:val="1"/>
      <w:marLeft w:val="0"/>
      <w:marRight w:val="0"/>
      <w:marTop w:val="0"/>
      <w:marBottom w:val="0"/>
      <w:divBdr>
        <w:top w:val="none" w:sz="0" w:space="0" w:color="auto"/>
        <w:left w:val="none" w:sz="0" w:space="0" w:color="auto"/>
        <w:bottom w:val="none" w:sz="0" w:space="0" w:color="auto"/>
        <w:right w:val="none" w:sz="0" w:space="0" w:color="auto"/>
      </w:divBdr>
    </w:div>
    <w:div w:id="1165054065">
      <w:bodyDiv w:val="1"/>
      <w:marLeft w:val="0"/>
      <w:marRight w:val="0"/>
      <w:marTop w:val="0"/>
      <w:marBottom w:val="0"/>
      <w:divBdr>
        <w:top w:val="none" w:sz="0" w:space="0" w:color="auto"/>
        <w:left w:val="none" w:sz="0" w:space="0" w:color="auto"/>
        <w:bottom w:val="none" w:sz="0" w:space="0" w:color="auto"/>
        <w:right w:val="none" w:sz="0" w:space="0" w:color="auto"/>
      </w:divBdr>
    </w:div>
    <w:div w:id="1165366168">
      <w:bodyDiv w:val="1"/>
      <w:marLeft w:val="0"/>
      <w:marRight w:val="0"/>
      <w:marTop w:val="0"/>
      <w:marBottom w:val="0"/>
      <w:divBdr>
        <w:top w:val="none" w:sz="0" w:space="0" w:color="auto"/>
        <w:left w:val="none" w:sz="0" w:space="0" w:color="auto"/>
        <w:bottom w:val="none" w:sz="0" w:space="0" w:color="auto"/>
        <w:right w:val="none" w:sz="0" w:space="0" w:color="auto"/>
      </w:divBdr>
    </w:div>
    <w:div w:id="1183324802">
      <w:bodyDiv w:val="1"/>
      <w:marLeft w:val="0"/>
      <w:marRight w:val="0"/>
      <w:marTop w:val="0"/>
      <w:marBottom w:val="0"/>
      <w:divBdr>
        <w:top w:val="none" w:sz="0" w:space="0" w:color="auto"/>
        <w:left w:val="none" w:sz="0" w:space="0" w:color="auto"/>
        <w:bottom w:val="none" w:sz="0" w:space="0" w:color="auto"/>
        <w:right w:val="none" w:sz="0" w:space="0" w:color="auto"/>
      </w:divBdr>
    </w:div>
    <w:div w:id="1188060029">
      <w:bodyDiv w:val="1"/>
      <w:marLeft w:val="0"/>
      <w:marRight w:val="0"/>
      <w:marTop w:val="0"/>
      <w:marBottom w:val="0"/>
      <w:divBdr>
        <w:top w:val="none" w:sz="0" w:space="0" w:color="auto"/>
        <w:left w:val="none" w:sz="0" w:space="0" w:color="auto"/>
        <w:bottom w:val="none" w:sz="0" w:space="0" w:color="auto"/>
        <w:right w:val="none" w:sz="0" w:space="0" w:color="auto"/>
      </w:divBdr>
    </w:div>
    <w:div w:id="1189493309">
      <w:bodyDiv w:val="1"/>
      <w:marLeft w:val="0"/>
      <w:marRight w:val="0"/>
      <w:marTop w:val="0"/>
      <w:marBottom w:val="0"/>
      <w:divBdr>
        <w:top w:val="none" w:sz="0" w:space="0" w:color="auto"/>
        <w:left w:val="none" w:sz="0" w:space="0" w:color="auto"/>
        <w:bottom w:val="none" w:sz="0" w:space="0" w:color="auto"/>
        <w:right w:val="none" w:sz="0" w:space="0" w:color="auto"/>
      </w:divBdr>
    </w:div>
    <w:div w:id="1195849308">
      <w:bodyDiv w:val="1"/>
      <w:marLeft w:val="0"/>
      <w:marRight w:val="0"/>
      <w:marTop w:val="0"/>
      <w:marBottom w:val="0"/>
      <w:divBdr>
        <w:top w:val="none" w:sz="0" w:space="0" w:color="auto"/>
        <w:left w:val="none" w:sz="0" w:space="0" w:color="auto"/>
        <w:bottom w:val="none" w:sz="0" w:space="0" w:color="auto"/>
        <w:right w:val="none" w:sz="0" w:space="0" w:color="auto"/>
      </w:divBdr>
    </w:div>
    <w:div w:id="1200357863">
      <w:bodyDiv w:val="1"/>
      <w:marLeft w:val="0"/>
      <w:marRight w:val="0"/>
      <w:marTop w:val="0"/>
      <w:marBottom w:val="0"/>
      <w:divBdr>
        <w:top w:val="none" w:sz="0" w:space="0" w:color="auto"/>
        <w:left w:val="none" w:sz="0" w:space="0" w:color="auto"/>
        <w:bottom w:val="none" w:sz="0" w:space="0" w:color="auto"/>
        <w:right w:val="none" w:sz="0" w:space="0" w:color="auto"/>
      </w:divBdr>
    </w:div>
    <w:div w:id="1206453587">
      <w:bodyDiv w:val="1"/>
      <w:marLeft w:val="0"/>
      <w:marRight w:val="0"/>
      <w:marTop w:val="0"/>
      <w:marBottom w:val="0"/>
      <w:divBdr>
        <w:top w:val="none" w:sz="0" w:space="0" w:color="auto"/>
        <w:left w:val="none" w:sz="0" w:space="0" w:color="auto"/>
        <w:bottom w:val="none" w:sz="0" w:space="0" w:color="auto"/>
        <w:right w:val="none" w:sz="0" w:space="0" w:color="auto"/>
      </w:divBdr>
    </w:div>
    <w:div w:id="1208644875">
      <w:bodyDiv w:val="1"/>
      <w:marLeft w:val="0"/>
      <w:marRight w:val="0"/>
      <w:marTop w:val="0"/>
      <w:marBottom w:val="0"/>
      <w:divBdr>
        <w:top w:val="none" w:sz="0" w:space="0" w:color="auto"/>
        <w:left w:val="none" w:sz="0" w:space="0" w:color="auto"/>
        <w:bottom w:val="none" w:sz="0" w:space="0" w:color="auto"/>
        <w:right w:val="none" w:sz="0" w:space="0" w:color="auto"/>
      </w:divBdr>
    </w:div>
    <w:div w:id="1214610663">
      <w:bodyDiv w:val="1"/>
      <w:marLeft w:val="0"/>
      <w:marRight w:val="0"/>
      <w:marTop w:val="0"/>
      <w:marBottom w:val="0"/>
      <w:divBdr>
        <w:top w:val="none" w:sz="0" w:space="0" w:color="auto"/>
        <w:left w:val="none" w:sz="0" w:space="0" w:color="auto"/>
        <w:bottom w:val="none" w:sz="0" w:space="0" w:color="auto"/>
        <w:right w:val="none" w:sz="0" w:space="0" w:color="auto"/>
      </w:divBdr>
    </w:div>
    <w:div w:id="1223441839">
      <w:bodyDiv w:val="1"/>
      <w:marLeft w:val="0"/>
      <w:marRight w:val="0"/>
      <w:marTop w:val="0"/>
      <w:marBottom w:val="0"/>
      <w:divBdr>
        <w:top w:val="none" w:sz="0" w:space="0" w:color="auto"/>
        <w:left w:val="none" w:sz="0" w:space="0" w:color="auto"/>
        <w:bottom w:val="none" w:sz="0" w:space="0" w:color="auto"/>
        <w:right w:val="none" w:sz="0" w:space="0" w:color="auto"/>
      </w:divBdr>
    </w:div>
    <w:div w:id="1250306193">
      <w:bodyDiv w:val="1"/>
      <w:marLeft w:val="0"/>
      <w:marRight w:val="0"/>
      <w:marTop w:val="0"/>
      <w:marBottom w:val="0"/>
      <w:divBdr>
        <w:top w:val="none" w:sz="0" w:space="0" w:color="auto"/>
        <w:left w:val="none" w:sz="0" w:space="0" w:color="auto"/>
        <w:bottom w:val="none" w:sz="0" w:space="0" w:color="auto"/>
        <w:right w:val="none" w:sz="0" w:space="0" w:color="auto"/>
      </w:divBdr>
    </w:div>
    <w:div w:id="1258948350">
      <w:bodyDiv w:val="1"/>
      <w:marLeft w:val="0"/>
      <w:marRight w:val="0"/>
      <w:marTop w:val="0"/>
      <w:marBottom w:val="0"/>
      <w:divBdr>
        <w:top w:val="none" w:sz="0" w:space="0" w:color="auto"/>
        <w:left w:val="none" w:sz="0" w:space="0" w:color="auto"/>
        <w:bottom w:val="none" w:sz="0" w:space="0" w:color="auto"/>
        <w:right w:val="none" w:sz="0" w:space="0" w:color="auto"/>
      </w:divBdr>
    </w:div>
    <w:div w:id="1275943553">
      <w:bodyDiv w:val="1"/>
      <w:marLeft w:val="0"/>
      <w:marRight w:val="0"/>
      <w:marTop w:val="0"/>
      <w:marBottom w:val="0"/>
      <w:divBdr>
        <w:top w:val="none" w:sz="0" w:space="0" w:color="auto"/>
        <w:left w:val="none" w:sz="0" w:space="0" w:color="auto"/>
        <w:bottom w:val="none" w:sz="0" w:space="0" w:color="auto"/>
        <w:right w:val="none" w:sz="0" w:space="0" w:color="auto"/>
      </w:divBdr>
    </w:div>
    <w:div w:id="1285310389">
      <w:bodyDiv w:val="1"/>
      <w:marLeft w:val="0"/>
      <w:marRight w:val="0"/>
      <w:marTop w:val="0"/>
      <w:marBottom w:val="0"/>
      <w:divBdr>
        <w:top w:val="none" w:sz="0" w:space="0" w:color="auto"/>
        <w:left w:val="none" w:sz="0" w:space="0" w:color="auto"/>
        <w:bottom w:val="none" w:sz="0" w:space="0" w:color="auto"/>
        <w:right w:val="none" w:sz="0" w:space="0" w:color="auto"/>
      </w:divBdr>
    </w:div>
    <w:div w:id="1292395695">
      <w:bodyDiv w:val="1"/>
      <w:marLeft w:val="0"/>
      <w:marRight w:val="0"/>
      <w:marTop w:val="0"/>
      <w:marBottom w:val="0"/>
      <w:divBdr>
        <w:top w:val="none" w:sz="0" w:space="0" w:color="auto"/>
        <w:left w:val="none" w:sz="0" w:space="0" w:color="auto"/>
        <w:bottom w:val="none" w:sz="0" w:space="0" w:color="auto"/>
        <w:right w:val="none" w:sz="0" w:space="0" w:color="auto"/>
      </w:divBdr>
    </w:div>
    <w:div w:id="1302734828">
      <w:bodyDiv w:val="1"/>
      <w:marLeft w:val="0"/>
      <w:marRight w:val="0"/>
      <w:marTop w:val="0"/>
      <w:marBottom w:val="0"/>
      <w:divBdr>
        <w:top w:val="none" w:sz="0" w:space="0" w:color="auto"/>
        <w:left w:val="none" w:sz="0" w:space="0" w:color="auto"/>
        <w:bottom w:val="none" w:sz="0" w:space="0" w:color="auto"/>
        <w:right w:val="none" w:sz="0" w:space="0" w:color="auto"/>
      </w:divBdr>
    </w:div>
    <w:div w:id="1303460917">
      <w:bodyDiv w:val="1"/>
      <w:marLeft w:val="0"/>
      <w:marRight w:val="0"/>
      <w:marTop w:val="0"/>
      <w:marBottom w:val="0"/>
      <w:divBdr>
        <w:top w:val="none" w:sz="0" w:space="0" w:color="auto"/>
        <w:left w:val="none" w:sz="0" w:space="0" w:color="auto"/>
        <w:bottom w:val="none" w:sz="0" w:space="0" w:color="auto"/>
        <w:right w:val="none" w:sz="0" w:space="0" w:color="auto"/>
      </w:divBdr>
    </w:div>
    <w:div w:id="1309557230">
      <w:bodyDiv w:val="1"/>
      <w:marLeft w:val="0"/>
      <w:marRight w:val="0"/>
      <w:marTop w:val="0"/>
      <w:marBottom w:val="0"/>
      <w:divBdr>
        <w:top w:val="none" w:sz="0" w:space="0" w:color="auto"/>
        <w:left w:val="none" w:sz="0" w:space="0" w:color="auto"/>
        <w:bottom w:val="none" w:sz="0" w:space="0" w:color="auto"/>
        <w:right w:val="none" w:sz="0" w:space="0" w:color="auto"/>
      </w:divBdr>
    </w:div>
    <w:div w:id="1310791281">
      <w:bodyDiv w:val="1"/>
      <w:marLeft w:val="0"/>
      <w:marRight w:val="0"/>
      <w:marTop w:val="0"/>
      <w:marBottom w:val="0"/>
      <w:divBdr>
        <w:top w:val="none" w:sz="0" w:space="0" w:color="auto"/>
        <w:left w:val="none" w:sz="0" w:space="0" w:color="auto"/>
        <w:bottom w:val="none" w:sz="0" w:space="0" w:color="auto"/>
        <w:right w:val="none" w:sz="0" w:space="0" w:color="auto"/>
      </w:divBdr>
    </w:div>
    <w:div w:id="1336570483">
      <w:bodyDiv w:val="1"/>
      <w:marLeft w:val="0"/>
      <w:marRight w:val="0"/>
      <w:marTop w:val="0"/>
      <w:marBottom w:val="0"/>
      <w:divBdr>
        <w:top w:val="none" w:sz="0" w:space="0" w:color="auto"/>
        <w:left w:val="none" w:sz="0" w:space="0" w:color="auto"/>
        <w:bottom w:val="none" w:sz="0" w:space="0" w:color="auto"/>
        <w:right w:val="none" w:sz="0" w:space="0" w:color="auto"/>
      </w:divBdr>
    </w:div>
    <w:div w:id="1351755278">
      <w:bodyDiv w:val="1"/>
      <w:marLeft w:val="0"/>
      <w:marRight w:val="0"/>
      <w:marTop w:val="0"/>
      <w:marBottom w:val="0"/>
      <w:divBdr>
        <w:top w:val="none" w:sz="0" w:space="0" w:color="auto"/>
        <w:left w:val="none" w:sz="0" w:space="0" w:color="auto"/>
        <w:bottom w:val="none" w:sz="0" w:space="0" w:color="auto"/>
        <w:right w:val="none" w:sz="0" w:space="0" w:color="auto"/>
      </w:divBdr>
    </w:div>
    <w:div w:id="1351762235">
      <w:bodyDiv w:val="1"/>
      <w:marLeft w:val="0"/>
      <w:marRight w:val="0"/>
      <w:marTop w:val="0"/>
      <w:marBottom w:val="0"/>
      <w:divBdr>
        <w:top w:val="none" w:sz="0" w:space="0" w:color="auto"/>
        <w:left w:val="none" w:sz="0" w:space="0" w:color="auto"/>
        <w:bottom w:val="none" w:sz="0" w:space="0" w:color="auto"/>
        <w:right w:val="none" w:sz="0" w:space="0" w:color="auto"/>
      </w:divBdr>
    </w:div>
    <w:div w:id="1377392627">
      <w:bodyDiv w:val="1"/>
      <w:marLeft w:val="0"/>
      <w:marRight w:val="0"/>
      <w:marTop w:val="0"/>
      <w:marBottom w:val="0"/>
      <w:divBdr>
        <w:top w:val="none" w:sz="0" w:space="0" w:color="auto"/>
        <w:left w:val="none" w:sz="0" w:space="0" w:color="auto"/>
        <w:bottom w:val="none" w:sz="0" w:space="0" w:color="auto"/>
        <w:right w:val="none" w:sz="0" w:space="0" w:color="auto"/>
      </w:divBdr>
    </w:div>
    <w:div w:id="1382174683">
      <w:bodyDiv w:val="1"/>
      <w:marLeft w:val="0"/>
      <w:marRight w:val="0"/>
      <w:marTop w:val="0"/>
      <w:marBottom w:val="0"/>
      <w:divBdr>
        <w:top w:val="none" w:sz="0" w:space="0" w:color="auto"/>
        <w:left w:val="none" w:sz="0" w:space="0" w:color="auto"/>
        <w:bottom w:val="none" w:sz="0" w:space="0" w:color="auto"/>
        <w:right w:val="none" w:sz="0" w:space="0" w:color="auto"/>
      </w:divBdr>
    </w:div>
    <w:div w:id="1397317970">
      <w:bodyDiv w:val="1"/>
      <w:marLeft w:val="0"/>
      <w:marRight w:val="0"/>
      <w:marTop w:val="0"/>
      <w:marBottom w:val="0"/>
      <w:divBdr>
        <w:top w:val="none" w:sz="0" w:space="0" w:color="auto"/>
        <w:left w:val="none" w:sz="0" w:space="0" w:color="auto"/>
        <w:bottom w:val="none" w:sz="0" w:space="0" w:color="auto"/>
        <w:right w:val="none" w:sz="0" w:space="0" w:color="auto"/>
      </w:divBdr>
    </w:div>
    <w:div w:id="1432047366">
      <w:bodyDiv w:val="1"/>
      <w:marLeft w:val="0"/>
      <w:marRight w:val="0"/>
      <w:marTop w:val="0"/>
      <w:marBottom w:val="0"/>
      <w:divBdr>
        <w:top w:val="none" w:sz="0" w:space="0" w:color="auto"/>
        <w:left w:val="none" w:sz="0" w:space="0" w:color="auto"/>
        <w:bottom w:val="none" w:sz="0" w:space="0" w:color="auto"/>
        <w:right w:val="none" w:sz="0" w:space="0" w:color="auto"/>
      </w:divBdr>
    </w:div>
    <w:div w:id="1446584205">
      <w:bodyDiv w:val="1"/>
      <w:marLeft w:val="0"/>
      <w:marRight w:val="0"/>
      <w:marTop w:val="0"/>
      <w:marBottom w:val="0"/>
      <w:divBdr>
        <w:top w:val="none" w:sz="0" w:space="0" w:color="auto"/>
        <w:left w:val="none" w:sz="0" w:space="0" w:color="auto"/>
        <w:bottom w:val="none" w:sz="0" w:space="0" w:color="auto"/>
        <w:right w:val="none" w:sz="0" w:space="0" w:color="auto"/>
      </w:divBdr>
    </w:div>
    <w:div w:id="1449541045">
      <w:bodyDiv w:val="1"/>
      <w:marLeft w:val="0"/>
      <w:marRight w:val="0"/>
      <w:marTop w:val="0"/>
      <w:marBottom w:val="0"/>
      <w:divBdr>
        <w:top w:val="none" w:sz="0" w:space="0" w:color="auto"/>
        <w:left w:val="none" w:sz="0" w:space="0" w:color="auto"/>
        <w:bottom w:val="none" w:sz="0" w:space="0" w:color="auto"/>
        <w:right w:val="none" w:sz="0" w:space="0" w:color="auto"/>
      </w:divBdr>
    </w:div>
    <w:div w:id="1452432858">
      <w:bodyDiv w:val="1"/>
      <w:marLeft w:val="0"/>
      <w:marRight w:val="0"/>
      <w:marTop w:val="0"/>
      <w:marBottom w:val="0"/>
      <w:divBdr>
        <w:top w:val="none" w:sz="0" w:space="0" w:color="auto"/>
        <w:left w:val="none" w:sz="0" w:space="0" w:color="auto"/>
        <w:bottom w:val="none" w:sz="0" w:space="0" w:color="auto"/>
        <w:right w:val="none" w:sz="0" w:space="0" w:color="auto"/>
      </w:divBdr>
    </w:div>
    <w:div w:id="1465344732">
      <w:bodyDiv w:val="1"/>
      <w:marLeft w:val="0"/>
      <w:marRight w:val="0"/>
      <w:marTop w:val="0"/>
      <w:marBottom w:val="0"/>
      <w:divBdr>
        <w:top w:val="none" w:sz="0" w:space="0" w:color="auto"/>
        <w:left w:val="none" w:sz="0" w:space="0" w:color="auto"/>
        <w:bottom w:val="none" w:sz="0" w:space="0" w:color="auto"/>
        <w:right w:val="none" w:sz="0" w:space="0" w:color="auto"/>
      </w:divBdr>
    </w:div>
    <w:div w:id="1471555748">
      <w:bodyDiv w:val="1"/>
      <w:marLeft w:val="0"/>
      <w:marRight w:val="0"/>
      <w:marTop w:val="0"/>
      <w:marBottom w:val="0"/>
      <w:divBdr>
        <w:top w:val="none" w:sz="0" w:space="0" w:color="auto"/>
        <w:left w:val="none" w:sz="0" w:space="0" w:color="auto"/>
        <w:bottom w:val="none" w:sz="0" w:space="0" w:color="auto"/>
        <w:right w:val="none" w:sz="0" w:space="0" w:color="auto"/>
      </w:divBdr>
    </w:div>
    <w:div w:id="1480460460">
      <w:bodyDiv w:val="1"/>
      <w:marLeft w:val="0"/>
      <w:marRight w:val="0"/>
      <w:marTop w:val="0"/>
      <w:marBottom w:val="0"/>
      <w:divBdr>
        <w:top w:val="none" w:sz="0" w:space="0" w:color="auto"/>
        <w:left w:val="none" w:sz="0" w:space="0" w:color="auto"/>
        <w:bottom w:val="none" w:sz="0" w:space="0" w:color="auto"/>
        <w:right w:val="none" w:sz="0" w:space="0" w:color="auto"/>
      </w:divBdr>
    </w:div>
    <w:div w:id="1501316636">
      <w:bodyDiv w:val="1"/>
      <w:marLeft w:val="0"/>
      <w:marRight w:val="0"/>
      <w:marTop w:val="0"/>
      <w:marBottom w:val="0"/>
      <w:divBdr>
        <w:top w:val="none" w:sz="0" w:space="0" w:color="auto"/>
        <w:left w:val="none" w:sz="0" w:space="0" w:color="auto"/>
        <w:bottom w:val="none" w:sz="0" w:space="0" w:color="auto"/>
        <w:right w:val="none" w:sz="0" w:space="0" w:color="auto"/>
      </w:divBdr>
    </w:div>
    <w:div w:id="1505978050">
      <w:bodyDiv w:val="1"/>
      <w:marLeft w:val="0"/>
      <w:marRight w:val="0"/>
      <w:marTop w:val="0"/>
      <w:marBottom w:val="0"/>
      <w:divBdr>
        <w:top w:val="none" w:sz="0" w:space="0" w:color="auto"/>
        <w:left w:val="none" w:sz="0" w:space="0" w:color="auto"/>
        <w:bottom w:val="none" w:sz="0" w:space="0" w:color="auto"/>
        <w:right w:val="none" w:sz="0" w:space="0" w:color="auto"/>
      </w:divBdr>
    </w:div>
    <w:div w:id="1522817244">
      <w:bodyDiv w:val="1"/>
      <w:marLeft w:val="0"/>
      <w:marRight w:val="0"/>
      <w:marTop w:val="0"/>
      <w:marBottom w:val="0"/>
      <w:divBdr>
        <w:top w:val="none" w:sz="0" w:space="0" w:color="auto"/>
        <w:left w:val="none" w:sz="0" w:space="0" w:color="auto"/>
        <w:bottom w:val="none" w:sz="0" w:space="0" w:color="auto"/>
        <w:right w:val="none" w:sz="0" w:space="0" w:color="auto"/>
      </w:divBdr>
    </w:div>
    <w:div w:id="1561361323">
      <w:bodyDiv w:val="1"/>
      <w:marLeft w:val="0"/>
      <w:marRight w:val="0"/>
      <w:marTop w:val="0"/>
      <w:marBottom w:val="0"/>
      <w:divBdr>
        <w:top w:val="none" w:sz="0" w:space="0" w:color="auto"/>
        <w:left w:val="none" w:sz="0" w:space="0" w:color="auto"/>
        <w:bottom w:val="none" w:sz="0" w:space="0" w:color="auto"/>
        <w:right w:val="none" w:sz="0" w:space="0" w:color="auto"/>
      </w:divBdr>
    </w:div>
    <w:div w:id="1563830880">
      <w:bodyDiv w:val="1"/>
      <w:marLeft w:val="0"/>
      <w:marRight w:val="0"/>
      <w:marTop w:val="0"/>
      <w:marBottom w:val="0"/>
      <w:divBdr>
        <w:top w:val="none" w:sz="0" w:space="0" w:color="auto"/>
        <w:left w:val="none" w:sz="0" w:space="0" w:color="auto"/>
        <w:bottom w:val="none" w:sz="0" w:space="0" w:color="auto"/>
        <w:right w:val="none" w:sz="0" w:space="0" w:color="auto"/>
      </w:divBdr>
    </w:div>
    <w:div w:id="1565946845">
      <w:bodyDiv w:val="1"/>
      <w:marLeft w:val="0"/>
      <w:marRight w:val="0"/>
      <w:marTop w:val="0"/>
      <w:marBottom w:val="0"/>
      <w:divBdr>
        <w:top w:val="none" w:sz="0" w:space="0" w:color="auto"/>
        <w:left w:val="none" w:sz="0" w:space="0" w:color="auto"/>
        <w:bottom w:val="none" w:sz="0" w:space="0" w:color="auto"/>
        <w:right w:val="none" w:sz="0" w:space="0" w:color="auto"/>
      </w:divBdr>
    </w:div>
    <w:div w:id="1597784671">
      <w:bodyDiv w:val="1"/>
      <w:marLeft w:val="0"/>
      <w:marRight w:val="0"/>
      <w:marTop w:val="0"/>
      <w:marBottom w:val="0"/>
      <w:divBdr>
        <w:top w:val="none" w:sz="0" w:space="0" w:color="auto"/>
        <w:left w:val="none" w:sz="0" w:space="0" w:color="auto"/>
        <w:bottom w:val="none" w:sz="0" w:space="0" w:color="auto"/>
        <w:right w:val="none" w:sz="0" w:space="0" w:color="auto"/>
      </w:divBdr>
    </w:div>
    <w:div w:id="1624074182">
      <w:bodyDiv w:val="1"/>
      <w:marLeft w:val="0"/>
      <w:marRight w:val="0"/>
      <w:marTop w:val="0"/>
      <w:marBottom w:val="0"/>
      <w:divBdr>
        <w:top w:val="none" w:sz="0" w:space="0" w:color="auto"/>
        <w:left w:val="none" w:sz="0" w:space="0" w:color="auto"/>
        <w:bottom w:val="none" w:sz="0" w:space="0" w:color="auto"/>
        <w:right w:val="none" w:sz="0" w:space="0" w:color="auto"/>
      </w:divBdr>
    </w:div>
    <w:div w:id="1683629808">
      <w:bodyDiv w:val="1"/>
      <w:marLeft w:val="0"/>
      <w:marRight w:val="0"/>
      <w:marTop w:val="0"/>
      <w:marBottom w:val="0"/>
      <w:divBdr>
        <w:top w:val="none" w:sz="0" w:space="0" w:color="auto"/>
        <w:left w:val="none" w:sz="0" w:space="0" w:color="auto"/>
        <w:bottom w:val="none" w:sz="0" w:space="0" w:color="auto"/>
        <w:right w:val="none" w:sz="0" w:space="0" w:color="auto"/>
      </w:divBdr>
    </w:div>
    <w:div w:id="1698702312">
      <w:bodyDiv w:val="1"/>
      <w:marLeft w:val="0"/>
      <w:marRight w:val="0"/>
      <w:marTop w:val="0"/>
      <w:marBottom w:val="0"/>
      <w:divBdr>
        <w:top w:val="none" w:sz="0" w:space="0" w:color="auto"/>
        <w:left w:val="none" w:sz="0" w:space="0" w:color="auto"/>
        <w:bottom w:val="none" w:sz="0" w:space="0" w:color="auto"/>
        <w:right w:val="none" w:sz="0" w:space="0" w:color="auto"/>
      </w:divBdr>
    </w:div>
    <w:div w:id="1710883128">
      <w:bodyDiv w:val="1"/>
      <w:marLeft w:val="0"/>
      <w:marRight w:val="0"/>
      <w:marTop w:val="0"/>
      <w:marBottom w:val="0"/>
      <w:divBdr>
        <w:top w:val="none" w:sz="0" w:space="0" w:color="auto"/>
        <w:left w:val="none" w:sz="0" w:space="0" w:color="auto"/>
        <w:bottom w:val="none" w:sz="0" w:space="0" w:color="auto"/>
        <w:right w:val="none" w:sz="0" w:space="0" w:color="auto"/>
      </w:divBdr>
    </w:div>
    <w:div w:id="1720474549">
      <w:bodyDiv w:val="1"/>
      <w:marLeft w:val="0"/>
      <w:marRight w:val="0"/>
      <w:marTop w:val="0"/>
      <w:marBottom w:val="0"/>
      <w:divBdr>
        <w:top w:val="none" w:sz="0" w:space="0" w:color="auto"/>
        <w:left w:val="none" w:sz="0" w:space="0" w:color="auto"/>
        <w:bottom w:val="none" w:sz="0" w:space="0" w:color="auto"/>
        <w:right w:val="none" w:sz="0" w:space="0" w:color="auto"/>
      </w:divBdr>
    </w:div>
    <w:div w:id="1738746633">
      <w:bodyDiv w:val="1"/>
      <w:marLeft w:val="0"/>
      <w:marRight w:val="0"/>
      <w:marTop w:val="0"/>
      <w:marBottom w:val="0"/>
      <w:divBdr>
        <w:top w:val="none" w:sz="0" w:space="0" w:color="auto"/>
        <w:left w:val="none" w:sz="0" w:space="0" w:color="auto"/>
        <w:bottom w:val="none" w:sz="0" w:space="0" w:color="auto"/>
        <w:right w:val="none" w:sz="0" w:space="0" w:color="auto"/>
      </w:divBdr>
    </w:div>
    <w:div w:id="1784962418">
      <w:bodyDiv w:val="1"/>
      <w:marLeft w:val="0"/>
      <w:marRight w:val="0"/>
      <w:marTop w:val="0"/>
      <w:marBottom w:val="0"/>
      <w:divBdr>
        <w:top w:val="none" w:sz="0" w:space="0" w:color="auto"/>
        <w:left w:val="none" w:sz="0" w:space="0" w:color="auto"/>
        <w:bottom w:val="none" w:sz="0" w:space="0" w:color="auto"/>
        <w:right w:val="none" w:sz="0" w:space="0" w:color="auto"/>
      </w:divBdr>
    </w:div>
    <w:div w:id="1795833014">
      <w:bodyDiv w:val="1"/>
      <w:marLeft w:val="0"/>
      <w:marRight w:val="0"/>
      <w:marTop w:val="0"/>
      <w:marBottom w:val="0"/>
      <w:divBdr>
        <w:top w:val="none" w:sz="0" w:space="0" w:color="auto"/>
        <w:left w:val="none" w:sz="0" w:space="0" w:color="auto"/>
        <w:bottom w:val="none" w:sz="0" w:space="0" w:color="auto"/>
        <w:right w:val="none" w:sz="0" w:space="0" w:color="auto"/>
      </w:divBdr>
    </w:div>
    <w:div w:id="1815099362">
      <w:bodyDiv w:val="1"/>
      <w:marLeft w:val="0"/>
      <w:marRight w:val="0"/>
      <w:marTop w:val="0"/>
      <w:marBottom w:val="0"/>
      <w:divBdr>
        <w:top w:val="none" w:sz="0" w:space="0" w:color="auto"/>
        <w:left w:val="none" w:sz="0" w:space="0" w:color="auto"/>
        <w:bottom w:val="none" w:sz="0" w:space="0" w:color="auto"/>
        <w:right w:val="none" w:sz="0" w:space="0" w:color="auto"/>
      </w:divBdr>
    </w:div>
    <w:div w:id="1822383907">
      <w:bodyDiv w:val="1"/>
      <w:marLeft w:val="0"/>
      <w:marRight w:val="0"/>
      <w:marTop w:val="0"/>
      <w:marBottom w:val="0"/>
      <w:divBdr>
        <w:top w:val="none" w:sz="0" w:space="0" w:color="auto"/>
        <w:left w:val="none" w:sz="0" w:space="0" w:color="auto"/>
        <w:bottom w:val="none" w:sz="0" w:space="0" w:color="auto"/>
        <w:right w:val="none" w:sz="0" w:space="0" w:color="auto"/>
      </w:divBdr>
    </w:div>
    <w:div w:id="1835757810">
      <w:bodyDiv w:val="1"/>
      <w:marLeft w:val="0"/>
      <w:marRight w:val="0"/>
      <w:marTop w:val="0"/>
      <w:marBottom w:val="0"/>
      <w:divBdr>
        <w:top w:val="none" w:sz="0" w:space="0" w:color="auto"/>
        <w:left w:val="none" w:sz="0" w:space="0" w:color="auto"/>
        <w:bottom w:val="none" w:sz="0" w:space="0" w:color="auto"/>
        <w:right w:val="none" w:sz="0" w:space="0" w:color="auto"/>
      </w:divBdr>
    </w:div>
    <w:div w:id="1839955025">
      <w:bodyDiv w:val="1"/>
      <w:marLeft w:val="0"/>
      <w:marRight w:val="0"/>
      <w:marTop w:val="0"/>
      <w:marBottom w:val="0"/>
      <w:divBdr>
        <w:top w:val="none" w:sz="0" w:space="0" w:color="auto"/>
        <w:left w:val="none" w:sz="0" w:space="0" w:color="auto"/>
        <w:bottom w:val="none" w:sz="0" w:space="0" w:color="auto"/>
        <w:right w:val="none" w:sz="0" w:space="0" w:color="auto"/>
      </w:divBdr>
    </w:div>
    <w:div w:id="1919360124">
      <w:bodyDiv w:val="1"/>
      <w:marLeft w:val="0"/>
      <w:marRight w:val="0"/>
      <w:marTop w:val="0"/>
      <w:marBottom w:val="0"/>
      <w:divBdr>
        <w:top w:val="none" w:sz="0" w:space="0" w:color="auto"/>
        <w:left w:val="none" w:sz="0" w:space="0" w:color="auto"/>
        <w:bottom w:val="none" w:sz="0" w:space="0" w:color="auto"/>
        <w:right w:val="none" w:sz="0" w:space="0" w:color="auto"/>
      </w:divBdr>
    </w:div>
    <w:div w:id="1919896413">
      <w:bodyDiv w:val="1"/>
      <w:marLeft w:val="0"/>
      <w:marRight w:val="0"/>
      <w:marTop w:val="0"/>
      <w:marBottom w:val="0"/>
      <w:divBdr>
        <w:top w:val="none" w:sz="0" w:space="0" w:color="auto"/>
        <w:left w:val="none" w:sz="0" w:space="0" w:color="auto"/>
        <w:bottom w:val="none" w:sz="0" w:space="0" w:color="auto"/>
        <w:right w:val="none" w:sz="0" w:space="0" w:color="auto"/>
      </w:divBdr>
    </w:div>
    <w:div w:id="1926574440">
      <w:bodyDiv w:val="1"/>
      <w:marLeft w:val="0"/>
      <w:marRight w:val="0"/>
      <w:marTop w:val="0"/>
      <w:marBottom w:val="0"/>
      <w:divBdr>
        <w:top w:val="none" w:sz="0" w:space="0" w:color="auto"/>
        <w:left w:val="none" w:sz="0" w:space="0" w:color="auto"/>
        <w:bottom w:val="none" w:sz="0" w:space="0" w:color="auto"/>
        <w:right w:val="none" w:sz="0" w:space="0" w:color="auto"/>
      </w:divBdr>
    </w:div>
    <w:div w:id="1927807172">
      <w:bodyDiv w:val="1"/>
      <w:marLeft w:val="0"/>
      <w:marRight w:val="0"/>
      <w:marTop w:val="0"/>
      <w:marBottom w:val="0"/>
      <w:divBdr>
        <w:top w:val="none" w:sz="0" w:space="0" w:color="auto"/>
        <w:left w:val="none" w:sz="0" w:space="0" w:color="auto"/>
        <w:bottom w:val="none" w:sz="0" w:space="0" w:color="auto"/>
        <w:right w:val="none" w:sz="0" w:space="0" w:color="auto"/>
      </w:divBdr>
    </w:div>
    <w:div w:id="1934123982">
      <w:bodyDiv w:val="1"/>
      <w:marLeft w:val="0"/>
      <w:marRight w:val="0"/>
      <w:marTop w:val="0"/>
      <w:marBottom w:val="0"/>
      <w:divBdr>
        <w:top w:val="none" w:sz="0" w:space="0" w:color="auto"/>
        <w:left w:val="none" w:sz="0" w:space="0" w:color="auto"/>
        <w:bottom w:val="none" w:sz="0" w:space="0" w:color="auto"/>
        <w:right w:val="none" w:sz="0" w:space="0" w:color="auto"/>
      </w:divBdr>
    </w:div>
    <w:div w:id="1948656945">
      <w:bodyDiv w:val="1"/>
      <w:marLeft w:val="0"/>
      <w:marRight w:val="0"/>
      <w:marTop w:val="0"/>
      <w:marBottom w:val="0"/>
      <w:divBdr>
        <w:top w:val="none" w:sz="0" w:space="0" w:color="auto"/>
        <w:left w:val="none" w:sz="0" w:space="0" w:color="auto"/>
        <w:bottom w:val="none" w:sz="0" w:space="0" w:color="auto"/>
        <w:right w:val="none" w:sz="0" w:space="0" w:color="auto"/>
      </w:divBdr>
    </w:div>
    <w:div w:id="1955019339">
      <w:bodyDiv w:val="1"/>
      <w:marLeft w:val="0"/>
      <w:marRight w:val="0"/>
      <w:marTop w:val="0"/>
      <w:marBottom w:val="0"/>
      <w:divBdr>
        <w:top w:val="none" w:sz="0" w:space="0" w:color="auto"/>
        <w:left w:val="none" w:sz="0" w:space="0" w:color="auto"/>
        <w:bottom w:val="none" w:sz="0" w:space="0" w:color="auto"/>
        <w:right w:val="none" w:sz="0" w:space="0" w:color="auto"/>
      </w:divBdr>
    </w:div>
    <w:div w:id="1960643735">
      <w:bodyDiv w:val="1"/>
      <w:marLeft w:val="0"/>
      <w:marRight w:val="0"/>
      <w:marTop w:val="0"/>
      <w:marBottom w:val="0"/>
      <w:divBdr>
        <w:top w:val="none" w:sz="0" w:space="0" w:color="auto"/>
        <w:left w:val="none" w:sz="0" w:space="0" w:color="auto"/>
        <w:bottom w:val="none" w:sz="0" w:space="0" w:color="auto"/>
        <w:right w:val="none" w:sz="0" w:space="0" w:color="auto"/>
      </w:divBdr>
    </w:div>
    <w:div w:id="1965040974">
      <w:bodyDiv w:val="1"/>
      <w:marLeft w:val="0"/>
      <w:marRight w:val="0"/>
      <w:marTop w:val="0"/>
      <w:marBottom w:val="0"/>
      <w:divBdr>
        <w:top w:val="none" w:sz="0" w:space="0" w:color="auto"/>
        <w:left w:val="none" w:sz="0" w:space="0" w:color="auto"/>
        <w:bottom w:val="none" w:sz="0" w:space="0" w:color="auto"/>
        <w:right w:val="none" w:sz="0" w:space="0" w:color="auto"/>
      </w:divBdr>
    </w:div>
    <w:div w:id="1984844379">
      <w:bodyDiv w:val="1"/>
      <w:marLeft w:val="0"/>
      <w:marRight w:val="0"/>
      <w:marTop w:val="0"/>
      <w:marBottom w:val="0"/>
      <w:divBdr>
        <w:top w:val="none" w:sz="0" w:space="0" w:color="auto"/>
        <w:left w:val="none" w:sz="0" w:space="0" w:color="auto"/>
        <w:bottom w:val="none" w:sz="0" w:space="0" w:color="auto"/>
        <w:right w:val="none" w:sz="0" w:space="0" w:color="auto"/>
      </w:divBdr>
    </w:div>
    <w:div w:id="1992370756">
      <w:bodyDiv w:val="1"/>
      <w:marLeft w:val="0"/>
      <w:marRight w:val="0"/>
      <w:marTop w:val="0"/>
      <w:marBottom w:val="0"/>
      <w:divBdr>
        <w:top w:val="none" w:sz="0" w:space="0" w:color="auto"/>
        <w:left w:val="none" w:sz="0" w:space="0" w:color="auto"/>
        <w:bottom w:val="none" w:sz="0" w:space="0" w:color="auto"/>
        <w:right w:val="none" w:sz="0" w:space="0" w:color="auto"/>
      </w:divBdr>
    </w:div>
    <w:div w:id="2000378296">
      <w:bodyDiv w:val="1"/>
      <w:marLeft w:val="0"/>
      <w:marRight w:val="0"/>
      <w:marTop w:val="0"/>
      <w:marBottom w:val="0"/>
      <w:divBdr>
        <w:top w:val="none" w:sz="0" w:space="0" w:color="auto"/>
        <w:left w:val="none" w:sz="0" w:space="0" w:color="auto"/>
        <w:bottom w:val="none" w:sz="0" w:space="0" w:color="auto"/>
        <w:right w:val="none" w:sz="0" w:space="0" w:color="auto"/>
      </w:divBdr>
    </w:div>
    <w:div w:id="2061976231">
      <w:bodyDiv w:val="1"/>
      <w:marLeft w:val="0"/>
      <w:marRight w:val="0"/>
      <w:marTop w:val="0"/>
      <w:marBottom w:val="0"/>
      <w:divBdr>
        <w:top w:val="none" w:sz="0" w:space="0" w:color="auto"/>
        <w:left w:val="none" w:sz="0" w:space="0" w:color="auto"/>
        <w:bottom w:val="none" w:sz="0" w:space="0" w:color="auto"/>
        <w:right w:val="none" w:sz="0" w:space="0" w:color="auto"/>
      </w:divBdr>
    </w:div>
    <w:div w:id="2086342821">
      <w:bodyDiv w:val="1"/>
      <w:marLeft w:val="0"/>
      <w:marRight w:val="0"/>
      <w:marTop w:val="0"/>
      <w:marBottom w:val="0"/>
      <w:divBdr>
        <w:top w:val="none" w:sz="0" w:space="0" w:color="auto"/>
        <w:left w:val="none" w:sz="0" w:space="0" w:color="auto"/>
        <w:bottom w:val="none" w:sz="0" w:space="0" w:color="auto"/>
        <w:right w:val="none" w:sz="0" w:space="0" w:color="auto"/>
      </w:divBdr>
    </w:div>
    <w:div w:id="2100443138">
      <w:bodyDiv w:val="1"/>
      <w:marLeft w:val="0"/>
      <w:marRight w:val="0"/>
      <w:marTop w:val="0"/>
      <w:marBottom w:val="0"/>
      <w:divBdr>
        <w:top w:val="none" w:sz="0" w:space="0" w:color="auto"/>
        <w:left w:val="none" w:sz="0" w:space="0" w:color="auto"/>
        <w:bottom w:val="none" w:sz="0" w:space="0" w:color="auto"/>
        <w:right w:val="none" w:sz="0" w:space="0" w:color="auto"/>
      </w:divBdr>
    </w:div>
    <w:div w:id="2115585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gauthority.co.uk/exploration-production/taxation/government-revenues-from-uk-oil-and-gas-production/"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www.bp.com/content/dam/bp/business-sites/en/global/corporate/pdfs/energy-economics/statistical-review/bp-stats-review-2018-full-report.pdf" TargetMode="External"/><Relationship Id="rId18" Type="http://schemas.openxmlformats.org/officeDocument/2006/relationships/hyperlink" Target="https://www.ogauthority.co.uk/exploration-production/taxation/government-revenues-from-uk-oil-and-gas-production/" TargetMode="External"/><Relationship Id="rId26" Type="http://schemas.openxmlformats.org/officeDocument/2006/relationships/hyperlink" Target="https://oilandgasuk.co.uk/product/workforce-report-2017/" TargetMode="External"/><Relationship Id="rId39" Type="http://schemas.openxmlformats.org/officeDocument/2006/relationships/hyperlink" Target="https://www.economy-ni.gov.uk/articles/petroleum-licensing" TargetMode="External"/><Relationship Id="rId3" Type="http://schemas.openxmlformats.org/officeDocument/2006/relationships/hyperlink" Target="https://www.bp.com/content/dam/bp/business-sites/en/global/corporate/pdfs/energy-economics/statistical-review/bp-stats-review-2018-full-report.pdf" TargetMode="External"/><Relationship Id="rId21" Type="http://schemas.openxmlformats.org/officeDocument/2006/relationships/hyperlink" Target="http://oilandgasuk.co.uk/businessoutlook-2" TargetMode="External"/><Relationship Id="rId34" Type="http://schemas.openxmlformats.org/officeDocument/2006/relationships/hyperlink" Target="http://eur-lex.europa.eu/legal-content/EN/TXT/PDF/?uri=CELEX:52014XG0620(01)&amp;from=EN" TargetMode="External"/><Relationship Id="rId42" Type="http://schemas.openxmlformats.org/officeDocument/2006/relationships/hyperlink" Target="https://www.gov.uk/government/uploads/system/uploads/attachment_data/file/382785/PU1721_Driving_investment_-_a_plan_to_reform_the_oil_and_gas_fiscal_regime.pdf" TargetMode="External"/><Relationship Id="rId47" Type="http://schemas.openxmlformats.org/officeDocument/2006/relationships/hyperlink" Target="https://www.gov.uk/government/publications/recovered-appeals-cuadrilla-bowland-ltd-and-cuadrilla-elswick-ltd-refs-3134386-3130923-3134385-and-3130924-6-october-2016" TargetMode="External"/><Relationship Id="rId50" Type="http://schemas.openxmlformats.org/officeDocument/2006/relationships/hyperlink" Target="https://www.gov.uk/government/consultations/shale-wealth-fund" TargetMode="External"/><Relationship Id="rId7" Type="http://schemas.openxmlformats.org/officeDocument/2006/relationships/hyperlink" Target="https://www.theice.com/products/910/UK-Natural-Gas-Futures" TargetMode="External"/><Relationship Id="rId12" Type="http://schemas.openxmlformats.org/officeDocument/2006/relationships/hyperlink" Target="https://data-ogauthority.opendata.arcgis.com/pages/production" TargetMode="External"/><Relationship Id="rId17" Type="http://schemas.openxmlformats.org/officeDocument/2006/relationships/hyperlink" Target="https://www.ons.gov.uk/economy/governmentpublicsectorandtaxes/publicsectorfinance/datasets/appendixdpublicsectorcurrentreceipts" TargetMode="External"/><Relationship Id="rId25" Type="http://schemas.openxmlformats.org/officeDocument/2006/relationships/hyperlink" Target="https://oilandgasuk.co.uk/product/workforce-report-2017/" TargetMode="External"/><Relationship Id="rId33" Type="http://schemas.openxmlformats.org/officeDocument/2006/relationships/hyperlink" Target="https://www.ogauthority.co.uk/licensing-consents/licensing-rounds/" TargetMode="External"/><Relationship Id="rId38" Type="http://schemas.openxmlformats.org/officeDocument/2006/relationships/hyperlink" Target="https://www.ogauthority.co.uk/licensing-consents/overview/" TargetMode="External"/><Relationship Id="rId46" Type="http://schemas.openxmlformats.org/officeDocument/2006/relationships/hyperlink" Target="https://www.northyorks.gov.uk/kirby-misperton-fracking-operations" TargetMode="External"/><Relationship Id="rId2" Type="http://schemas.openxmlformats.org/officeDocument/2006/relationships/hyperlink" Target="http://www.iea.org/publications/freepublications/publication/KeyWorld2017.pdf" TargetMode="External"/><Relationship Id="rId16" Type="http://schemas.openxmlformats.org/officeDocument/2006/relationships/hyperlink" Target="https://www.gov.uk/government/statistics/hmrc-tax-and-nics-receipts-for-the-uk" TargetMode="External"/><Relationship Id="rId20" Type="http://schemas.openxmlformats.org/officeDocument/2006/relationships/hyperlink" Target="https://www.woodmac.com/research/products/upstream/upstream-data-tool/" TargetMode="External"/><Relationship Id="rId29" Type="http://schemas.openxmlformats.org/officeDocument/2006/relationships/hyperlink" Target="http://www.legislation.gov.uk/apni/1964/28/contents" TargetMode="External"/><Relationship Id="rId41" Type="http://schemas.openxmlformats.org/officeDocument/2006/relationships/hyperlink" Target="http://www.parliament.uk/business/publications/written-questions-answers-statements/written-statement/commons/2018-03-27/HCWs590" TargetMode="External"/><Relationship Id="rId1" Type="http://schemas.openxmlformats.org/officeDocument/2006/relationships/hyperlink" Target="http://www.ogauthority.co.uk/data-centre/data-downloads-and-publications/reserves-and-resources/" TargetMode="External"/><Relationship Id="rId6" Type="http://schemas.openxmlformats.org/officeDocument/2006/relationships/hyperlink" Target="https://www.theice.com/endex" TargetMode="External"/><Relationship Id="rId11" Type="http://schemas.openxmlformats.org/officeDocument/2006/relationships/hyperlink" Target="https://www.ogauthority.co.uk/data-centre/data-downloads-and-publications/" TargetMode="External"/><Relationship Id="rId24" Type="http://schemas.openxmlformats.org/officeDocument/2006/relationships/hyperlink" Target="https://www.ons.gov.uk/employmentandlabourmarket/peopleinwork/employmentandemployeetypes/datasets/industry235digitsicbusinessregisterandemploymentsurveybrestable2" TargetMode="External"/><Relationship Id="rId32" Type="http://schemas.openxmlformats.org/officeDocument/2006/relationships/hyperlink" Target="https://www.economy-ni.gov.uk/articles/petroleum-licensing" TargetMode="External"/><Relationship Id="rId37" Type="http://schemas.openxmlformats.org/officeDocument/2006/relationships/hyperlink" Target="http://www.legislation.gov.uk/uksi/2014/1686/contents/made" TargetMode="External"/><Relationship Id="rId40" Type="http://schemas.openxmlformats.org/officeDocument/2006/relationships/hyperlink" Target="https://assets.publishing.service.gov.uk/government/uploads/system/uploads/attachment_data/file/740258/Statistics_of_government_revenues_from_UK_oil_and_gas_production__Sept_2018_.pdf" TargetMode="External"/><Relationship Id="rId45" Type="http://schemas.openxmlformats.org/officeDocument/2006/relationships/hyperlink" Target="https://www.ogauthority.co.uk/regulatory-framework/legislative-context/industry-levy/" TargetMode="External"/><Relationship Id="rId5" Type="http://schemas.openxmlformats.org/officeDocument/2006/relationships/hyperlink" Target="http://www.bankofengland.co.uk/" TargetMode="External"/><Relationship Id="rId15" Type="http://schemas.openxmlformats.org/officeDocument/2006/relationships/hyperlink" Target="https://www.ons.gov.uk/economy/governmentpublicsectorandtaxes/publicsectorfinance/articles/improvementstoaccrualsmethodologyforcorporationtaxbankcorporationtaxsurchargeandthebanklevy/2017" TargetMode="External"/><Relationship Id="rId23" Type="http://schemas.openxmlformats.org/officeDocument/2006/relationships/hyperlink" Target="https://www.gov.uk/government/collections/digest-of-uk-energy-statistics-dukes" TargetMode="External"/><Relationship Id="rId28" Type="http://schemas.openxmlformats.org/officeDocument/2006/relationships/hyperlink" Target="http://www.legislation.gov.uk/ukpga/1998/17/contents" TargetMode="External"/><Relationship Id="rId36" Type="http://schemas.openxmlformats.org/officeDocument/2006/relationships/hyperlink" Target="https://www.ogauthority.co.uk/data-centre/data-downloads-and-publications/licence-data/" TargetMode="External"/><Relationship Id="rId49" Type="http://schemas.openxmlformats.org/officeDocument/2006/relationships/hyperlink" Target="https://www.gov.uk/government/uploads/system/uploads/attachment_data/file/544241/shale_wealth_fund_final_pdf-a.pdf" TargetMode="External"/><Relationship Id="rId10" Type="http://schemas.openxmlformats.org/officeDocument/2006/relationships/hyperlink" Target="https://oilandgasuk.co.uk/product/economic-report-2018/" TargetMode="External"/><Relationship Id="rId19" Type="http://schemas.openxmlformats.org/officeDocument/2006/relationships/hyperlink" Target="http://obr.uk/" TargetMode="External"/><Relationship Id="rId31" Type="http://schemas.openxmlformats.org/officeDocument/2006/relationships/hyperlink" Target="https://www.ogauthority.co.uk/data-centre/interactive-maps-and-tools/" TargetMode="External"/><Relationship Id="rId44" Type="http://schemas.openxmlformats.org/officeDocument/2006/relationships/hyperlink" Target="https://www.gov.uk/government/publications/oil-and-gas-companies-tax-relief-for-decommissioning-expenditure" TargetMode="External"/><Relationship Id="rId4" Type="http://schemas.openxmlformats.org/officeDocument/2006/relationships/hyperlink" Target="http://www.worldbank.org/en/research/commodity-markets" TargetMode="External"/><Relationship Id="rId9" Type="http://schemas.openxmlformats.org/officeDocument/2006/relationships/hyperlink" Target="http://oilandgasuk.co.uk/wp-content/uploads/2017/09/Economic-Report-2017-Oil-Gas-UK.pdf" TargetMode="External"/><Relationship Id="rId14" Type="http://schemas.openxmlformats.org/officeDocument/2006/relationships/hyperlink" Target="https://www.ogauthority.co.uk/data-centre/data-downloads-and-publications/ukcs-income-and-expenditure/" TargetMode="External"/><Relationship Id="rId22" Type="http://schemas.openxmlformats.org/officeDocument/2006/relationships/hyperlink" Target="https://www.ogauthority.co.uk/data-centre/data-downloads-and-publications/production-projections/" TargetMode="External"/><Relationship Id="rId27" Type="http://schemas.openxmlformats.org/officeDocument/2006/relationships/hyperlink" Target="https://www.ogauthority.co.uk/licensing-consents/overview/" TargetMode="External"/><Relationship Id="rId30" Type="http://schemas.openxmlformats.org/officeDocument/2006/relationships/hyperlink" Target="https://www.ogauthority.co.uk/data-centre/data-downloads-and-publications/licence-data/" TargetMode="External"/><Relationship Id="rId35" Type="http://schemas.openxmlformats.org/officeDocument/2006/relationships/hyperlink" Target="https://www.ogauthority.co.uk/licensing-consents/licensing-system/licence-assignments/" TargetMode="External"/><Relationship Id="rId43" Type="http://schemas.openxmlformats.org/officeDocument/2006/relationships/hyperlink" Target="https://www.gov.uk/government/publications/autumn-statement-2016-documents/autumn-statement-2016" TargetMode="External"/><Relationship Id="rId48" Type="http://schemas.openxmlformats.org/officeDocument/2006/relationships/hyperlink" Target="http://www.nottinghamshire.gov.uk/planning-and-environment/shale-gas-development/shale-gas-development/latest-news/councillors-approve-planning-application-for-county-s-first-exploratory-shale-gas-wells" TargetMode="External"/><Relationship Id="rId8" Type="http://schemas.openxmlformats.org/officeDocument/2006/relationships/hyperlink" Target="https://www.bp.com/en/global/corporate/energy-economics/energy-outlook/demand-by-fuel/natural-g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A01E-682F-4C7F-8BF3-3F478767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7309</Words>
  <Characters>41667</Characters>
  <Application>Microsoft Office Word</Application>
  <DocSecurity>0</DocSecurity>
  <Lines>347</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UK Extractives Industries Transparency Initiative (EITI) Report for 2016</vt:lpstr>
      <vt:lpstr>UK Extractives Industries Transparency Initiative (EITI) Report for 2016</vt:lpstr>
    </vt:vector>
  </TitlesOfParts>
  <Company>BIS</Company>
  <LinksUpToDate>false</LinksUpToDate>
  <CharactersWithSpaces>48879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Extractives Industries Transparency Initiative (EITI) Report for 2016</dc:title>
  <dc:creator>UK EITI MSG</dc:creator>
  <cp:lastModifiedBy>Nash, Michael (Business Frameworks)</cp:lastModifiedBy>
  <cp:revision>2</cp:revision>
  <cp:lastPrinted>2018-10-05T07:20:00Z</cp:lastPrinted>
  <dcterms:created xsi:type="dcterms:W3CDTF">2020-03-19T15:23:00Z</dcterms:created>
  <dcterms:modified xsi:type="dcterms:W3CDTF">2020-03-19T15:23:00Z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2020-03-19T15:22:55Z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738270f0-0341-451d-b1f9-000067c11ebb</vt:lpwstr>
  </property>
  <property fmtid="{D5CDD505-2E9C-101B-9397-08002B2CF9AE}" pid="8" name="MSIP_Label_ba62f585-b40f-4ab9-bafe-39150f03d124_ContentBits">
    <vt:lpwstr>0</vt:lpwstr>
  </property>
</Properties>
</file>